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C661" w14:textId="77777777" w:rsidR="005E4F9C" w:rsidRPr="001610FF" w:rsidRDefault="005E4F9C" w:rsidP="005E4F9C">
      <w:pPr>
        <w:pStyle w:val="Heading"/>
        <w:jc w:val="center"/>
        <w:rPr>
          <w:rFonts w:ascii="Jost" w:hAnsi="Jost"/>
          <w:color w:val="auto"/>
          <w:sz w:val="24"/>
          <w:szCs w:val="24"/>
          <w:lang w:val="lt-LT"/>
        </w:rPr>
      </w:pPr>
    </w:p>
    <w:p w14:paraId="181371A1" w14:textId="6E681CED" w:rsidR="005E4F9C" w:rsidRPr="001610FF" w:rsidRDefault="005E4F9C" w:rsidP="005E4F9C">
      <w:pPr>
        <w:pStyle w:val="Heading"/>
        <w:jc w:val="center"/>
        <w:rPr>
          <w:rFonts w:ascii="Jost" w:hAnsi="Jost"/>
          <w:color w:val="auto"/>
          <w:sz w:val="24"/>
          <w:szCs w:val="24"/>
          <w:lang w:val="lt-LT"/>
        </w:rPr>
      </w:pPr>
      <w:r w:rsidRPr="001610FF">
        <w:rPr>
          <w:rFonts w:ascii="Jost" w:hAnsi="Jost"/>
          <w:color w:val="auto"/>
          <w:sz w:val="24"/>
          <w:szCs w:val="24"/>
          <w:lang w:val="lt-LT"/>
        </w:rPr>
        <w:t xml:space="preserve"> KVALIFIKACIJOS REIKALAVIMAI TIEKĖJUI</w:t>
      </w:r>
    </w:p>
    <w:p w14:paraId="1F3611AC" w14:textId="1311DEC2" w:rsidR="001610FF" w:rsidRPr="001610FF" w:rsidRDefault="001610FF" w:rsidP="001610FF">
      <w:pPr>
        <w:pStyle w:val="Body2"/>
        <w:jc w:val="center"/>
        <w:rPr>
          <w:rFonts w:ascii="Jost" w:hAnsi="Jost"/>
          <w:b/>
          <w:bCs/>
          <w:color w:val="auto"/>
          <w:sz w:val="24"/>
          <w:szCs w:val="24"/>
          <w:lang w:val="lt-LT"/>
        </w:rPr>
      </w:pPr>
      <w:r w:rsidRPr="001610FF">
        <w:rPr>
          <w:rFonts w:ascii="Jost" w:hAnsi="Jost"/>
          <w:b/>
          <w:bCs/>
          <w:color w:val="auto"/>
          <w:sz w:val="24"/>
          <w:szCs w:val="24"/>
          <w:lang w:val="lt-LT"/>
        </w:rPr>
        <w:t>(PROJEKTAS)</w:t>
      </w:r>
    </w:p>
    <w:p w14:paraId="3CFAF1C0" w14:textId="77777777" w:rsidR="005E4F9C" w:rsidRPr="001610FF" w:rsidRDefault="005E4F9C" w:rsidP="005E4F9C">
      <w:pPr>
        <w:pStyle w:val="ListParagraph"/>
        <w:spacing w:after="0" w:line="240" w:lineRule="auto"/>
        <w:ind w:left="0" w:firstLine="680"/>
        <w:jc w:val="center"/>
        <w:rPr>
          <w:rFonts w:ascii="Jost" w:eastAsia="Calibri" w:hAnsi="Jost" w:cs="Times New Roman"/>
          <w:b/>
          <w:bCs/>
          <w:sz w:val="24"/>
          <w:szCs w:val="24"/>
        </w:rPr>
      </w:pPr>
    </w:p>
    <w:tbl>
      <w:tblPr>
        <w:tblW w:w="14670"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320"/>
        <w:gridCol w:w="5760"/>
        <w:gridCol w:w="3960"/>
      </w:tblGrid>
      <w:tr w:rsidR="001610FF" w:rsidRPr="001610FF" w14:paraId="0AA2A104" w14:textId="77777777" w:rsidTr="009266F9">
        <w:trPr>
          <w:trHeight w:val="776"/>
        </w:trPr>
        <w:tc>
          <w:tcPr>
            <w:tcW w:w="630" w:type="dxa"/>
            <w:shd w:val="pct10" w:color="auto" w:fill="auto"/>
            <w:vAlign w:val="center"/>
          </w:tcPr>
          <w:p w14:paraId="02191870" w14:textId="77777777" w:rsidR="005E4F9C" w:rsidRPr="001610FF" w:rsidRDefault="005E4F9C" w:rsidP="009266F9">
            <w:pPr>
              <w:tabs>
                <w:tab w:val="left" w:pos="179"/>
              </w:tabs>
              <w:ind w:left="-105" w:right="-139"/>
              <w:jc w:val="center"/>
              <w:rPr>
                <w:rFonts w:ascii="Jost" w:eastAsia="Times New Roman" w:hAnsi="Jost"/>
                <w:sz w:val="24"/>
                <w:szCs w:val="24"/>
              </w:rPr>
            </w:pPr>
            <w:r w:rsidRPr="001610FF">
              <w:rPr>
                <w:rFonts w:ascii="Jost" w:eastAsia="Times New Roman" w:hAnsi="Jost"/>
                <w:b/>
                <w:sz w:val="24"/>
                <w:szCs w:val="24"/>
              </w:rPr>
              <w:t>Eil. Nr.</w:t>
            </w:r>
          </w:p>
        </w:tc>
        <w:tc>
          <w:tcPr>
            <w:tcW w:w="4320" w:type="dxa"/>
            <w:shd w:val="pct10" w:color="auto" w:fill="auto"/>
            <w:vAlign w:val="center"/>
          </w:tcPr>
          <w:p w14:paraId="17CB3152" w14:textId="77777777" w:rsidR="005E4F9C" w:rsidRPr="001610FF" w:rsidRDefault="005E4F9C" w:rsidP="009266F9">
            <w:pPr>
              <w:jc w:val="center"/>
              <w:rPr>
                <w:rFonts w:ascii="Jost" w:eastAsia="Times New Roman" w:hAnsi="Jost"/>
                <w:sz w:val="24"/>
                <w:szCs w:val="24"/>
              </w:rPr>
            </w:pPr>
            <w:r w:rsidRPr="001610FF">
              <w:rPr>
                <w:rFonts w:ascii="Jost" w:eastAsia="Times New Roman" w:hAnsi="Jost"/>
                <w:b/>
                <w:sz w:val="24"/>
                <w:szCs w:val="24"/>
              </w:rPr>
              <w:t>Kvalifikacijos reikalavimai</w:t>
            </w:r>
          </w:p>
        </w:tc>
        <w:tc>
          <w:tcPr>
            <w:tcW w:w="5760" w:type="dxa"/>
            <w:shd w:val="pct10" w:color="auto" w:fill="auto"/>
            <w:vAlign w:val="center"/>
          </w:tcPr>
          <w:p w14:paraId="692FC5D8" w14:textId="77777777" w:rsidR="005E4F9C" w:rsidRPr="001610FF" w:rsidRDefault="005E4F9C" w:rsidP="009266F9">
            <w:pPr>
              <w:jc w:val="center"/>
              <w:rPr>
                <w:rFonts w:ascii="Jost" w:eastAsia="Times New Roman" w:hAnsi="Jost"/>
                <w:sz w:val="24"/>
                <w:szCs w:val="24"/>
              </w:rPr>
            </w:pPr>
            <w:r w:rsidRPr="001610FF">
              <w:rPr>
                <w:rFonts w:ascii="Jost" w:eastAsia="Times New Roman" w:hAnsi="Jost"/>
                <w:b/>
                <w:sz w:val="24"/>
                <w:szCs w:val="24"/>
              </w:rPr>
              <w:t>Kvalifikacijos reikalavimus įrodantys dokumentai</w:t>
            </w:r>
          </w:p>
        </w:tc>
        <w:tc>
          <w:tcPr>
            <w:tcW w:w="3960" w:type="dxa"/>
            <w:shd w:val="pct10" w:color="auto" w:fill="auto"/>
            <w:vAlign w:val="center"/>
          </w:tcPr>
          <w:p w14:paraId="68C5E302" w14:textId="77777777" w:rsidR="005E4F9C" w:rsidRPr="001610FF" w:rsidRDefault="005E4F9C" w:rsidP="009266F9">
            <w:pPr>
              <w:jc w:val="center"/>
              <w:rPr>
                <w:rFonts w:ascii="Jost" w:eastAsia="Times New Roman" w:hAnsi="Jost"/>
                <w:b/>
                <w:bCs/>
                <w:sz w:val="24"/>
                <w:szCs w:val="24"/>
              </w:rPr>
            </w:pPr>
            <w:r w:rsidRPr="001610FF">
              <w:rPr>
                <w:rFonts w:ascii="Jost" w:hAnsi="Jost"/>
                <w:b/>
                <w:bCs/>
                <w:sz w:val="24"/>
                <w:szCs w:val="24"/>
              </w:rPr>
              <w:t>Subjektas, kuris turi atitikti reikalavimą</w:t>
            </w:r>
          </w:p>
        </w:tc>
      </w:tr>
      <w:tr w:rsidR="001610FF" w:rsidRPr="001610FF" w14:paraId="19B0863C" w14:textId="77777777" w:rsidTr="005E4F9C">
        <w:tblPrEx>
          <w:tblBorders>
            <w:bottom w:val="single" w:sz="4" w:space="0" w:color="auto"/>
          </w:tblBorders>
        </w:tblPrEx>
        <w:trPr>
          <w:trHeight w:val="944"/>
        </w:trPr>
        <w:tc>
          <w:tcPr>
            <w:tcW w:w="630" w:type="dxa"/>
            <w:shd w:val="clear" w:color="auto" w:fill="auto"/>
          </w:tcPr>
          <w:p w14:paraId="1C07CF67" w14:textId="77777777" w:rsidR="005E4F9C" w:rsidRPr="001610FF" w:rsidRDefault="005E4F9C" w:rsidP="005E4F9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9"/>
              </w:tabs>
              <w:ind w:left="-105" w:right="-139" w:firstLine="0"/>
              <w:jc w:val="center"/>
              <w:rPr>
                <w:rFonts w:ascii="Jost" w:eastAsia="Times New Roman" w:hAnsi="Jost"/>
                <w:sz w:val="24"/>
                <w:szCs w:val="24"/>
              </w:rPr>
            </w:pPr>
          </w:p>
        </w:tc>
        <w:tc>
          <w:tcPr>
            <w:tcW w:w="4320" w:type="dxa"/>
            <w:shd w:val="clear" w:color="auto" w:fill="auto"/>
          </w:tcPr>
          <w:p w14:paraId="62528970" w14:textId="31FA0D7D" w:rsidR="005E4F9C" w:rsidRPr="001610FF" w:rsidRDefault="005E4F9C" w:rsidP="00DD2B34">
            <w:pPr>
              <w:widowControl w:val="0"/>
              <w:tabs>
                <w:tab w:val="left" w:pos="1276"/>
              </w:tabs>
              <w:ind w:firstLine="34"/>
              <w:outlineLvl w:val="1"/>
              <w:rPr>
                <w:rFonts w:ascii="Jost" w:eastAsia="Times New Roman" w:hAnsi="Jost"/>
                <w:sz w:val="24"/>
                <w:szCs w:val="24"/>
              </w:rPr>
            </w:pPr>
            <w:r w:rsidRPr="001610FF">
              <w:rPr>
                <w:rFonts w:ascii="Jost" w:eastAsia="Times New Roman" w:hAnsi="Jost"/>
                <w:sz w:val="24"/>
                <w:szCs w:val="24"/>
              </w:rPr>
              <w:t xml:space="preserve">Tiekėjas per pastaruosius 3 metus iki </w:t>
            </w:r>
            <w:r w:rsidR="002E5D6C" w:rsidRPr="001610FF">
              <w:rPr>
                <w:rFonts w:ascii="Jost" w:eastAsia="Times New Roman" w:hAnsi="Jost"/>
                <w:sz w:val="24"/>
                <w:szCs w:val="24"/>
              </w:rPr>
              <w:t xml:space="preserve">pasiūlymo </w:t>
            </w:r>
            <w:r w:rsidRPr="001610FF">
              <w:rPr>
                <w:rFonts w:ascii="Jost" w:eastAsia="Times New Roman" w:hAnsi="Jost"/>
                <w:sz w:val="24"/>
                <w:szCs w:val="24"/>
              </w:rPr>
              <w:t xml:space="preserve">pateikimo termino pabaigos arba per laiką nuo </w:t>
            </w:r>
            <w:r w:rsidR="00860949" w:rsidRPr="001610FF">
              <w:rPr>
                <w:rFonts w:ascii="Jost" w:eastAsia="Times New Roman" w:hAnsi="Jost"/>
                <w:sz w:val="24"/>
                <w:szCs w:val="24"/>
              </w:rPr>
              <w:t xml:space="preserve">tiekėjo </w:t>
            </w:r>
            <w:r w:rsidRPr="001610FF">
              <w:rPr>
                <w:rFonts w:ascii="Jost" w:eastAsia="Times New Roman" w:hAnsi="Jost"/>
                <w:sz w:val="24"/>
                <w:szCs w:val="24"/>
              </w:rPr>
              <w:t xml:space="preserve">įregistravimo dienos (jeigu Tiekėjas vykdė veiklą mažiau nei 3 metus) </w:t>
            </w:r>
            <w:r w:rsidR="008A708A" w:rsidRPr="001610FF">
              <w:rPr>
                <w:rFonts w:ascii="Jost" w:hAnsi="Jost" w:cs="Calibri"/>
                <w:sz w:val="24"/>
                <w:szCs w:val="24"/>
              </w:rPr>
              <w:t xml:space="preserve">pagal vieną ar daugiau sutarčių savo jėgomis yra suteikęs </w:t>
            </w:r>
            <w:r w:rsidR="008A708A" w:rsidRPr="001610FF">
              <w:rPr>
                <w:rFonts w:ascii="Jost" w:eastAsia="Times New Roman" w:hAnsi="Jost"/>
                <w:sz w:val="24"/>
                <w:szCs w:val="24"/>
              </w:rPr>
              <w:t xml:space="preserve">mokymo paslaugas, </w:t>
            </w:r>
            <w:r w:rsidR="00670F6B" w:rsidRPr="001610FF">
              <w:rPr>
                <w:rFonts w:ascii="Jost" w:eastAsia="Times New Roman" w:hAnsi="Jost"/>
                <w:sz w:val="24"/>
                <w:szCs w:val="24"/>
              </w:rPr>
              <w:t xml:space="preserve">kurių </w:t>
            </w:r>
            <w:r w:rsidR="008A708A" w:rsidRPr="001610FF">
              <w:rPr>
                <w:rFonts w:ascii="Jost" w:eastAsia="Times New Roman" w:hAnsi="Jost"/>
                <w:sz w:val="24"/>
                <w:szCs w:val="24"/>
              </w:rPr>
              <w:t>bendra</w:t>
            </w:r>
            <w:r w:rsidR="00670F6B" w:rsidRPr="001610FF">
              <w:rPr>
                <w:rFonts w:ascii="Jost" w:eastAsia="Times New Roman" w:hAnsi="Jost"/>
                <w:sz w:val="24"/>
                <w:szCs w:val="24"/>
              </w:rPr>
              <w:t xml:space="preserve"> </w:t>
            </w:r>
            <w:r w:rsidRPr="001610FF">
              <w:rPr>
                <w:rFonts w:ascii="Jost" w:eastAsia="Times New Roman" w:hAnsi="Jost"/>
                <w:sz w:val="24"/>
                <w:szCs w:val="24"/>
              </w:rPr>
              <w:t xml:space="preserve">vertė yra ne mažesnė nei </w:t>
            </w:r>
            <w:r w:rsidR="00896828" w:rsidRPr="001610FF">
              <w:rPr>
                <w:rFonts w:ascii="Jost" w:eastAsia="Times New Roman" w:hAnsi="Jost"/>
                <w:sz w:val="24"/>
                <w:szCs w:val="24"/>
              </w:rPr>
              <w:t>2</w:t>
            </w:r>
            <w:r w:rsidRPr="001610FF">
              <w:rPr>
                <w:rFonts w:ascii="Jost" w:eastAsia="Times New Roman" w:hAnsi="Jost"/>
                <w:sz w:val="24"/>
                <w:szCs w:val="24"/>
              </w:rPr>
              <w:t>0</w:t>
            </w:r>
            <w:r w:rsidR="00CF44A6" w:rsidRPr="001610FF">
              <w:rPr>
                <w:rFonts w:ascii="Jost" w:eastAsia="Times New Roman" w:hAnsi="Jost"/>
                <w:sz w:val="24"/>
                <w:szCs w:val="24"/>
              </w:rPr>
              <w:t> </w:t>
            </w:r>
            <w:r w:rsidRPr="001610FF">
              <w:rPr>
                <w:rFonts w:ascii="Jost" w:eastAsia="Times New Roman" w:hAnsi="Jost"/>
                <w:sz w:val="24"/>
                <w:szCs w:val="24"/>
              </w:rPr>
              <w:t>000</w:t>
            </w:r>
            <w:r w:rsidR="00CF44A6" w:rsidRPr="001610FF">
              <w:rPr>
                <w:rFonts w:ascii="Jost" w:eastAsia="Times New Roman" w:hAnsi="Jost"/>
                <w:sz w:val="24"/>
                <w:szCs w:val="24"/>
              </w:rPr>
              <w:t>,00</w:t>
            </w:r>
            <w:r w:rsidRPr="001610FF">
              <w:rPr>
                <w:rFonts w:ascii="Jost" w:eastAsia="Times New Roman" w:hAnsi="Jost"/>
                <w:sz w:val="24"/>
                <w:szCs w:val="24"/>
              </w:rPr>
              <w:t xml:space="preserve"> </w:t>
            </w:r>
            <w:r w:rsidR="00CF44A6" w:rsidRPr="001610FF">
              <w:rPr>
                <w:rFonts w:ascii="Jost" w:eastAsia="Times New Roman" w:hAnsi="Jost"/>
                <w:sz w:val="24"/>
                <w:szCs w:val="24"/>
              </w:rPr>
              <w:t xml:space="preserve">Eur </w:t>
            </w:r>
            <w:r w:rsidR="001C4694" w:rsidRPr="001610FF">
              <w:rPr>
                <w:rFonts w:ascii="Jost" w:eastAsia="Times New Roman" w:hAnsi="Jost"/>
                <w:sz w:val="24"/>
                <w:szCs w:val="24"/>
              </w:rPr>
              <w:t>be</w:t>
            </w:r>
            <w:r w:rsidRPr="001610FF">
              <w:rPr>
                <w:rFonts w:ascii="Jost" w:eastAsia="Times New Roman" w:hAnsi="Jost"/>
                <w:sz w:val="24"/>
                <w:szCs w:val="24"/>
              </w:rPr>
              <w:t xml:space="preserve"> PVM.</w:t>
            </w:r>
          </w:p>
          <w:p w14:paraId="6ABDF0D8" w14:textId="77777777" w:rsidR="00C23461" w:rsidRPr="001610FF" w:rsidRDefault="00C23461" w:rsidP="00DD2B34">
            <w:pPr>
              <w:widowControl w:val="0"/>
              <w:tabs>
                <w:tab w:val="left" w:pos="1276"/>
              </w:tabs>
              <w:ind w:firstLine="34"/>
              <w:outlineLvl w:val="1"/>
              <w:rPr>
                <w:rFonts w:ascii="Jost" w:eastAsia="Times New Roman" w:hAnsi="Jost"/>
                <w:sz w:val="24"/>
                <w:szCs w:val="24"/>
              </w:rPr>
            </w:pPr>
          </w:p>
          <w:p w14:paraId="753529C2" w14:textId="77777777" w:rsidR="00C23461" w:rsidRPr="001610FF" w:rsidRDefault="00C23461" w:rsidP="00C23461">
            <w:pPr>
              <w:rPr>
                <w:rFonts w:ascii="Jost" w:hAnsi="Jost" w:cs="Calibri"/>
                <w:sz w:val="24"/>
                <w:szCs w:val="24"/>
              </w:rPr>
            </w:pPr>
            <w:r w:rsidRPr="001610FF">
              <w:rPr>
                <w:rFonts w:ascii="Jost" w:hAnsi="Jost" w:cs="Calibri"/>
                <w:sz w:val="24"/>
                <w:szCs w:val="24"/>
              </w:rPr>
              <w:t>Galutinį rezultatą tiekėjas gali būti pasiekęs pagal vieną ar kelias sutartis, sudarytas dėl to paties objekto.</w:t>
            </w:r>
          </w:p>
          <w:p w14:paraId="138FDE35" w14:textId="77777777" w:rsidR="00C23461" w:rsidRPr="001610FF" w:rsidRDefault="00C23461" w:rsidP="00C23461">
            <w:pPr>
              <w:rPr>
                <w:rFonts w:ascii="Jost" w:hAnsi="Jost" w:cs="Calibri"/>
                <w:sz w:val="24"/>
                <w:szCs w:val="24"/>
              </w:rPr>
            </w:pPr>
          </w:p>
          <w:p w14:paraId="114C4BEF" w14:textId="06B617FE" w:rsidR="00C23461" w:rsidRPr="001610FF" w:rsidRDefault="00C23461" w:rsidP="00C23461">
            <w:pPr>
              <w:rPr>
                <w:rFonts w:ascii="Jost" w:hAnsi="Jost"/>
                <w:sz w:val="24"/>
                <w:szCs w:val="24"/>
              </w:rPr>
            </w:pPr>
            <w:r w:rsidRPr="001610FF">
              <w:rPr>
                <w:rFonts w:ascii="Jost" w:hAnsi="Jost"/>
                <w:sz w:val="24"/>
                <w:szCs w:val="24"/>
              </w:rPr>
              <w:t>Sutartis gali būti pradėta vykdyti anksčiau, nei prieš 3 (trejus) metus, tačiau sutarties vykdymo pabaiga turi patekti į 3 (trejų) metų laikotarpį, skaičiuojant nuo paskutinės pasiūlymo pateikimo termino dienos.</w:t>
            </w:r>
          </w:p>
          <w:p w14:paraId="3709B789" w14:textId="77777777" w:rsidR="00C23461" w:rsidRPr="001610FF" w:rsidRDefault="00C23461" w:rsidP="00C23461">
            <w:pPr>
              <w:rPr>
                <w:rFonts w:ascii="Jost" w:hAnsi="Jost" w:cs="Calibri"/>
                <w:sz w:val="24"/>
                <w:szCs w:val="24"/>
              </w:rPr>
            </w:pPr>
          </w:p>
          <w:p w14:paraId="72AC57B0" w14:textId="0AD2E6F4" w:rsidR="00C23461" w:rsidRPr="001610FF" w:rsidRDefault="00C23461" w:rsidP="00C23461">
            <w:pPr>
              <w:widowControl w:val="0"/>
              <w:tabs>
                <w:tab w:val="left" w:pos="1276"/>
              </w:tabs>
              <w:ind w:firstLine="34"/>
              <w:outlineLvl w:val="1"/>
              <w:rPr>
                <w:rFonts w:ascii="Jost" w:eastAsia="Times New Roman" w:hAnsi="Jost"/>
                <w:sz w:val="24"/>
                <w:szCs w:val="24"/>
              </w:rPr>
            </w:pPr>
            <w:r w:rsidRPr="001610FF">
              <w:rPr>
                <w:rFonts w:ascii="Jost" w:hAnsi="Jost" w:cs="Calibri"/>
                <w:sz w:val="24"/>
                <w:szCs w:val="24"/>
              </w:rPr>
              <w:t xml:space="preserve">Į bendrą sutarčių vertę bus skaičiuojama </w:t>
            </w:r>
            <w:r w:rsidRPr="001610FF">
              <w:rPr>
                <w:rFonts w:ascii="Jost" w:hAnsi="Jost" w:cs="Calibri"/>
                <w:i/>
                <w:iCs/>
                <w:sz w:val="24"/>
                <w:szCs w:val="24"/>
              </w:rPr>
              <w:t>tik per paskutinius 3 (trejus) metus iki pasiūlymo pateikimo termino pabaigos įvykdytos sutarties dalies vertė.</w:t>
            </w:r>
          </w:p>
        </w:tc>
        <w:tc>
          <w:tcPr>
            <w:tcW w:w="5760" w:type="dxa"/>
            <w:shd w:val="clear" w:color="auto" w:fill="auto"/>
          </w:tcPr>
          <w:p w14:paraId="0C070BE9" w14:textId="77777777" w:rsidR="00D4393F" w:rsidRPr="001610FF" w:rsidRDefault="00D4393F" w:rsidP="00D4393F">
            <w:pPr>
              <w:rPr>
                <w:rFonts w:ascii="Jost" w:eastAsiaTheme="minorHAnsi" w:hAnsi="Jost" w:cs="Calibri"/>
                <w:sz w:val="24"/>
                <w:szCs w:val="24"/>
              </w:rPr>
            </w:pPr>
            <w:r w:rsidRPr="001610FF">
              <w:rPr>
                <w:rFonts w:ascii="Jost" w:eastAsiaTheme="minorHAnsi" w:hAnsi="Jost" w:cs="Calibri"/>
                <w:sz w:val="24"/>
                <w:szCs w:val="24"/>
              </w:rPr>
              <w:lastRenderedPageBreak/>
              <w:t>Tiekėjas, kuris pagal vertinimo rezultatus galės būti pripažintas laimėjusiu, perkančiosios organizacijos prašymu, turės pateikti:</w:t>
            </w:r>
          </w:p>
          <w:p w14:paraId="05609E79" w14:textId="77777777" w:rsidR="00D4393F" w:rsidRPr="001610FF" w:rsidRDefault="00D4393F" w:rsidP="00D4393F">
            <w:pPr>
              <w:rPr>
                <w:rFonts w:ascii="Jost" w:eastAsiaTheme="minorHAnsi" w:hAnsi="Jost" w:cs="Calibri"/>
                <w:sz w:val="24"/>
                <w:szCs w:val="24"/>
              </w:rPr>
            </w:pPr>
            <w:r w:rsidRPr="001610FF">
              <w:rPr>
                <w:rFonts w:ascii="Jost" w:eastAsiaTheme="minorHAnsi" w:hAnsi="Jost" w:cs="Calibri"/>
                <w:sz w:val="24"/>
                <w:szCs w:val="24"/>
              </w:rPr>
              <w:t>1) Tiekėjo suteiktų paslaugų sąrašą (Pirkimo specialiųjų sąlygų priedas „Tiekėjo suteiktų paslaugų sąrašas“).</w:t>
            </w:r>
          </w:p>
          <w:p w14:paraId="66AC3D9B" w14:textId="5787D4B7" w:rsidR="00D4393F" w:rsidRPr="001610FF" w:rsidRDefault="00D4393F" w:rsidP="00D4393F">
            <w:pPr>
              <w:rPr>
                <w:rFonts w:ascii="Jost" w:eastAsia="Calibri" w:hAnsi="Jost" w:cs="Calibri"/>
                <w:sz w:val="24"/>
                <w:szCs w:val="24"/>
              </w:rPr>
            </w:pPr>
            <w:r w:rsidRPr="001610FF">
              <w:rPr>
                <w:rFonts w:ascii="Jost" w:eastAsiaTheme="minorHAnsi" w:hAnsi="Jost" w:cs="Calibri"/>
                <w:sz w:val="24"/>
                <w:szCs w:val="24"/>
              </w:rPr>
              <w:t xml:space="preserve">2) užsakovo (-ų) pažyma (-os) </w:t>
            </w:r>
            <w:r w:rsidRPr="001610FF">
              <w:rPr>
                <w:rFonts w:ascii="Jost" w:eastAsia="Calibri" w:hAnsi="Jost" w:cs="Calibri"/>
                <w:sz w:val="24"/>
                <w:szCs w:val="24"/>
              </w:rPr>
              <w:t>apie tinkamai suteiktas paslaugas. Pateikiamose pažymose turi būti nurodytas sutarties objektas (suteiktos paslaugos), suteiktų paslaugų data, bendra vertė, jų gavėjas ir ar paslaugos buvo suteiktos tinkamai.</w:t>
            </w:r>
          </w:p>
          <w:p w14:paraId="78C43F3E" w14:textId="77777777" w:rsidR="00D4393F" w:rsidRPr="001610FF" w:rsidRDefault="00D4393F" w:rsidP="00D4393F">
            <w:pPr>
              <w:rPr>
                <w:rFonts w:ascii="Jost" w:eastAsiaTheme="minorHAnsi" w:hAnsi="Jost" w:cs="Calibri"/>
                <w:i/>
                <w:iCs/>
                <w:sz w:val="24"/>
                <w:szCs w:val="24"/>
              </w:rPr>
            </w:pPr>
          </w:p>
          <w:p w14:paraId="1BBB28DC" w14:textId="65638A8D" w:rsidR="00D4393F" w:rsidRPr="001610FF" w:rsidRDefault="00D4393F" w:rsidP="00D4393F">
            <w:pPr>
              <w:rPr>
                <w:rFonts w:ascii="Jost" w:eastAsiaTheme="minorHAnsi" w:hAnsi="Jost" w:cs="Calibri"/>
                <w:sz w:val="24"/>
                <w:szCs w:val="24"/>
              </w:rPr>
            </w:pPr>
            <w:r w:rsidRPr="001610FF">
              <w:rPr>
                <w:rFonts w:ascii="Jost" w:eastAsiaTheme="minorHAnsi" w:hAnsi="Jost" w:cs="Calibri"/>
                <w:b/>
                <w:bCs/>
                <w:i/>
                <w:iCs/>
                <w:sz w:val="24"/>
                <w:szCs w:val="24"/>
              </w:rPr>
              <w:t>Pastaba:</w:t>
            </w:r>
            <w:r w:rsidRPr="001610FF">
              <w:rPr>
                <w:rFonts w:ascii="Jost" w:eastAsiaTheme="minorHAnsi" w:hAnsi="Jost" w:cs="Calibri"/>
                <w:i/>
                <w:iCs/>
                <w:sz w:val="24"/>
                <w:szCs w:val="24"/>
              </w:rPr>
              <w:t xml:space="preserve"> </w:t>
            </w:r>
            <w:r w:rsidRPr="001610FF">
              <w:rPr>
                <w:rFonts w:ascii="Jost" w:eastAsiaTheme="minorHAnsi" w:hAnsi="Jost" w:cs="Calibri"/>
                <w:sz w:val="24"/>
                <w:szCs w:val="24"/>
              </w:rPr>
              <w:t>Perkančioji organizacija, norėdama įsitikinti tiekėjo pajėgumu įvykdyti sutartį ir (arba) pasitikslinti pateiktą informaciją, gali paprašyti pateikti įvykdytų paslaugų sutarčių kopijas arba išrašus iš šių sutarčių, sutarties objektą apibūdinančius dokumentus (pvz., techninę specifikaciją) bei kitus, perkančiosios organizacijos manymu reikiamus dokumentus ir informaciją.</w:t>
            </w:r>
          </w:p>
          <w:p w14:paraId="4863A0F0" w14:textId="77777777" w:rsidR="00423465" w:rsidRPr="001610FF" w:rsidRDefault="00423465" w:rsidP="00D4393F">
            <w:pPr>
              <w:rPr>
                <w:rFonts w:ascii="Jost" w:eastAsiaTheme="minorHAnsi" w:hAnsi="Jost" w:cs="Calibri"/>
                <w:sz w:val="24"/>
                <w:szCs w:val="24"/>
              </w:rPr>
            </w:pPr>
          </w:p>
          <w:p w14:paraId="0002FC34" w14:textId="71247806" w:rsidR="005E4F9C" w:rsidRPr="001610FF" w:rsidRDefault="00D4393F" w:rsidP="00DD2B34">
            <w:pPr>
              <w:rPr>
                <w:rFonts w:ascii="Jost" w:eastAsia="Times New Roman" w:hAnsi="Jost"/>
                <w:sz w:val="24"/>
                <w:szCs w:val="24"/>
              </w:rPr>
            </w:pPr>
            <w:r w:rsidRPr="001610FF">
              <w:rPr>
                <w:rFonts w:ascii="Jost" w:eastAsiaTheme="minorHAnsi" w:hAnsi="Jost" w:cs="Calibri"/>
                <w:sz w:val="24"/>
                <w:szCs w:val="24"/>
              </w:rPr>
              <w:lastRenderedPageBreak/>
              <w:t>Perkančioji organizacija, siekdama patikslinti informaciją apie įvykdytas sutartis, pasilieka teisę be išankstinio įspėjimo susisiekti su tiekėjo nurodytais užsakovais.</w:t>
            </w:r>
          </w:p>
        </w:tc>
        <w:tc>
          <w:tcPr>
            <w:tcW w:w="3960" w:type="dxa"/>
          </w:tcPr>
          <w:p w14:paraId="0D9215AF" w14:textId="77777777" w:rsidR="005E4F9C" w:rsidRPr="001610FF" w:rsidRDefault="005E4F9C" w:rsidP="00DD2B34">
            <w:pPr>
              <w:rPr>
                <w:rFonts w:ascii="Jost" w:eastAsia="Times New Roman" w:hAnsi="Jost"/>
                <w:sz w:val="24"/>
                <w:szCs w:val="24"/>
              </w:rPr>
            </w:pPr>
            <w:r w:rsidRPr="001610FF">
              <w:rPr>
                <w:rFonts w:ascii="Jost" w:eastAsia="Times New Roman" w:hAnsi="Jost"/>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3856964B" w14:textId="77777777" w:rsidR="005E4F9C" w:rsidRPr="001610FF" w:rsidRDefault="005E4F9C" w:rsidP="00DD2B34">
            <w:pPr>
              <w:rPr>
                <w:rFonts w:ascii="Jost" w:hAnsi="Jost"/>
                <w:sz w:val="24"/>
                <w:szCs w:val="24"/>
              </w:rPr>
            </w:pPr>
            <w:r w:rsidRPr="001610FF">
              <w:rPr>
                <w:rFonts w:ascii="Jost" w:hAnsi="Jost"/>
                <w:sz w:val="24"/>
                <w:szCs w:val="24"/>
              </w:rPr>
              <w:t>Tiekėjas gali remtis kitų ūkio subjektų pajėgumais tik tuo atveju, jeigu tie subjektai patys vykdys tą pirkimo sutarties dalį, kuriai reikia jų turimų pajėgumų.</w:t>
            </w:r>
          </w:p>
          <w:p w14:paraId="6CD099FE" w14:textId="77777777" w:rsidR="005E4F9C" w:rsidRPr="001610FF" w:rsidRDefault="005E4F9C" w:rsidP="00DD2B34">
            <w:pPr>
              <w:rPr>
                <w:rFonts w:ascii="Jost" w:eastAsia="Times New Roman" w:hAnsi="Jost"/>
                <w:b/>
                <w:bCs/>
                <w:sz w:val="24"/>
                <w:szCs w:val="24"/>
              </w:rPr>
            </w:pPr>
            <w:r w:rsidRPr="001610FF">
              <w:rPr>
                <w:rFonts w:ascii="Jost" w:hAnsi="Jost"/>
                <w:iCs/>
                <w:sz w:val="24"/>
                <w:szCs w:val="24"/>
                <w:lang w:eastAsia="lt-LT"/>
              </w:rPr>
              <w:t xml:space="preserve">Tiekėjui nedraudžiama remtis sutartimi, kurią tiekėjas vykdė ne vienas, bet kartu su kitais ūkio subjektais. Tačiau tokiu atveju turi būti vertinami būtent konkretaus tiekėjo, dalyvaujančio viešajame pirkime, pristatytos (ir sumontuotos, jei taikoma) prekės ar paslaugos </w:t>
            </w:r>
            <w:r w:rsidRPr="001610FF">
              <w:rPr>
                <w:rFonts w:ascii="Jost" w:hAnsi="Jost"/>
                <w:iCs/>
                <w:sz w:val="24"/>
                <w:szCs w:val="24"/>
                <w:lang w:eastAsia="lt-LT"/>
              </w:rPr>
              <w:lastRenderedPageBreak/>
              <w:t>(priklausomai nuo perkamo objekto), jų apimtis, vertė, o ne visas vykdytos sutarties objektas.</w:t>
            </w:r>
          </w:p>
        </w:tc>
      </w:tr>
      <w:tr w:rsidR="001610FF" w:rsidRPr="001610FF" w14:paraId="29A750C7" w14:textId="77777777" w:rsidTr="005E4F9C">
        <w:tblPrEx>
          <w:tblBorders>
            <w:bottom w:val="single" w:sz="4" w:space="0" w:color="auto"/>
          </w:tblBorders>
        </w:tblPrEx>
        <w:trPr>
          <w:trHeight w:val="944"/>
        </w:trPr>
        <w:tc>
          <w:tcPr>
            <w:tcW w:w="630" w:type="dxa"/>
            <w:vMerge w:val="restart"/>
          </w:tcPr>
          <w:p w14:paraId="7F47148C" w14:textId="77777777" w:rsidR="00C532FB" w:rsidRPr="001610FF" w:rsidRDefault="00C532FB" w:rsidP="000D110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9"/>
              </w:tabs>
              <w:ind w:left="-105" w:right="-139" w:firstLine="0"/>
              <w:jc w:val="center"/>
              <w:rPr>
                <w:rFonts w:ascii="Jost" w:eastAsia="Times New Roman" w:hAnsi="Jost"/>
                <w:sz w:val="24"/>
                <w:szCs w:val="24"/>
              </w:rPr>
            </w:pPr>
          </w:p>
        </w:tc>
        <w:tc>
          <w:tcPr>
            <w:tcW w:w="4320" w:type="dxa"/>
          </w:tcPr>
          <w:p w14:paraId="7ECD6B55" w14:textId="1C1AC661" w:rsidR="00C532FB" w:rsidRPr="001610FF" w:rsidRDefault="00C532FB" w:rsidP="000D1107">
            <w:pPr>
              <w:rPr>
                <w:rFonts w:ascii="Jost" w:hAnsi="Jost" w:cs="Calibri"/>
                <w:sz w:val="24"/>
                <w:szCs w:val="24"/>
              </w:rPr>
            </w:pPr>
            <w:r w:rsidRPr="001610FF">
              <w:rPr>
                <w:rFonts w:ascii="Jost" w:hAnsi="Jost" w:cs="Calibri"/>
                <w:sz w:val="24"/>
                <w:szCs w:val="24"/>
              </w:rPr>
              <w:t xml:space="preserve">Tiekėjas turi pasiūlyti kvalifikuotus už pirkimo sutarties vykdymą atsakingus specialistus, galinčius suteikti reikalaujamas paslaugas. </w:t>
            </w:r>
          </w:p>
          <w:p w14:paraId="6FF39DB6" w14:textId="77777777" w:rsidR="00E366B4" w:rsidRPr="001610FF" w:rsidRDefault="00E366B4" w:rsidP="000D1107">
            <w:pPr>
              <w:rPr>
                <w:rFonts w:ascii="Jost" w:hAnsi="Jost" w:cs="Calibri"/>
                <w:sz w:val="24"/>
                <w:szCs w:val="24"/>
              </w:rPr>
            </w:pPr>
          </w:p>
          <w:p w14:paraId="09037692" w14:textId="4555ED9E" w:rsidR="00C532FB" w:rsidRPr="001610FF" w:rsidRDefault="00C532FB" w:rsidP="000D1107">
            <w:pPr>
              <w:rPr>
                <w:rFonts w:ascii="Jost" w:hAnsi="Jost" w:cs="Calibri"/>
                <w:sz w:val="24"/>
                <w:szCs w:val="24"/>
              </w:rPr>
            </w:pPr>
            <w:r w:rsidRPr="001610FF">
              <w:rPr>
                <w:rFonts w:ascii="Jost" w:hAnsi="Jost" w:cs="Calibri"/>
                <w:sz w:val="24"/>
                <w:szCs w:val="24"/>
              </w:rPr>
              <w:t xml:space="preserve">Tiekėjo siūlomas (-i) specialistas (-ai) turi atitikti 2.1 papunktyje nurodytus kvalifikacijos reikalavimus. </w:t>
            </w:r>
          </w:p>
          <w:p w14:paraId="4D39E87D" w14:textId="10748CF9" w:rsidR="00C532FB" w:rsidRPr="001610FF" w:rsidRDefault="00C532FB" w:rsidP="000D1107">
            <w:pPr>
              <w:outlineLvl w:val="2"/>
              <w:rPr>
                <w:rFonts w:ascii="Jost" w:hAnsi="Jost"/>
                <w:sz w:val="24"/>
                <w:szCs w:val="24"/>
              </w:rPr>
            </w:pPr>
            <w:r w:rsidRPr="001610FF">
              <w:rPr>
                <w:rFonts w:ascii="Jost" w:hAnsi="Jost"/>
                <w:sz w:val="24"/>
                <w:szCs w:val="24"/>
              </w:rPr>
              <w:t xml:space="preserve">Tiekėjas gali pasiūlyti daugiau nei vieną specialistą į 2.1 papunktyje nurodytą  poziciją, jeigu šių </w:t>
            </w:r>
            <w:r w:rsidRPr="001610FF">
              <w:rPr>
                <w:rFonts w:ascii="Jost" w:hAnsi="Jost" w:cs="Calibri"/>
                <w:sz w:val="24"/>
                <w:szCs w:val="24"/>
              </w:rPr>
              <w:t>specialistų kvalifikacija atitinka tai pozicijai keliamus reikalavimus</w:t>
            </w:r>
            <w:r w:rsidRPr="001610FF">
              <w:rPr>
                <w:rFonts w:ascii="Jost" w:hAnsi="Jost"/>
                <w:sz w:val="24"/>
                <w:szCs w:val="24"/>
              </w:rPr>
              <w:t>.</w:t>
            </w:r>
          </w:p>
          <w:p w14:paraId="105446FE" w14:textId="1100228B" w:rsidR="00C532FB" w:rsidRPr="001610FF" w:rsidRDefault="00C532FB" w:rsidP="000D1107">
            <w:pPr>
              <w:outlineLvl w:val="2"/>
              <w:rPr>
                <w:rFonts w:ascii="Jost" w:eastAsia="Calibri" w:hAnsi="Jost" w:cs="Calibri"/>
                <w:sz w:val="24"/>
                <w:szCs w:val="24"/>
              </w:rPr>
            </w:pPr>
            <w:r w:rsidRPr="001610FF">
              <w:rPr>
                <w:rFonts w:ascii="Jost" w:eastAsia="Calibri" w:hAnsi="Jost" w:cs="Calibri"/>
                <w:sz w:val="24"/>
                <w:szCs w:val="24"/>
              </w:rPr>
              <w:t>Patirties įgijimo terminai skaičiuojami iki paskutinės pasiūlymo pateikimo termino datos.</w:t>
            </w:r>
          </w:p>
          <w:p w14:paraId="64EC2B0E" w14:textId="6264532B" w:rsidR="00C532FB" w:rsidRPr="001610FF" w:rsidRDefault="00C532FB" w:rsidP="00C709C5">
            <w:pPr>
              <w:tabs>
                <w:tab w:val="left" w:pos="1296"/>
                <w:tab w:val="left" w:pos="2592"/>
                <w:tab w:val="left" w:pos="3888"/>
                <w:tab w:val="left" w:pos="5184"/>
              </w:tabs>
              <w:autoSpaceDE w:val="0"/>
              <w:autoSpaceDN w:val="0"/>
              <w:adjustRightInd w:val="0"/>
              <w:rPr>
                <w:rFonts w:ascii="Jost" w:eastAsia="Times New Roman" w:hAnsi="Jost"/>
                <w:sz w:val="24"/>
                <w:szCs w:val="24"/>
              </w:rPr>
            </w:pPr>
            <w:r w:rsidRPr="001610FF">
              <w:rPr>
                <w:rFonts w:ascii="Jost" w:eastAsia="Calibri" w:hAnsi="Jost" w:cs="Calibri"/>
                <w:sz w:val="24"/>
                <w:szCs w:val="24"/>
              </w:rPr>
              <w:t>Vertinant specialisto (-ų) patirtį, sutartys turi būti įgyvendintos iki pasiūlymo pateikimo termino pabaigos.</w:t>
            </w:r>
            <w:r w:rsidRPr="001610FF">
              <w:rPr>
                <w:rFonts w:ascii="Jost" w:hAnsi="Jost"/>
                <w:sz w:val="24"/>
                <w:szCs w:val="24"/>
              </w:rPr>
              <w:t xml:space="preserve"> </w:t>
            </w:r>
          </w:p>
        </w:tc>
        <w:tc>
          <w:tcPr>
            <w:tcW w:w="5760" w:type="dxa"/>
            <w:vMerge w:val="restart"/>
          </w:tcPr>
          <w:p w14:paraId="4B2B8FFD" w14:textId="77777777" w:rsidR="00C532FB" w:rsidRPr="001610FF" w:rsidRDefault="00C532FB" w:rsidP="000D1107">
            <w:pPr>
              <w:rPr>
                <w:rFonts w:ascii="Jost" w:eastAsiaTheme="minorHAnsi" w:hAnsi="Jost" w:cs="Calibri"/>
                <w:sz w:val="24"/>
                <w:szCs w:val="24"/>
              </w:rPr>
            </w:pPr>
            <w:bookmarkStart w:id="0" w:name="_Hlk178336507"/>
            <w:r w:rsidRPr="001610FF">
              <w:rPr>
                <w:rFonts w:ascii="Jost" w:eastAsiaTheme="minorHAnsi" w:hAnsi="Jost" w:cs="Calibri"/>
                <w:b/>
                <w:bCs/>
                <w:sz w:val="24"/>
                <w:szCs w:val="24"/>
              </w:rPr>
              <w:t>Tiekėjas, kuris pagal vertinimo rezultatus galės būti pripažintas laimėjusiu, perkančiosios organizacijos prašymu, turės pateikti</w:t>
            </w:r>
            <w:r w:rsidRPr="001610FF">
              <w:rPr>
                <w:rFonts w:ascii="Jost" w:eastAsiaTheme="minorHAnsi" w:hAnsi="Jost" w:cs="Calibri"/>
                <w:sz w:val="24"/>
                <w:szCs w:val="24"/>
              </w:rPr>
              <w:t>:</w:t>
            </w:r>
          </w:p>
          <w:p w14:paraId="613FB759" w14:textId="28959CED" w:rsidR="00C532FB" w:rsidRPr="001610FF" w:rsidRDefault="00C532FB" w:rsidP="000D1107">
            <w:pPr>
              <w:rPr>
                <w:rFonts w:ascii="Jost" w:eastAsiaTheme="minorHAnsi" w:hAnsi="Jost" w:cs="Calibri"/>
                <w:sz w:val="24"/>
                <w:szCs w:val="24"/>
              </w:rPr>
            </w:pPr>
            <w:r w:rsidRPr="001610FF">
              <w:rPr>
                <w:rFonts w:ascii="Jost" w:eastAsiaTheme="minorHAnsi" w:hAnsi="Jost" w:cs="Calibri"/>
                <w:sz w:val="24"/>
                <w:szCs w:val="24"/>
              </w:rPr>
              <w:t>1) Užpildytą Pirkimo specialiųjų sąlygų priedą „</w:t>
            </w:r>
            <w:r w:rsidRPr="001610FF">
              <w:rPr>
                <w:rFonts w:ascii="Jost" w:eastAsia="Arial" w:hAnsi="Jost" w:cs="Calibri"/>
                <w:sz w:val="24"/>
                <w:szCs w:val="24"/>
              </w:rPr>
              <w:t>Tiekėjų siūlomų specialistų sąrašas</w:t>
            </w:r>
            <w:r w:rsidRPr="001610FF">
              <w:rPr>
                <w:rFonts w:ascii="Jost" w:eastAsiaTheme="minorHAnsi" w:hAnsi="Jost" w:cs="Calibri"/>
                <w:sz w:val="24"/>
                <w:szCs w:val="24"/>
              </w:rPr>
              <w:t xml:space="preserve">“, kuriame turi būti nurodyta kiekvieno specialisto vardas, pavardė, siūloma pozicija sutartyje, darbo patirties </w:t>
            </w:r>
            <w:bookmarkEnd w:id="0"/>
            <w:r w:rsidRPr="001610FF">
              <w:rPr>
                <w:rFonts w:ascii="Jost" w:eastAsiaTheme="minorHAnsi" w:hAnsi="Jost" w:cs="Calibri"/>
                <w:sz w:val="24"/>
                <w:szCs w:val="24"/>
              </w:rPr>
              <w:t>aprašymas;</w:t>
            </w:r>
          </w:p>
          <w:p w14:paraId="1E5487F3" w14:textId="77777777" w:rsidR="00C532FB" w:rsidRPr="001610FF" w:rsidRDefault="00C532FB" w:rsidP="000564F8">
            <w:pPr>
              <w:rPr>
                <w:rFonts w:ascii="Jost" w:eastAsia="Times New Roman" w:hAnsi="Jost"/>
                <w:sz w:val="24"/>
                <w:szCs w:val="24"/>
                <w:lang w:eastAsia="lt-LT"/>
              </w:rPr>
            </w:pPr>
            <w:r w:rsidRPr="001610FF">
              <w:rPr>
                <w:rFonts w:ascii="Jost" w:hAnsi="Jost" w:cs="Calibri"/>
                <w:sz w:val="24"/>
                <w:szCs w:val="24"/>
              </w:rPr>
              <w:t xml:space="preserve">2) Tuo atveju, jei siūlomas specialistas nėra tiekėjo darbuotojas, </w:t>
            </w:r>
            <w:r w:rsidRPr="001610FF">
              <w:rPr>
                <w:rFonts w:ascii="Jost" w:eastAsia="Calibri" w:hAnsi="Jost" w:cs="Calibri"/>
                <w:sz w:val="24"/>
                <w:szCs w:val="24"/>
              </w:rPr>
              <w:t>turi būti pateiktas siūlomo specialisto pasirašytas sutikimas atlikti jam priskirtas funkcijas</w:t>
            </w:r>
            <w:r w:rsidRPr="001610FF">
              <w:rPr>
                <w:rFonts w:ascii="Jost" w:hAnsi="Jost" w:cs="Calibri"/>
                <w:sz w:val="24"/>
                <w:szCs w:val="24"/>
              </w:rPr>
              <w:t>, ketinimų protokolas, sutartis arba kitas dokumentas, sudarytas iki pasiūlymų pateikimo termino pabaigos, įrodantis, kad siūlomo specialisto ištekliai tiekėjui laimėjus viešąjį pirkimą ir pasirašius viešojo pirkimo sutartį bus prieinami.</w:t>
            </w:r>
            <w:r w:rsidRPr="001610FF">
              <w:rPr>
                <w:rFonts w:ascii="Jost" w:eastAsia="Times New Roman" w:hAnsi="Jost"/>
                <w:sz w:val="24"/>
                <w:szCs w:val="24"/>
                <w:lang w:eastAsia="lt-LT"/>
              </w:rPr>
              <w:t xml:space="preserve"> </w:t>
            </w:r>
          </w:p>
          <w:p w14:paraId="513DA77B" w14:textId="564382D9" w:rsidR="00C532FB" w:rsidRPr="001610FF" w:rsidRDefault="00C532FB" w:rsidP="000564F8">
            <w:pPr>
              <w:rPr>
                <w:rFonts w:ascii="Jost" w:eastAsia="Times New Roman" w:hAnsi="Jost"/>
                <w:sz w:val="24"/>
                <w:szCs w:val="24"/>
                <w:lang w:eastAsia="lt-LT"/>
              </w:rPr>
            </w:pPr>
            <w:r w:rsidRPr="001610FF">
              <w:rPr>
                <w:rFonts w:ascii="Jost" w:eastAsia="Times New Roman" w:hAnsi="Jost"/>
                <w:sz w:val="24"/>
                <w:szCs w:val="24"/>
                <w:lang w:eastAsia="lt-LT"/>
              </w:rPr>
              <w:t>3) Pasirašytą specialisto darbinės veiklos aprašymą (CV), kuriame turi būti aiškiai nurodyta, kad siūlomas specialistas atitinka 2.1 punkte nurodytus reikalavimus</w:t>
            </w:r>
          </w:p>
          <w:p w14:paraId="770F5E1F" w14:textId="77777777" w:rsidR="00C532FB" w:rsidRPr="001610FF" w:rsidRDefault="00C532FB" w:rsidP="000564F8">
            <w:pPr>
              <w:pStyle w:val="ListParagraph"/>
              <w:widowControl w:val="0"/>
              <w:tabs>
                <w:tab w:val="left" w:pos="372"/>
                <w:tab w:val="left" w:pos="557"/>
              </w:tabs>
              <w:snapToGrid w:val="0"/>
              <w:spacing w:line="240" w:lineRule="auto"/>
              <w:ind w:left="17"/>
              <w:jc w:val="both"/>
              <w:rPr>
                <w:rFonts w:ascii="Jost" w:eastAsia="Times New Roman" w:hAnsi="Jost"/>
                <w:b/>
                <w:bCs/>
                <w:sz w:val="24"/>
                <w:szCs w:val="24"/>
                <w:lang w:eastAsia="lt-LT"/>
              </w:rPr>
            </w:pPr>
            <w:r w:rsidRPr="001610FF">
              <w:rPr>
                <w:rFonts w:ascii="Jost" w:eastAsia="Times New Roman" w:hAnsi="Jost"/>
                <w:sz w:val="24"/>
                <w:szCs w:val="24"/>
                <w:lang w:eastAsia="lt-LT"/>
              </w:rPr>
              <w:t>4) Siūlomo specialisto diplomų, pažymėjimų ar kitų kvalifikaciją įrodančių dokumentų skaitmenines kopijas.</w:t>
            </w:r>
          </w:p>
          <w:p w14:paraId="533C9D03" w14:textId="239AD090" w:rsidR="00C532FB" w:rsidRPr="001610FF" w:rsidRDefault="00C532FB" w:rsidP="000D1107">
            <w:pPr>
              <w:rPr>
                <w:rFonts w:ascii="Jost" w:eastAsia="Times New Roman" w:hAnsi="Jost"/>
                <w:b/>
                <w:bCs/>
                <w:sz w:val="24"/>
                <w:szCs w:val="24"/>
                <w:lang w:eastAsia="lt-LT"/>
              </w:rPr>
            </w:pPr>
            <w:r w:rsidRPr="001610FF">
              <w:rPr>
                <w:rFonts w:ascii="Jost" w:eastAsia="Times New Roman" w:hAnsi="Jost"/>
                <w:sz w:val="24"/>
                <w:szCs w:val="24"/>
                <w:lang w:eastAsia="lt-LT"/>
              </w:rPr>
              <w:t xml:space="preserve"> </w:t>
            </w:r>
          </w:p>
        </w:tc>
        <w:tc>
          <w:tcPr>
            <w:tcW w:w="3960" w:type="dxa"/>
            <w:vMerge w:val="restart"/>
          </w:tcPr>
          <w:p w14:paraId="57606FA1" w14:textId="77777777" w:rsidR="00C532FB" w:rsidRPr="001610FF" w:rsidRDefault="00C532FB" w:rsidP="000D1107">
            <w:pPr>
              <w:rPr>
                <w:rFonts w:ascii="Jost" w:hAnsi="Jost"/>
                <w:sz w:val="24"/>
                <w:szCs w:val="24"/>
              </w:rPr>
            </w:pPr>
          </w:p>
        </w:tc>
      </w:tr>
      <w:tr w:rsidR="001610FF" w:rsidRPr="001610FF" w14:paraId="3EDE4EB7" w14:textId="77777777" w:rsidTr="005E4F9C">
        <w:tblPrEx>
          <w:tblBorders>
            <w:bottom w:val="single" w:sz="4" w:space="0" w:color="auto"/>
          </w:tblBorders>
        </w:tblPrEx>
        <w:trPr>
          <w:trHeight w:val="944"/>
        </w:trPr>
        <w:tc>
          <w:tcPr>
            <w:tcW w:w="630" w:type="dxa"/>
            <w:vMerge/>
          </w:tcPr>
          <w:p w14:paraId="710571B3" w14:textId="77777777" w:rsidR="00C532FB" w:rsidRPr="001610FF" w:rsidRDefault="00C532FB" w:rsidP="000D110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9"/>
              </w:tabs>
              <w:ind w:left="-105" w:right="-139" w:firstLine="0"/>
              <w:jc w:val="center"/>
              <w:rPr>
                <w:rFonts w:ascii="Jost" w:eastAsia="Times New Roman" w:hAnsi="Jost"/>
                <w:sz w:val="24"/>
                <w:szCs w:val="24"/>
              </w:rPr>
            </w:pPr>
          </w:p>
        </w:tc>
        <w:tc>
          <w:tcPr>
            <w:tcW w:w="4320" w:type="dxa"/>
          </w:tcPr>
          <w:p w14:paraId="7B189186" w14:textId="22078889" w:rsidR="00C532FB" w:rsidRPr="001610FF" w:rsidRDefault="00C532FB" w:rsidP="000D1107">
            <w:pPr>
              <w:rPr>
                <w:rFonts w:ascii="Jost" w:eastAsia="Times New Roman" w:hAnsi="Jost"/>
                <w:b/>
                <w:sz w:val="24"/>
                <w:szCs w:val="24"/>
              </w:rPr>
            </w:pPr>
            <w:r w:rsidRPr="001610FF">
              <w:rPr>
                <w:rFonts w:ascii="Jost" w:eastAsia="Times New Roman" w:hAnsi="Jost"/>
                <w:b/>
                <w:sz w:val="24"/>
                <w:szCs w:val="24"/>
              </w:rPr>
              <w:t>2.1. Tiekėjo siūlomas mokymų lektorius  turi atitikti</w:t>
            </w:r>
            <w:r w:rsidRPr="001610FF">
              <w:rPr>
                <w:rFonts w:ascii="Jost" w:eastAsia="Calibri" w:hAnsi="Jost"/>
                <w:b/>
                <w:sz w:val="24"/>
                <w:szCs w:val="24"/>
              </w:rPr>
              <w:t xml:space="preserve"> šiuos reikalavimus</w:t>
            </w:r>
            <w:r w:rsidRPr="001610FF">
              <w:rPr>
                <w:rFonts w:ascii="Jost" w:eastAsia="Times New Roman" w:hAnsi="Jost"/>
                <w:b/>
                <w:sz w:val="24"/>
                <w:szCs w:val="24"/>
              </w:rPr>
              <w:t>:</w:t>
            </w:r>
          </w:p>
          <w:p w14:paraId="2CF181B7" w14:textId="160DACD7" w:rsidR="00C532FB" w:rsidRPr="001610FF" w:rsidRDefault="00C532FB" w:rsidP="000D1107">
            <w:pPr>
              <w:rPr>
                <w:rFonts w:ascii="Jost" w:eastAsia="Calibri" w:hAnsi="Jost"/>
                <w:sz w:val="24"/>
                <w:szCs w:val="24"/>
              </w:rPr>
            </w:pPr>
            <w:r w:rsidRPr="001610FF">
              <w:rPr>
                <w:rFonts w:ascii="Jost" w:eastAsia="Calibri" w:hAnsi="Jost"/>
                <w:sz w:val="24"/>
                <w:szCs w:val="24"/>
              </w:rPr>
              <w:lastRenderedPageBreak/>
              <w:t>2.1.1. turi turėti teisės ar ekonomikos krypties aukštąjį arba jam prilyginamą išsilavinimą ir per pastaruosius 3 metus iki pasiūlymo pateikimo termino pabaigos turi būti rengęs ir dėstęs ne mažiau kaip 1 (vienerius) praktinius mokymus viešojo ar privataus sektoriaus administravimo srityje.</w:t>
            </w:r>
          </w:p>
        </w:tc>
        <w:tc>
          <w:tcPr>
            <w:tcW w:w="5760" w:type="dxa"/>
            <w:vMerge/>
          </w:tcPr>
          <w:p w14:paraId="46EB9E9E" w14:textId="51AB1FB4" w:rsidR="00C532FB" w:rsidRPr="001610FF" w:rsidRDefault="00C532FB" w:rsidP="000D1107">
            <w:pPr>
              <w:rPr>
                <w:rFonts w:ascii="Jost" w:eastAsia="Times New Roman" w:hAnsi="Jost"/>
                <w:sz w:val="24"/>
                <w:szCs w:val="24"/>
                <w:highlight w:val="yellow"/>
                <w:lang w:eastAsia="lt-LT"/>
              </w:rPr>
            </w:pPr>
          </w:p>
        </w:tc>
        <w:tc>
          <w:tcPr>
            <w:tcW w:w="3960" w:type="dxa"/>
            <w:vMerge/>
          </w:tcPr>
          <w:p w14:paraId="59020DF5" w14:textId="558E6453" w:rsidR="00C532FB" w:rsidRPr="001610FF" w:rsidRDefault="00C532FB" w:rsidP="000D1107">
            <w:pPr>
              <w:rPr>
                <w:rFonts w:ascii="Jost" w:eastAsia="Times New Roman" w:hAnsi="Jost"/>
                <w:b/>
                <w:bCs/>
                <w:sz w:val="24"/>
                <w:szCs w:val="24"/>
                <w:lang w:eastAsia="lt-LT"/>
              </w:rPr>
            </w:pPr>
          </w:p>
        </w:tc>
      </w:tr>
    </w:tbl>
    <w:p w14:paraId="717E8CBB" w14:textId="77777777" w:rsidR="005E4F9C" w:rsidRPr="001610FF" w:rsidRDefault="005E4F9C" w:rsidP="005E4F9C">
      <w:pPr>
        <w:ind w:firstLine="851"/>
        <w:rPr>
          <w:rFonts w:ascii="Jost" w:eastAsia="Times New Roman" w:hAnsi="Jost"/>
          <w:sz w:val="24"/>
          <w:szCs w:val="24"/>
        </w:rPr>
      </w:pPr>
    </w:p>
    <w:p w14:paraId="7282A218" w14:textId="0C658750" w:rsidR="00D52236" w:rsidRPr="001610FF" w:rsidRDefault="00D52236" w:rsidP="00D52236">
      <w:pPr>
        <w:rPr>
          <w:rFonts w:ascii="Jost" w:eastAsia="Times New Roman" w:hAnsi="Jost"/>
          <w:sz w:val="24"/>
          <w:szCs w:val="24"/>
          <w:u w:color="000000"/>
          <w:lang w:eastAsia="en-GB"/>
          <w14:textOutline w14:w="12700" w14:cap="flat" w14:cmpd="sng" w14:algn="ctr">
            <w14:noFill/>
            <w14:prstDash w14:val="solid"/>
            <w14:miter w14:lim="400000"/>
          </w14:textOutline>
        </w:rPr>
      </w:pPr>
    </w:p>
    <w:sectPr w:rsidR="00D52236" w:rsidRPr="001610FF"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4B29" w14:textId="77777777" w:rsidR="0038347F" w:rsidRDefault="0038347F" w:rsidP="00992543">
      <w:r>
        <w:separator/>
      </w:r>
    </w:p>
  </w:endnote>
  <w:endnote w:type="continuationSeparator" w:id="0">
    <w:p w14:paraId="4169B0CC" w14:textId="77777777" w:rsidR="0038347F" w:rsidRDefault="0038347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st">
    <w:altName w:val="Cambria"/>
    <w:panose1 w:val="00000000000000000000"/>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BAE" w14:textId="0AF24B62"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DA0E" w14:textId="77777777" w:rsidR="0038347F" w:rsidRDefault="0038347F" w:rsidP="00992543">
      <w:r>
        <w:separator/>
      </w:r>
    </w:p>
  </w:footnote>
  <w:footnote w:type="continuationSeparator" w:id="0">
    <w:p w14:paraId="1FAAC912" w14:textId="77777777" w:rsidR="0038347F" w:rsidRDefault="0038347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EFCC" w14:textId="68980EC8" w:rsidR="00092C15" w:rsidRDefault="00CA010D" w:rsidP="009266F9">
    <w:pPr>
      <w:pStyle w:val="Body"/>
      <w:jc w:val="right"/>
    </w:pPr>
    <w:r>
      <w:t>3 priedas</w:t>
    </w:r>
  </w:p>
  <w:p w14:paraId="62B94D55"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043847E7" wp14:editId="7E2B0BD5">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43CF4E3B"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061E"/>
    <w:multiLevelType w:val="hybridMultilevel"/>
    <w:tmpl w:val="6BC4C6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
  </w:num>
  <w:num w:numId="2" w16cid:durableId="199544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7921"/>
    <w:rsid w:val="00014C41"/>
    <w:rsid w:val="000303DC"/>
    <w:rsid w:val="00035CAE"/>
    <w:rsid w:val="00051663"/>
    <w:rsid w:val="000564F8"/>
    <w:rsid w:val="0006194A"/>
    <w:rsid w:val="00064C99"/>
    <w:rsid w:val="00073BF2"/>
    <w:rsid w:val="00074879"/>
    <w:rsid w:val="0008474E"/>
    <w:rsid w:val="00084934"/>
    <w:rsid w:val="00092C15"/>
    <w:rsid w:val="0009563B"/>
    <w:rsid w:val="00096318"/>
    <w:rsid w:val="000B46B5"/>
    <w:rsid w:val="000B7F26"/>
    <w:rsid w:val="000C2B4D"/>
    <w:rsid w:val="000D1107"/>
    <w:rsid w:val="000D190D"/>
    <w:rsid w:val="000D2AC3"/>
    <w:rsid w:val="000D33E2"/>
    <w:rsid w:val="000F634B"/>
    <w:rsid w:val="0010193F"/>
    <w:rsid w:val="00111827"/>
    <w:rsid w:val="00112D89"/>
    <w:rsid w:val="00125AB0"/>
    <w:rsid w:val="001272B3"/>
    <w:rsid w:val="001310D3"/>
    <w:rsid w:val="001337C6"/>
    <w:rsid w:val="00140907"/>
    <w:rsid w:val="001428B7"/>
    <w:rsid w:val="00143C06"/>
    <w:rsid w:val="001443A3"/>
    <w:rsid w:val="00145C0A"/>
    <w:rsid w:val="001472D1"/>
    <w:rsid w:val="00151570"/>
    <w:rsid w:val="001610FF"/>
    <w:rsid w:val="0016649A"/>
    <w:rsid w:val="001701C1"/>
    <w:rsid w:val="00174B62"/>
    <w:rsid w:val="00191404"/>
    <w:rsid w:val="00193055"/>
    <w:rsid w:val="00193440"/>
    <w:rsid w:val="001A071A"/>
    <w:rsid w:val="001B0255"/>
    <w:rsid w:val="001B614D"/>
    <w:rsid w:val="001B78A0"/>
    <w:rsid w:val="001C4694"/>
    <w:rsid w:val="001D0379"/>
    <w:rsid w:val="001D29A6"/>
    <w:rsid w:val="001E7EA9"/>
    <w:rsid w:val="001F69BA"/>
    <w:rsid w:val="00207E8C"/>
    <w:rsid w:val="00213A6B"/>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A6CC5"/>
    <w:rsid w:val="002B4D1F"/>
    <w:rsid w:val="002B583C"/>
    <w:rsid w:val="002D7D46"/>
    <w:rsid w:val="002E5D6C"/>
    <w:rsid w:val="002E7661"/>
    <w:rsid w:val="002F5176"/>
    <w:rsid w:val="002F53AD"/>
    <w:rsid w:val="002F7369"/>
    <w:rsid w:val="00302AB3"/>
    <w:rsid w:val="00305D27"/>
    <w:rsid w:val="0031630A"/>
    <w:rsid w:val="003171EC"/>
    <w:rsid w:val="00323B20"/>
    <w:rsid w:val="00325BD8"/>
    <w:rsid w:val="003304F9"/>
    <w:rsid w:val="00330F1B"/>
    <w:rsid w:val="00347D32"/>
    <w:rsid w:val="003563AD"/>
    <w:rsid w:val="003777A8"/>
    <w:rsid w:val="003813FD"/>
    <w:rsid w:val="00381F67"/>
    <w:rsid w:val="0038347F"/>
    <w:rsid w:val="003848AE"/>
    <w:rsid w:val="00390E93"/>
    <w:rsid w:val="003936CA"/>
    <w:rsid w:val="003B0CD9"/>
    <w:rsid w:val="003B3917"/>
    <w:rsid w:val="003B7B3A"/>
    <w:rsid w:val="003D0BFF"/>
    <w:rsid w:val="003D2219"/>
    <w:rsid w:val="003E26C5"/>
    <w:rsid w:val="003E45ED"/>
    <w:rsid w:val="003F77EB"/>
    <w:rsid w:val="00407BD5"/>
    <w:rsid w:val="00415926"/>
    <w:rsid w:val="00423465"/>
    <w:rsid w:val="00426865"/>
    <w:rsid w:val="00435CFB"/>
    <w:rsid w:val="00436708"/>
    <w:rsid w:val="00447B75"/>
    <w:rsid w:val="00464F52"/>
    <w:rsid w:val="00465CAA"/>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4681D"/>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E4F9C"/>
    <w:rsid w:val="005F4213"/>
    <w:rsid w:val="005F75BD"/>
    <w:rsid w:val="00600427"/>
    <w:rsid w:val="006018D0"/>
    <w:rsid w:val="00602D74"/>
    <w:rsid w:val="0061227E"/>
    <w:rsid w:val="0062016C"/>
    <w:rsid w:val="0062765C"/>
    <w:rsid w:val="00630693"/>
    <w:rsid w:val="006405C5"/>
    <w:rsid w:val="00651554"/>
    <w:rsid w:val="006519D0"/>
    <w:rsid w:val="00653BF4"/>
    <w:rsid w:val="00670C15"/>
    <w:rsid w:val="00670F6B"/>
    <w:rsid w:val="00682AF4"/>
    <w:rsid w:val="00684216"/>
    <w:rsid w:val="00696ED3"/>
    <w:rsid w:val="006A5295"/>
    <w:rsid w:val="006B4BFA"/>
    <w:rsid w:val="006B621E"/>
    <w:rsid w:val="006C1BF4"/>
    <w:rsid w:val="006C77CA"/>
    <w:rsid w:val="006E0399"/>
    <w:rsid w:val="006F47F1"/>
    <w:rsid w:val="00700B8D"/>
    <w:rsid w:val="00710BB0"/>
    <w:rsid w:val="007201D1"/>
    <w:rsid w:val="0072611D"/>
    <w:rsid w:val="00726270"/>
    <w:rsid w:val="00731F1F"/>
    <w:rsid w:val="007717B3"/>
    <w:rsid w:val="00774E03"/>
    <w:rsid w:val="00776EF1"/>
    <w:rsid w:val="00777160"/>
    <w:rsid w:val="00780BA7"/>
    <w:rsid w:val="00781C75"/>
    <w:rsid w:val="0078302C"/>
    <w:rsid w:val="0079199D"/>
    <w:rsid w:val="00795B02"/>
    <w:rsid w:val="00796FC0"/>
    <w:rsid w:val="007B7480"/>
    <w:rsid w:val="007C76BD"/>
    <w:rsid w:val="007D47DB"/>
    <w:rsid w:val="007D7756"/>
    <w:rsid w:val="007D7F1F"/>
    <w:rsid w:val="007E7679"/>
    <w:rsid w:val="007F536A"/>
    <w:rsid w:val="007F5ACB"/>
    <w:rsid w:val="00805393"/>
    <w:rsid w:val="00811D4C"/>
    <w:rsid w:val="00814FFD"/>
    <w:rsid w:val="0082112A"/>
    <w:rsid w:val="00821B63"/>
    <w:rsid w:val="0083707B"/>
    <w:rsid w:val="008457F2"/>
    <w:rsid w:val="00857222"/>
    <w:rsid w:val="00860949"/>
    <w:rsid w:val="00860DD0"/>
    <w:rsid w:val="00885BFE"/>
    <w:rsid w:val="008924E9"/>
    <w:rsid w:val="008964BC"/>
    <w:rsid w:val="00896828"/>
    <w:rsid w:val="008A708A"/>
    <w:rsid w:val="008B2FB1"/>
    <w:rsid w:val="008C0AA1"/>
    <w:rsid w:val="008C5299"/>
    <w:rsid w:val="008C64F3"/>
    <w:rsid w:val="008F2244"/>
    <w:rsid w:val="008F5D16"/>
    <w:rsid w:val="008F6BCD"/>
    <w:rsid w:val="00900928"/>
    <w:rsid w:val="0091373A"/>
    <w:rsid w:val="00915F79"/>
    <w:rsid w:val="009266F9"/>
    <w:rsid w:val="00927667"/>
    <w:rsid w:val="009321BC"/>
    <w:rsid w:val="0093362C"/>
    <w:rsid w:val="0093686F"/>
    <w:rsid w:val="00940951"/>
    <w:rsid w:val="00942FBB"/>
    <w:rsid w:val="00946F10"/>
    <w:rsid w:val="00952AC1"/>
    <w:rsid w:val="00964262"/>
    <w:rsid w:val="00964B67"/>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3D3C"/>
    <w:rsid w:val="00A65BCB"/>
    <w:rsid w:val="00A741EF"/>
    <w:rsid w:val="00A7676D"/>
    <w:rsid w:val="00A82A9E"/>
    <w:rsid w:val="00A85726"/>
    <w:rsid w:val="00A87897"/>
    <w:rsid w:val="00A9322A"/>
    <w:rsid w:val="00A9443F"/>
    <w:rsid w:val="00AA370E"/>
    <w:rsid w:val="00AA5B3A"/>
    <w:rsid w:val="00AB11E9"/>
    <w:rsid w:val="00AC2862"/>
    <w:rsid w:val="00AC455D"/>
    <w:rsid w:val="00AC5DDC"/>
    <w:rsid w:val="00AD683C"/>
    <w:rsid w:val="00B125BD"/>
    <w:rsid w:val="00B161FF"/>
    <w:rsid w:val="00B22D42"/>
    <w:rsid w:val="00B2726B"/>
    <w:rsid w:val="00B379DF"/>
    <w:rsid w:val="00B47A77"/>
    <w:rsid w:val="00B54D3C"/>
    <w:rsid w:val="00B61DCD"/>
    <w:rsid w:val="00B7004B"/>
    <w:rsid w:val="00B72605"/>
    <w:rsid w:val="00B806CD"/>
    <w:rsid w:val="00BA35CD"/>
    <w:rsid w:val="00BB7FCF"/>
    <w:rsid w:val="00BC09D2"/>
    <w:rsid w:val="00BC1767"/>
    <w:rsid w:val="00BC3953"/>
    <w:rsid w:val="00BD01B5"/>
    <w:rsid w:val="00BD1D43"/>
    <w:rsid w:val="00BD718C"/>
    <w:rsid w:val="00BE5733"/>
    <w:rsid w:val="00BF27E4"/>
    <w:rsid w:val="00BF37A6"/>
    <w:rsid w:val="00C03221"/>
    <w:rsid w:val="00C03A64"/>
    <w:rsid w:val="00C069B6"/>
    <w:rsid w:val="00C075D3"/>
    <w:rsid w:val="00C12750"/>
    <w:rsid w:val="00C23461"/>
    <w:rsid w:val="00C25B14"/>
    <w:rsid w:val="00C42A3D"/>
    <w:rsid w:val="00C44574"/>
    <w:rsid w:val="00C51BF6"/>
    <w:rsid w:val="00C532FB"/>
    <w:rsid w:val="00C53DC3"/>
    <w:rsid w:val="00C6587B"/>
    <w:rsid w:val="00C66CB0"/>
    <w:rsid w:val="00C709C5"/>
    <w:rsid w:val="00C76473"/>
    <w:rsid w:val="00C76B09"/>
    <w:rsid w:val="00C77709"/>
    <w:rsid w:val="00C944D2"/>
    <w:rsid w:val="00C979E3"/>
    <w:rsid w:val="00CA010D"/>
    <w:rsid w:val="00CA0B53"/>
    <w:rsid w:val="00CA1C76"/>
    <w:rsid w:val="00CA641E"/>
    <w:rsid w:val="00CB132C"/>
    <w:rsid w:val="00CD1ACE"/>
    <w:rsid w:val="00CD2DB1"/>
    <w:rsid w:val="00CE0510"/>
    <w:rsid w:val="00CF44A6"/>
    <w:rsid w:val="00CF6253"/>
    <w:rsid w:val="00D026F1"/>
    <w:rsid w:val="00D03A4D"/>
    <w:rsid w:val="00D1550E"/>
    <w:rsid w:val="00D16ABA"/>
    <w:rsid w:val="00D27949"/>
    <w:rsid w:val="00D37A9B"/>
    <w:rsid w:val="00D4393F"/>
    <w:rsid w:val="00D52236"/>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66B4"/>
    <w:rsid w:val="00E37C9C"/>
    <w:rsid w:val="00E4697E"/>
    <w:rsid w:val="00E5319D"/>
    <w:rsid w:val="00E554E2"/>
    <w:rsid w:val="00E61EAF"/>
    <w:rsid w:val="00E6250F"/>
    <w:rsid w:val="00EA7115"/>
    <w:rsid w:val="00EC379C"/>
    <w:rsid w:val="00ED5483"/>
    <w:rsid w:val="00EE0C7D"/>
    <w:rsid w:val="00EE2047"/>
    <w:rsid w:val="00EE2688"/>
    <w:rsid w:val="00EE45C4"/>
    <w:rsid w:val="00EF011E"/>
    <w:rsid w:val="00EF3491"/>
    <w:rsid w:val="00EF3AE3"/>
    <w:rsid w:val="00EF48FB"/>
    <w:rsid w:val="00F00C15"/>
    <w:rsid w:val="00F15423"/>
    <w:rsid w:val="00F15C97"/>
    <w:rsid w:val="00F1708B"/>
    <w:rsid w:val="00F30873"/>
    <w:rsid w:val="00F32252"/>
    <w:rsid w:val="00F32BD0"/>
    <w:rsid w:val="00F35B28"/>
    <w:rsid w:val="00F40AD5"/>
    <w:rsid w:val="00F42A81"/>
    <w:rsid w:val="00F56CD3"/>
    <w:rsid w:val="00F75579"/>
    <w:rsid w:val="00F771D4"/>
    <w:rsid w:val="00F826F2"/>
    <w:rsid w:val="00F871BD"/>
    <w:rsid w:val="00F92F60"/>
    <w:rsid w:val="00FA08BD"/>
    <w:rsid w:val="00FA22DC"/>
    <w:rsid w:val="00FA5AA9"/>
    <w:rsid w:val="00FA76CB"/>
    <w:rsid w:val="00FB18B7"/>
    <w:rsid w:val="00FB7E18"/>
    <w:rsid w:val="00FC3480"/>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FF6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aliases w:val="ERP-List Paragraph,List Paragraph1,List Paragraph11,Bullet EY,Table of contents numbered,List Paragraph21,List Paragraph2,Numbering,Sąrašo pastraipa1,List Paragraph22,List Paragraph Red,Paragraph,List Paragraph111,Buletai,lp1,Bullet 1"/>
    <w:basedOn w:val="Normal"/>
    <w:link w:val="ListParagraphChar"/>
    <w:uiPriority w:val="34"/>
    <w:qFormat/>
    <w:rsid w:val="005E4F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left"/>
    </w:pPr>
    <w:rPr>
      <w:rFonts w:asciiTheme="minorHAnsi" w:eastAsiaTheme="minorHAnsi" w:hAnsiTheme="minorHAnsi" w:cstheme="minorBidi"/>
      <w:bdr w:val="none" w:sz="0" w:space="0" w:color="auto"/>
    </w:r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22 Char,Paragraph Char"/>
    <w:link w:val="ListParagraph"/>
    <w:uiPriority w:val="34"/>
    <w:qFormat/>
    <w:locked/>
    <w:rsid w:val="005E4F9C"/>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Jelena Kaleničenko</cp:lastModifiedBy>
  <cp:revision>2</cp:revision>
  <cp:lastPrinted>2021-03-17T12:52:00Z</cp:lastPrinted>
  <dcterms:created xsi:type="dcterms:W3CDTF">2025-07-21T12:06:00Z</dcterms:created>
  <dcterms:modified xsi:type="dcterms:W3CDTF">2025-07-21T12:06:00Z</dcterms:modified>
</cp:coreProperties>
</file>