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bookmarkStart w:id="0" w:name="_GoBack"/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175F23">
      <w:pPr>
        <w:spacing w:after="6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r w:rsidR="005F268E" w:rsidRPr="00175F23">
              <w:rPr>
                <w:b/>
                <w:i/>
                <w:sz w:val="20"/>
                <w:szCs w:val="24"/>
              </w:rPr>
              <w:t>Battery Cells</w:t>
            </w:r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r w:rsidRPr="00175F23">
              <w:rPr>
                <w:b/>
                <w:i/>
                <w:sz w:val="20"/>
                <w:szCs w:val="24"/>
              </w:rPr>
              <w:t>Battery Pack</w:t>
            </w:r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175F23">
      <w:pPr>
        <w:spacing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C70E06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r w:rsidRPr="00175F23">
              <w:rPr>
                <w:i/>
                <w:sz w:val="20"/>
                <w:szCs w:val="24"/>
              </w:rPr>
              <w:t>Factory</w:t>
            </w:r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r w:rsidRPr="00175F23">
              <w:rPr>
                <w:i/>
                <w:sz w:val="20"/>
                <w:szCs w:val="24"/>
              </w:rPr>
              <w:t>Manufacturing unit</w:t>
            </w:r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C70E0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C70E06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r w:rsidRPr="00175F23">
              <w:rPr>
                <w:i/>
                <w:sz w:val="20"/>
                <w:szCs w:val="22"/>
              </w:rPr>
              <w:t>Battery Packs</w:t>
            </w:r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C70E0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r w:rsidRPr="00175F23">
              <w:rPr>
                <w:i/>
                <w:iCs/>
                <w:sz w:val="20"/>
                <w:szCs w:val="24"/>
              </w:rPr>
              <w:t>Battery Packs</w:t>
            </w:r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C70E06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(Battery Cells)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175F23">
      <w:pPr>
        <w:keepNext/>
        <w:keepLines/>
        <w:spacing w:after="6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r w:rsidR="00882717" w:rsidRPr="00175F23">
              <w:rPr>
                <w:b/>
                <w:i/>
                <w:sz w:val="20"/>
                <w:szCs w:val="24"/>
              </w:rPr>
              <w:t xml:space="preserve">Environmental Product Declaration In accordance with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Programme: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Programme operator: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Registration No: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r w:rsidRPr="00175F23">
              <w:rPr>
                <w:i/>
                <w:sz w:val="20"/>
                <w:szCs w:val="22"/>
                <w:lang w:eastAsia="ar-SA"/>
              </w:rPr>
              <w:t>Third-party verifier</w:t>
            </w:r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Publication date: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i/>
                <w:sz w:val="20"/>
                <w:szCs w:val="24"/>
              </w:rPr>
              <w:t>Valid until: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r w:rsidRPr="00175F23">
              <w:rPr>
                <w:i/>
                <w:sz w:val="20"/>
                <w:szCs w:val="24"/>
              </w:rPr>
              <w:t>Environmental Product Declaration In accordance with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(Battery Cells</w:t>
      </w:r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175F23">
      <w:pPr>
        <w:spacing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C70E06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(Battery Cells</w:t>
            </w:r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(Battery Cells</w:t>
            </w:r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C70E0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C70E06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C70E0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C70E06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(Battery Cells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(Battery Cells)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(Battery Cells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(Battery Cells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  <w:bookmarkEnd w:id="0"/>
    </w:p>
    <w:sectPr w:rsidR="009F56AA" w:rsidRPr="001246D9" w:rsidSect="00F16A15">
      <w:pgSz w:w="11907" w:h="16839" w:code="9"/>
      <w:pgMar w:top="709" w:right="567" w:bottom="426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06" w:rsidRDefault="00C70E06">
      <w:pPr>
        <w:suppressAutoHyphens/>
        <w:textAlignment w:val="baseline"/>
      </w:pPr>
      <w:r>
        <w:separator/>
      </w:r>
    </w:p>
  </w:endnote>
  <w:endnote w:type="continuationSeparator" w:id="0">
    <w:p w:rsidR="00C70E06" w:rsidRDefault="00C70E06">
      <w:pPr>
        <w:suppressAutoHyphens/>
        <w:textAlignment w:val="baseline"/>
      </w:pPr>
      <w:r>
        <w:continuationSeparator/>
      </w:r>
    </w:p>
  </w:endnote>
  <w:endnote w:type="continuationNotice" w:id="1">
    <w:p w:rsidR="00C70E06" w:rsidRDefault="00C70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06" w:rsidRDefault="00C70E0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C70E06" w:rsidRDefault="00C70E06">
      <w:pPr>
        <w:suppressAutoHyphens/>
        <w:textAlignment w:val="baseline"/>
      </w:pPr>
      <w:r>
        <w:continuationSeparator/>
      </w:r>
    </w:p>
  </w:footnote>
  <w:footnote w:type="continuationNotice" w:id="1">
    <w:p w:rsidR="00C70E06" w:rsidRDefault="00C70E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E2CB7"/>
    <w:rsid w:val="00111FFA"/>
    <w:rsid w:val="001246D9"/>
    <w:rsid w:val="00175F23"/>
    <w:rsid w:val="001F35A6"/>
    <w:rsid w:val="002103A9"/>
    <w:rsid w:val="00256A09"/>
    <w:rsid w:val="0028362C"/>
    <w:rsid w:val="00294C39"/>
    <w:rsid w:val="00295C70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13AC8"/>
    <w:rsid w:val="007208C7"/>
    <w:rsid w:val="00720AFB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E399F01-6FF7-4539-AB9F-3026F15C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3754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2025-07-17T10:31:00Z</cp:lastPrinted>
  <dcterms:created xsi:type="dcterms:W3CDTF">2025-07-21T12:51:00Z</dcterms:created>
  <dcterms:modified xsi:type="dcterms:W3CDTF">2025-07-21T13:25:00Z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