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4ABAC06C" w14:textId="77777777" w:rsidR="00C9508E" w:rsidRPr="00932328" w:rsidRDefault="004069F8" w:rsidP="00C9508E">
            <w:pPr>
              <w:jc w:val="center"/>
              <w:rPr>
                <w:b/>
              </w:rPr>
            </w:pPr>
            <w:r>
              <w:rPr>
                <w:b/>
                <w:sz w:val="20"/>
              </w:rPr>
              <w:t xml:space="preserve">MAŽOS VERTĖS PIRKIMAS </w:t>
            </w:r>
            <w:r w:rsidR="00590CB3" w:rsidRPr="000470ED">
              <w:rPr>
                <w:b/>
                <w:sz w:val="20"/>
              </w:rPr>
              <w:br/>
            </w:r>
            <w:r w:rsidR="00C9508E" w:rsidRPr="00932328">
              <w:rPr>
                <w:b/>
                <w:lang w:eastAsia="lt-LT"/>
              </w:rPr>
              <w:t>„</w:t>
            </w:r>
            <w:r w:rsidR="00C9508E" w:rsidRPr="00932328">
              <w:rPr>
                <w:rStyle w:val="Grietas"/>
                <w:caps/>
                <w:color w:val="00241A"/>
                <w:shd w:val="clear" w:color="auto" w:fill="FFFFFF"/>
              </w:rPr>
              <w:t>DEFIBRILIATORIAUS BENE HEART D6 AKUMULIATORIUS</w:t>
            </w:r>
            <w:r w:rsidR="00C9508E" w:rsidRPr="00932328">
              <w:rPr>
                <w:b/>
              </w:rPr>
              <w:t>“</w:t>
            </w:r>
          </w:p>
          <w:p w14:paraId="7974D97B" w14:textId="77777777" w:rsidR="00C9508E" w:rsidRPr="00932328" w:rsidRDefault="00C9508E" w:rsidP="00C9508E">
            <w:pPr>
              <w:jc w:val="center"/>
              <w:rPr>
                <w:b/>
                <w:bCs/>
                <w:smallCaps/>
              </w:rPr>
            </w:pPr>
            <w:r w:rsidRPr="00932328">
              <w:rPr>
                <w:b/>
                <w:bCs/>
                <w:smallCaps/>
              </w:rPr>
              <w:t>PIRKIMO NUMERIS CVP IS  3727339</w:t>
            </w:r>
          </w:p>
          <w:p w14:paraId="249F1FE3" w14:textId="472DFFCA" w:rsidR="00B767F3" w:rsidRPr="000470ED" w:rsidRDefault="00B767F3" w:rsidP="007101A2">
            <w:pPr>
              <w:tabs>
                <w:tab w:val="center" w:pos="4513"/>
                <w:tab w:val="right" w:pos="9026"/>
              </w:tabs>
              <w:jc w:val="center"/>
              <w:rPr>
                <w:b/>
                <w:sz w:val="20"/>
                <w:lang w:eastAsia="lt-LT"/>
              </w:rPr>
            </w:pP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56309ED" w14:textId="77777777" w:rsidR="00C9508E" w:rsidRPr="00932328" w:rsidRDefault="004069F8" w:rsidP="00C9508E">
            <w:pPr>
              <w:jc w:val="center"/>
              <w:rPr>
                <w:b/>
              </w:rPr>
            </w:pPr>
            <w:r>
              <w:rPr>
                <w:b/>
                <w:sz w:val="20"/>
              </w:rPr>
              <w:t xml:space="preserve">MAŽOS VERTĖS PIRKIMAS </w:t>
            </w:r>
            <w:r w:rsidRPr="000470ED">
              <w:rPr>
                <w:b/>
                <w:sz w:val="20"/>
              </w:rPr>
              <w:br/>
            </w:r>
            <w:r w:rsidR="00C9508E" w:rsidRPr="00932328">
              <w:rPr>
                <w:b/>
                <w:lang w:eastAsia="lt-LT"/>
              </w:rPr>
              <w:t>„</w:t>
            </w:r>
            <w:r w:rsidR="00C9508E" w:rsidRPr="00932328">
              <w:rPr>
                <w:rStyle w:val="Grietas"/>
                <w:caps/>
                <w:color w:val="00241A"/>
                <w:shd w:val="clear" w:color="auto" w:fill="FFFFFF"/>
              </w:rPr>
              <w:t>DEFIBRILIATORIAUS BENE HEART D6 AKUMULIATORIUS</w:t>
            </w:r>
            <w:r w:rsidR="00C9508E" w:rsidRPr="00932328">
              <w:rPr>
                <w:b/>
              </w:rPr>
              <w:t>“</w:t>
            </w:r>
          </w:p>
          <w:p w14:paraId="63807D3F" w14:textId="77777777" w:rsidR="00C9508E" w:rsidRPr="00932328" w:rsidRDefault="00C9508E" w:rsidP="00C9508E">
            <w:pPr>
              <w:jc w:val="center"/>
              <w:rPr>
                <w:b/>
                <w:bCs/>
                <w:smallCaps/>
              </w:rPr>
            </w:pPr>
            <w:r w:rsidRPr="00932328">
              <w:rPr>
                <w:b/>
                <w:bCs/>
                <w:smallCaps/>
              </w:rPr>
              <w:t>PIRKIMO NUMERIS CVP IS  3727339</w:t>
            </w:r>
          </w:p>
          <w:p w14:paraId="1E986A9B" w14:textId="12C83341" w:rsidR="00B767F3" w:rsidRPr="000470ED" w:rsidRDefault="00B767F3" w:rsidP="007101A2">
            <w:pPr>
              <w:tabs>
                <w:tab w:val="center" w:pos="4513"/>
                <w:tab w:val="right" w:pos="9026"/>
              </w:tabs>
              <w:jc w:val="center"/>
              <w:rPr>
                <w:kern w:val="2"/>
                <w:sz w:val="20"/>
              </w:rPr>
            </w:pP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30BCE51" w:rsidR="00B767F3" w:rsidRPr="000470ED" w:rsidRDefault="00DD7479" w:rsidP="00A234A6">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w:t>
            </w:r>
            <w:r w:rsidR="00BC1FA6" w:rsidRPr="000470ED">
              <w:rPr>
                <w:kern w:val="2"/>
                <w:sz w:val="20"/>
              </w:rPr>
              <w:t xml:space="preserve"> (</w:t>
            </w:r>
            <w:r w:rsidR="00A234A6">
              <w:rPr>
                <w:kern w:val="2"/>
                <w:sz w:val="20"/>
              </w:rPr>
              <w:t>vieną</w:t>
            </w:r>
            <w:r w:rsidR="00BC1FA6" w:rsidRPr="000470ED">
              <w:rPr>
                <w:kern w:val="2"/>
                <w:sz w:val="20"/>
              </w:rPr>
              <w:t xml:space="preserve">) </w:t>
            </w:r>
            <w:r w:rsidR="00A234A6">
              <w:rPr>
                <w:kern w:val="2"/>
                <w:sz w:val="20"/>
              </w:rPr>
              <w:t>mėnesį</w:t>
            </w:r>
            <w:r w:rsidR="004069F8">
              <w:rPr>
                <w:kern w:val="2"/>
                <w:sz w:val="20"/>
              </w:rPr>
              <w:t xml:space="preserve">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1D572FFD" w14:textId="77777777" w:rsidR="00B767F3" w:rsidRPr="000470ED" w:rsidRDefault="00DD7479">
            <w:pPr>
              <w:rPr>
                <w:strike/>
                <w:kern w:val="2"/>
                <w:sz w:val="20"/>
              </w:rPr>
            </w:pPr>
            <w:r w:rsidRPr="000470ED">
              <w:rPr>
                <w:strike/>
                <w:kern w:val="2"/>
                <w:sz w:val="20"/>
              </w:rPr>
              <w:t>5.3.2. dėl kitų mokesčių, lemiančių Prekių kainos pokytį, pasikeitimo (nurodyti mokesčius, dėl kurių bus atliekamas perskaičiavimas);</w:t>
            </w:r>
          </w:p>
          <w:p w14:paraId="34D8D16E" w14:textId="77777777" w:rsidR="00B767F3" w:rsidRPr="000470ED" w:rsidRDefault="00DD7479">
            <w:pPr>
              <w:rPr>
                <w:strike/>
                <w:kern w:val="2"/>
                <w:sz w:val="20"/>
              </w:rPr>
            </w:pPr>
            <w:r w:rsidRPr="000470ED">
              <w:rPr>
                <w:strike/>
                <w:kern w:val="2"/>
                <w:sz w:val="20"/>
              </w:rPr>
              <w:t>5.3.3. dėl kainų lygio pokyčio;</w:t>
            </w:r>
          </w:p>
          <w:p w14:paraId="7CE73E9A" w14:textId="77777777" w:rsidR="00B767F3" w:rsidRPr="000470ED" w:rsidRDefault="00DD7479">
            <w:pPr>
              <w:rPr>
                <w:kern w:val="2"/>
                <w:sz w:val="20"/>
              </w:rPr>
            </w:pPr>
            <w:r w:rsidRPr="000470ED">
              <w:rPr>
                <w:strike/>
                <w:kern w:val="2"/>
                <w:sz w:val="20"/>
              </w:rPr>
              <w:t>5.3.4. pagal Prekių grupių (įvardinti konkrečią grupę pagal Sutarties dalyką) kainų pokyčius.</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351C3E9" w:rsidR="00B767F3" w:rsidRPr="000470ED" w:rsidRDefault="00DD7479" w:rsidP="00C9508E">
            <w:pPr>
              <w:rPr>
                <w:kern w:val="2"/>
                <w:sz w:val="20"/>
              </w:rPr>
            </w:pPr>
            <w:r w:rsidRPr="000470ED">
              <w:rPr>
                <w:kern w:val="2"/>
                <w:sz w:val="20"/>
              </w:rPr>
              <w:t xml:space="preserve">Prekėms nustatomas Tiekėjo pasiūlytas garantinis terminas, kuris yra </w:t>
            </w:r>
            <w:r w:rsidR="00D1557F" w:rsidRPr="00A234A6">
              <w:rPr>
                <w:kern w:val="2"/>
                <w:sz w:val="20"/>
                <w:highlight w:val="yellow"/>
              </w:rPr>
              <w:t>...</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33653B3C" w:rsidR="00B767F3" w:rsidRPr="000470ED" w:rsidRDefault="00DD7479" w:rsidP="00C9508E">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C9508E">
              <w:rPr>
                <w:kern w:val="2"/>
                <w:sz w:val="20"/>
              </w:rPr>
              <w:t>3</w:t>
            </w:r>
            <w:r w:rsidR="00C41BC1" w:rsidRPr="000470ED">
              <w:rPr>
                <w:kern w:val="2"/>
                <w:sz w:val="20"/>
              </w:rPr>
              <w:t xml:space="preserve"> (</w:t>
            </w:r>
            <w:r w:rsidR="00C9508E">
              <w:rPr>
                <w:kern w:val="2"/>
                <w:sz w:val="20"/>
              </w:rPr>
              <w:t>tris)</w:t>
            </w:r>
            <w:bookmarkStart w:id="0" w:name="_GoBack"/>
            <w:bookmarkEnd w:id="0"/>
            <w:r w:rsidR="00C41BC1" w:rsidRPr="000470ED">
              <w:rPr>
                <w:kern w:val="2"/>
                <w:sz w:val="20"/>
              </w:rPr>
              <w:t xml:space="preserve">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6F18D" w14:textId="77777777" w:rsidR="003C5558" w:rsidRDefault="003C5558">
      <w:r>
        <w:separator/>
      </w:r>
    </w:p>
  </w:endnote>
  <w:endnote w:type="continuationSeparator" w:id="0">
    <w:p w14:paraId="7ACF90E2" w14:textId="77777777" w:rsidR="003C5558" w:rsidRDefault="003C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25EFC" w14:textId="77777777" w:rsidR="003C5558" w:rsidRDefault="003C5558">
      <w:r>
        <w:separator/>
      </w:r>
    </w:p>
  </w:footnote>
  <w:footnote w:type="continuationSeparator" w:id="0">
    <w:p w14:paraId="46FCA1ED" w14:textId="77777777" w:rsidR="003C5558" w:rsidRDefault="003C5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36FFC"/>
    <w:rsid w:val="00192559"/>
    <w:rsid w:val="001A5D00"/>
    <w:rsid w:val="001B2EB7"/>
    <w:rsid w:val="00201517"/>
    <w:rsid w:val="00202E5E"/>
    <w:rsid w:val="00214E12"/>
    <w:rsid w:val="0022093A"/>
    <w:rsid w:val="00232745"/>
    <w:rsid w:val="00247ADC"/>
    <w:rsid w:val="0028644C"/>
    <w:rsid w:val="00296801"/>
    <w:rsid w:val="002E1BC8"/>
    <w:rsid w:val="002F0B5F"/>
    <w:rsid w:val="002F29A8"/>
    <w:rsid w:val="003B2818"/>
    <w:rsid w:val="003C5558"/>
    <w:rsid w:val="003E263F"/>
    <w:rsid w:val="003E5D1D"/>
    <w:rsid w:val="004069F8"/>
    <w:rsid w:val="004F2812"/>
    <w:rsid w:val="00515FFD"/>
    <w:rsid w:val="00535E7E"/>
    <w:rsid w:val="005828DD"/>
    <w:rsid w:val="00587E3C"/>
    <w:rsid w:val="00590CB3"/>
    <w:rsid w:val="005A6517"/>
    <w:rsid w:val="005E1CAA"/>
    <w:rsid w:val="006D5FFA"/>
    <w:rsid w:val="007101A2"/>
    <w:rsid w:val="00725441"/>
    <w:rsid w:val="00733F38"/>
    <w:rsid w:val="0078247C"/>
    <w:rsid w:val="007919E1"/>
    <w:rsid w:val="007E40E2"/>
    <w:rsid w:val="007F451E"/>
    <w:rsid w:val="00807B76"/>
    <w:rsid w:val="008561E7"/>
    <w:rsid w:val="009A709C"/>
    <w:rsid w:val="009D1360"/>
    <w:rsid w:val="009D2867"/>
    <w:rsid w:val="009E4120"/>
    <w:rsid w:val="00A03A4A"/>
    <w:rsid w:val="00A234A6"/>
    <w:rsid w:val="00B767F3"/>
    <w:rsid w:val="00BC1FA6"/>
    <w:rsid w:val="00BE7B89"/>
    <w:rsid w:val="00BE7E2D"/>
    <w:rsid w:val="00C40B46"/>
    <w:rsid w:val="00C41BC1"/>
    <w:rsid w:val="00C51044"/>
    <w:rsid w:val="00C711D6"/>
    <w:rsid w:val="00C9508E"/>
    <w:rsid w:val="00D1557F"/>
    <w:rsid w:val="00D254FB"/>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styleId="Grietas">
    <w:name w:val="Strong"/>
    <w:uiPriority w:val="22"/>
    <w:qFormat/>
    <w:rsid w:val="00C4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9153</Words>
  <Characters>5218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2025-07-21T13:33:00Z</dcterms:created>
  <dcterms:modified xsi:type="dcterms:W3CDTF">2025-07-21T13:38:00Z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