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BA7B47" w:rsidP="007A2978">
      <w:pPr>
        <w:jc w:val="center"/>
        <w:rPr>
          <w:b/>
          <w:caps/>
        </w:rPr>
      </w:pPr>
      <w:r w:rsidRPr="00BA7B47">
        <w:rPr>
          <w:b/>
          <w:caps/>
        </w:rPr>
        <w:t>Išmani</w:t>
      </w:r>
      <w:r>
        <w:rPr>
          <w:b/>
          <w:caps/>
        </w:rPr>
        <w:t>ųjų</w:t>
      </w:r>
      <w:r w:rsidRPr="00BA7B47">
        <w:rPr>
          <w:b/>
          <w:caps/>
        </w:rPr>
        <w:t xml:space="preserve"> lent</w:t>
      </w:r>
      <w:r>
        <w:rPr>
          <w:b/>
          <w:caps/>
        </w:rPr>
        <w:t>ų</w:t>
      </w:r>
      <w:r w:rsidRPr="00BA7B47">
        <w:rPr>
          <w:b/>
          <w:caps/>
        </w:rPr>
        <w:t xml:space="preserve"> (interaktyv</w:t>
      </w:r>
      <w:r>
        <w:rPr>
          <w:b/>
          <w:caps/>
        </w:rPr>
        <w:t>iųjų</w:t>
      </w:r>
      <w:r w:rsidRPr="00BA7B47">
        <w:rPr>
          <w:b/>
          <w:caps/>
        </w:rPr>
        <w:t xml:space="preserve"> </w:t>
      </w:r>
      <w:r w:rsidR="00CF02E9">
        <w:rPr>
          <w:b/>
          <w:caps/>
        </w:rPr>
        <w:t>LENTŲ</w:t>
      </w:r>
      <w:r w:rsidRPr="00BA7B47">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7A2978" w:rsidRPr="00F41978" w:rsidRDefault="00257FE9" w:rsidP="002A47E2">
      <w:pPr>
        <w:pStyle w:val="BodyTextIndent"/>
        <w:numPr>
          <w:ilvl w:val="0"/>
          <w:numId w:val="47"/>
        </w:numPr>
        <w:spacing w:after="0"/>
        <w:jc w:val="both"/>
        <w:rPr>
          <w:rFonts w:eastAsia="Arial Unicode MS"/>
        </w:rPr>
      </w:pPr>
      <w:r w:rsidRPr="00780600">
        <w:rPr>
          <w:rFonts w:eastAsia="Arial Unicode MS"/>
        </w:rPr>
        <w:t>Pasiūlymo forma</w:t>
      </w:r>
      <w:r w:rsidR="00DE1A1A">
        <w:rPr>
          <w:rFonts w:eastAsia="Arial Unicode MS"/>
        </w:rPr>
        <w:t>;</w:t>
      </w:r>
    </w:p>
    <w:p w:rsidR="007A2978" w:rsidRDefault="007A2978" w:rsidP="00DE1A1A">
      <w:pPr>
        <w:pStyle w:val="BodyTextIndent"/>
        <w:numPr>
          <w:ilvl w:val="0"/>
          <w:numId w:val="47"/>
        </w:numPr>
        <w:spacing w:after="0"/>
        <w:jc w:val="both"/>
        <w:rPr>
          <w:rFonts w:eastAsia="Arial Unicode MS"/>
        </w:rPr>
      </w:pPr>
      <w:r w:rsidRPr="007A2978">
        <w:rPr>
          <w:rFonts w:eastAsia="Arial Unicode MS"/>
        </w:rPr>
        <w:t xml:space="preserve">Prekių </w:t>
      </w:r>
      <w:r w:rsidR="00DE1A1A">
        <w:rPr>
          <w:rFonts w:eastAsia="Arial Unicode MS"/>
        </w:rPr>
        <w:t>t</w:t>
      </w:r>
      <w:r w:rsidR="00DE1A1A" w:rsidRPr="00DE1A1A">
        <w:rPr>
          <w:rFonts w:eastAsia="Arial Unicode MS"/>
        </w:rPr>
        <w:t xml:space="preserve">echninė </w:t>
      </w:r>
      <w:r w:rsidRPr="007A2978">
        <w:rPr>
          <w:rFonts w:eastAsia="Arial Unicode MS"/>
        </w:rPr>
        <w:t>specifikacija</w:t>
      </w:r>
      <w:r w:rsidR="00DE1A1A">
        <w:rPr>
          <w:rFonts w:eastAsia="Arial Unicode MS"/>
        </w:rPr>
        <w:t>;</w:t>
      </w:r>
    </w:p>
    <w:p w:rsidR="00257FE9" w:rsidRDefault="007A2978" w:rsidP="00512F68">
      <w:pPr>
        <w:pStyle w:val="BodyTextIndent"/>
        <w:numPr>
          <w:ilvl w:val="0"/>
          <w:numId w:val="47"/>
        </w:numPr>
        <w:spacing w:after="0"/>
        <w:jc w:val="both"/>
        <w:rPr>
          <w:rFonts w:eastAsia="Arial Unicode MS"/>
        </w:rPr>
      </w:pPr>
      <w:r w:rsidRPr="007A2978">
        <w:rPr>
          <w:rFonts w:eastAsia="Arial Unicode MS"/>
        </w:rPr>
        <w:t>Prekių viešojo pirkimo - pardavimo sutarti</w:t>
      </w:r>
      <w:r w:rsidR="002A47E2">
        <w:rPr>
          <w:rFonts w:eastAsia="Arial Unicode MS"/>
        </w:rPr>
        <w:t>es projektas</w:t>
      </w:r>
      <w:r w:rsidR="00BA7B47">
        <w:rPr>
          <w:rFonts w:eastAsia="Arial Unicode MS"/>
        </w:rPr>
        <w:t>.</w:t>
      </w:r>
    </w:p>
    <w:p w:rsidR="00533387" w:rsidRDefault="00533387" w:rsidP="00512F68">
      <w:pPr>
        <w:pStyle w:val="BodyTextIndent"/>
        <w:numPr>
          <w:ilvl w:val="0"/>
          <w:numId w:val="47"/>
        </w:numPr>
        <w:spacing w:after="0"/>
        <w:jc w:val="both"/>
        <w:rPr>
          <w:rFonts w:eastAsia="Arial Unicode MS"/>
        </w:rPr>
      </w:pPr>
      <w:r>
        <w:t>Nr. 4</w:t>
      </w:r>
      <w:r w:rsidRPr="000071A6">
        <w:t xml:space="preserve"> </w:t>
      </w:r>
      <w:r>
        <w:t>„</w:t>
      </w:r>
      <w:r w:rsidRPr="00A94B39">
        <w:t>Pirkimų, susijusių su nacionaliniu saugumu, inicijavimo ir organizavimo krašto apsaugos sistemoje tvarkos aprašo 2 priedas</w:t>
      </w:r>
      <w:r>
        <w:t>“</w:t>
      </w:r>
      <w:r w:rsidRPr="00A94B39">
        <w:t>.</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BA7B47" w:rsidRPr="004A554A">
        <w:rPr>
          <w:b/>
        </w:rPr>
        <w:t>Išmani</w:t>
      </w:r>
      <w:r w:rsidR="00BA7B47">
        <w:rPr>
          <w:b/>
        </w:rPr>
        <w:t>ąsias</w:t>
      </w:r>
      <w:r w:rsidR="00BA7B47" w:rsidRPr="004A554A">
        <w:rPr>
          <w:b/>
        </w:rPr>
        <w:t xml:space="preserve"> lenta</w:t>
      </w:r>
      <w:r w:rsidR="00BA7B47">
        <w:rPr>
          <w:b/>
        </w:rPr>
        <w:t>s</w:t>
      </w:r>
      <w:r w:rsidR="00BA7B47" w:rsidRPr="004A554A">
        <w:rPr>
          <w:b/>
        </w:rPr>
        <w:t xml:space="preserve"> (interaktyv</w:t>
      </w:r>
      <w:r w:rsidR="00BA7B47">
        <w:rPr>
          <w:b/>
        </w:rPr>
        <w:t>i</w:t>
      </w:r>
      <w:r w:rsidR="00CF02E9">
        <w:rPr>
          <w:b/>
        </w:rPr>
        <w:t>ąsias lentas</w:t>
      </w:r>
      <w:r w:rsidR="00BA7B47" w:rsidRPr="004A554A">
        <w:rPr>
          <w:b/>
        </w:rPr>
        <w:t>)</w:t>
      </w:r>
      <w:r w:rsidR="00BA7B47">
        <w:t xml:space="preserve">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Nr. 1 „</w:t>
      </w:r>
      <w:r w:rsidR="00F41978">
        <w:t>Pasiūlymo forma</w:t>
      </w:r>
      <w:r w:rsidRPr="00F87A09">
        <w:t>“ (toliau – Pasiūlym</w:t>
      </w:r>
      <w:r w:rsidR="00BA7B47">
        <w:t>as</w:t>
      </w:r>
      <w:r w:rsidRPr="00F87A09">
        <w:t xml:space="preserve">), </w:t>
      </w:r>
    </w:p>
    <w:p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(toliau – Techninė specifikacija), </w:t>
      </w:r>
    </w:p>
    <w:p w:rsidR="00A94B39"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Prekių viešojo pirkimo - pardavimo sutarties pagrindinių sąlygų projektas</w:t>
      </w:r>
      <w:r w:rsidR="00A94B39">
        <w:t>“,</w:t>
      </w:r>
    </w:p>
    <w:p w:rsidR="003B0E72" w:rsidRDefault="007B7A51" w:rsidP="00BC513F">
      <w:pPr>
        <w:pStyle w:val="NormalWeb"/>
        <w:ind w:firstLine="480"/>
        <w:jc w:val="both"/>
      </w:pPr>
      <w:r>
        <w:t>Nr. 4</w:t>
      </w:r>
      <w:r w:rsidRPr="000071A6">
        <w:t xml:space="preserve"> </w:t>
      </w:r>
      <w:r>
        <w:t>„</w:t>
      </w:r>
      <w:r w:rsidRPr="00A94B39">
        <w:t>Pirkimų, susijusių su nacionaliniu saugumu, inicijavimo ir organizavimo krašto apsaugos sistemoje tvarkos aprašo 2 priedas</w:t>
      </w:r>
      <w:r>
        <w:t>“</w:t>
      </w:r>
      <w:r w:rsidRPr="00A94B39">
        <w:t>.</w:t>
      </w:r>
    </w:p>
    <w:p w:rsidR="007B7A51" w:rsidRDefault="007B7A51"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tiekėjai, kurie yra registruoti CVP IS, adresu</w:t>
      </w:r>
      <w:r w:rsidR="00BC513F">
        <w:t xml:space="preserve"> </w:t>
      </w:r>
      <w:hyperlink r:id="rId11" w:history="1">
        <w:r w:rsidR="00596C51" w:rsidRPr="00596C51">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890580">
        <w:rPr>
          <w:rFonts w:eastAsia="Calibri"/>
        </w:rPr>
        <w:t>komisija</w:t>
      </w:r>
      <w:r w:rsidR="00EB63CC">
        <w:rPr>
          <w:rFonts w:eastAsia="Calibri"/>
        </w:rPr>
        <w:t xml:space="preserve"> (toliau </w:t>
      </w:r>
      <w:r w:rsidR="00EB63CC" w:rsidRPr="00EB63CC">
        <w:rPr>
          <w:rFonts w:eastAsia="Calibri"/>
        </w:rPr>
        <w:t>–</w:t>
      </w:r>
      <w:r w:rsidR="00EB63CC">
        <w:rPr>
          <w:rFonts w:eastAsia="Calibri"/>
        </w:rPr>
        <w:t xml:space="preserve"> </w:t>
      </w:r>
      <w:r w:rsidR="00890580">
        <w:rPr>
          <w:rFonts w:eastAsia="Calibri"/>
        </w:rPr>
        <w:t>Komisija</w:t>
      </w:r>
      <w:r w:rsidR="00EB63CC">
        <w:rPr>
          <w:rFonts w:eastAsia="Calibri"/>
        </w:rPr>
        <w:t>)</w:t>
      </w:r>
      <w:r>
        <w:rPr>
          <w:rFonts w:eastAsia="Calibri"/>
        </w:rPr>
        <w:t>, kreiptis raštu per CVP IS,</w:t>
      </w:r>
    </w:p>
    <w:p w:rsidR="00596C51" w:rsidRPr="000414B1" w:rsidRDefault="003F59E7" w:rsidP="00596C51">
      <w:pPr>
        <w:autoSpaceDE w:val="0"/>
        <w:autoSpaceDN w:val="0"/>
        <w:ind w:left="108" w:right="108"/>
        <w:rPr>
          <w:color w:val="000000"/>
        </w:rPr>
      </w:pPr>
      <w:r>
        <w:rPr>
          <w:rFonts w:eastAsia="Calibri"/>
        </w:rPr>
        <w:t>1.7.</w:t>
      </w:r>
      <w:r w:rsidR="00EB63CC">
        <w:rPr>
          <w:rFonts w:eastAsia="Calibri"/>
        </w:rPr>
        <w:t>3</w:t>
      </w:r>
      <w:r>
        <w:rPr>
          <w:rFonts w:eastAsia="Calibri"/>
        </w:rPr>
        <w:t xml:space="preserve">. </w:t>
      </w:r>
      <w:r w:rsidRPr="003F59E7">
        <w:rPr>
          <w:rFonts w:eastAsia="Calibri"/>
        </w:rPr>
        <w:t>techniniais klausimais</w:t>
      </w:r>
      <w:r>
        <w:rPr>
          <w:rFonts w:eastAsia="Calibri"/>
        </w:rPr>
        <w:t xml:space="preserve">: </w:t>
      </w:r>
    </w:p>
    <w:p w:rsidR="00596C51" w:rsidRPr="000414B1" w:rsidRDefault="00596C51" w:rsidP="00596C51">
      <w:pPr>
        <w:autoSpaceDE w:val="0"/>
        <w:autoSpaceDN w:val="0"/>
        <w:ind w:left="108" w:right="108"/>
        <w:rPr>
          <w:color w:val="000000"/>
        </w:rPr>
      </w:pPr>
      <w:r w:rsidRPr="000414B1">
        <w:rPr>
          <w:color w:val="000000"/>
        </w:rPr>
        <w:t xml:space="preserve">RISS viršininkas vyr. </w:t>
      </w:r>
      <w:proofErr w:type="spellStart"/>
      <w:r w:rsidRPr="000414B1">
        <w:rPr>
          <w:color w:val="000000"/>
        </w:rPr>
        <w:t>srž</w:t>
      </w:r>
      <w:proofErr w:type="spellEnd"/>
      <w:r w:rsidRPr="000414B1">
        <w:rPr>
          <w:color w:val="000000"/>
        </w:rPr>
        <w:t>. Mindaugas Uckus, tel. Nr. 852103640 el. p</w:t>
      </w:r>
      <w:r>
        <w:rPr>
          <w:color w:val="000000"/>
        </w:rPr>
        <w:t>.</w:t>
      </w:r>
      <w:r w:rsidRPr="000414B1">
        <w:rPr>
          <w:color w:val="000000"/>
        </w:rPr>
        <w:t xml:space="preserve"> </w:t>
      </w:r>
      <w:hyperlink r:id="rId12" w:history="1">
        <w:r w:rsidRPr="000414B1">
          <w:rPr>
            <w:rStyle w:val="Hyperlink"/>
          </w:rPr>
          <w:t>mindaugas.uckus</w:t>
        </w:r>
        <w:r w:rsidRPr="000414B1">
          <w:rPr>
            <w:rStyle w:val="Hyperlink"/>
            <w:lang w:val="en-US"/>
          </w:rPr>
          <w:t>@mil.lt</w:t>
        </w:r>
      </w:hyperlink>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BB18BF" w:rsidRDefault="00257FE9" w:rsidP="00977A58">
      <w:pPr>
        <w:numPr>
          <w:ilvl w:val="0"/>
          <w:numId w:val="18"/>
        </w:numPr>
        <w:autoSpaceDE w:val="0"/>
        <w:autoSpaceDN w:val="0"/>
        <w:adjustRightInd w:val="0"/>
        <w:ind w:right="-2"/>
        <w:jc w:val="both"/>
      </w:pPr>
      <w:r w:rsidRPr="00780600">
        <w:t xml:space="preserve">Pirkimo objektas – </w:t>
      </w:r>
      <w:r w:rsidR="00977A58" w:rsidRPr="004A554A">
        <w:rPr>
          <w:b/>
        </w:rPr>
        <w:t>Išmanioji lenta (interaktyv</w:t>
      </w:r>
      <w:r w:rsidR="00CF02E9">
        <w:rPr>
          <w:b/>
        </w:rPr>
        <w:t>ioji lenta</w:t>
      </w:r>
      <w:r w:rsidR="00977A58" w:rsidRPr="004A554A">
        <w:rPr>
          <w:b/>
        </w:rPr>
        <w:t>)</w:t>
      </w:r>
      <w:r w:rsidR="00977A58">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977A58" w:rsidRPr="004A554A">
        <w:rPr>
          <w:b/>
        </w:rPr>
        <w:t>31711200-5</w:t>
      </w:r>
      <w:r w:rsidR="005F3783" w:rsidRPr="004D6DC6">
        <w:rPr>
          <w:b/>
        </w:rPr>
        <w:t>,</w:t>
      </w:r>
      <w:r w:rsidR="005F3783" w:rsidRPr="004D6DC6">
        <w:rPr>
          <w:b/>
        </w:rPr>
        <w:tab/>
        <w:t xml:space="preserve"> </w:t>
      </w:r>
      <w:r w:rsidR="00977A58">
        <w:rPr>
          <w:b/>
        </w:rPr>
        <w:t>e</w:t>
      </w:r>
      <w:r w:rsidR="00977A58" w:rsidRPr="00977A58">
        <w:rPr>
          <w:b/>
        </w:rPr>
        <w:t>lektroninės informacijos lentos</w:t>
      </w:r>
      <w:r w:rsidR="00583FF0" w:rsidRPr="004D6DC6">
        <w:rPr>
          <w:b/>
        </w:rPr>
        <w:t>.</w:t>
      </w:r>
    </w:p>
    <w:p w:rsidR="00063D09" w:rsidRDefault="00063D09" w:rsidP="006F2824">
      <w:pPr>
        <w:autoSpaceDE w:val="0"/>
        <w:autoSpaceDN w:val="0"/>
        <w:adjustRightInd w:val="0"/>
        <w:jc w:val="both"/>
      </w:pPr>
    </w:p>
    <w:p w:rsidR="00063D09" w:rsidRDefault="002445DF" w:rsidP="00063D09">
      <w:pPr>
        <w:autoSpaceDE w:val="0"/>
        <w:autoSpaceDN w:val="0"/>
        <w:adjustRightInd w:val="0"/>
        <w:ind w:firstLine="709"/>
        <w:jc w:val="both"/>
      </w:pPr>
      <w:r>
        <w:t>2.</w:t>
      </w:r>
      <w:r w:rsidR="006F2824">
        <w:t>2</w:t>
      </w:r>
      <w:r>
        <w:t xml:space="preserve">. </w:t>
      </w:r>
      <w:r w:rsidRPr="002445DF">
        <w:t xml:space="preserve">Pirkimo objektas </w:t>
      </w:r>
      <w:r w:rsidR="00651863">
        <w:t>nėra</w:t>
      </w:r>
      <w:r w:rsidRPr="002445DF">
        <w:t xml:space="preserve"> skaidomas į</w:t>
      </w:r>
      <w:r w:rsidR="00651863">
        <w:t xml:space="preserve"> </w:t>
      </w:r>
      <w:r w:rsidRPr="002445DF">
        <w:t>dalis</w:t>
      </w:r>
      <w:r w:rsidR="00634E45">
        <w:t>.</w:t>
      </w:r>
    </w:p>
    <w:p w:rsidR="00BB18BF" w:rsidRPr="009A2321" w:rsidRDefault="00BB18BF" w:rsidP="00634E45">
      <w:pPr>
        <w:autoSpaceDE w:val="0"/>
        <w:autoSpaceDN w:val="0"/>
        <w:adjustRightInd w:val="0"/>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 </w:t>
      </w:r>
      <w:r w:rsidR="00651863">
        <w:rPr>
          <w:b/>
        </w:rPr>
        <w:t>2</w:t>
      </w:r>
      <w:r w:rsidRPr="00063D09">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CF02E9">
        <w:rPr>
          <w:b/>
        </w:rPr>
        <w:t>70</w:t>
      </w:r>
      <w:r w:rsidR="00977A58">
        <w:rPr>
          <w:b/>
        </w:rPr>
        <w:t xml:space="preserve"> </w:t>
      </w:r>
      <w:r w:rsidR="00CF02E9">
        <w:rPr>
          <w:b/>
        </w:rPr>
        <w:t>0</w:t>
      </w:r>
      <w:r w:rsidR="00977A58" w:rsidRPr="00D87601">
        <w:rPr>
          <w:b/>
        </w:rPr>
        <w:t>00</w:t>
      </w:r>
      <w:r w:rsidR="00DE13F3" w:rsidRPr="00D87601">
        <w:rPr>
          <w:b/>
        </w:rPr>
        <w:t>,00</w:t>
      </w:r>
      <w:r w:rsidR="00DE13F3" w:rsidRPr="00DE13F3">
        <w:rPr>
          <w:b/>
        </w:rPr>
        <w:t xml:space="preserve"> </w:t>
      </w:r>
      <w:r w:rsidR="00F678D9" w:rsidRPr="00F678D9">
        <w:rPr>
          <w:b/>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Pr="00F678D9">
        <w:t>Prekių pristatymo terminas, adresas</w:t>
      </w:r>
      <w:r w:rsidRPr="00F678D9">
        <w:rPr>
          <w:color w:val="000000"/>
        </w:rPr>
        <w:t xml:space="preserve">: darbo dienomis nuo 8.00 val. iki 17.00 val., o </w:t>
      </w:r>
      <w:r w:rsidRPr="00F678D9">
        <w:t xml:space="preserve"> penktadieniais ir prieššventinėmis dienomis nuo 8.00 val. iki 15.45 val.</w:t>
      </w:r>
      <w:r w:rsidRPr="00F678D9">
        <w:rPr>
          <w:color w:val="000000"/>
        </w:rPr>
        <w:t xml:space="preserve"> Generolo Jono Žemaičio Lietuvos karo akademija, Šilo g. 5A, Vilnius.</w:t>
      </w:r>
      <w:r w:rsidR="00357E65">
        <w:rPr>
          <w:color w:val="000000"/>
        </w:rPr>
        <w:t xml:space="preserve"> Prekės pristatomo</w:t>
      </w:r>
      <w:r w:rsidR="00CB0D82">
        <w:rPr>
          <w:color w:val="000000"/>
        </w:rPr>
        <w:t>s</w:t>
      </w:r>
      <w:r w:rsidR="00357E65">
        <w:rPr>
          <w:color w:val="000000"/>
        </w:rPr>
        <w:t xml:space="preserve"> </w:t>
      </w:r>
      <w:r w:rsidR="001E746A">
        <w:rPr>
          <w:color w:val="000000"/>
        </w:rPr>
        <w:t>per 60 darbo dienų nuo Sutarties įsigaliojimo dienos.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 Perkančioji organizacija</w:t>
      </w:r>
      <w:r w:rsidR="00F678D9">
        <w:t xml:space="preserve"> įsipareigoja išpirkti minimalius prekių kiekius, bet</w:t>
      </w:r>
      <w:r w:rsidR="00063D09">
        <w:t xml:space="preserve"> neįsipareigoja išpirkti vis</w:t>
      </w:r>
      <w:r w:rsidR="00174F6A">
        <w:t>ų</w:t>
      </w:r>
      <w:r w:rsidR="00063D09">
        <w:t xml:space="preserve"> </w:t>
      </w:r>
      <w:r w:rsidR="0057257B">
        <w:t>prekių</w:t>
      </w:r>
      <w:r w:rsidR="00063D09">
        <w:t xml:space="preserve"> kiekio</w:t>
      </w:r>
      <w:r w:rsidR="00F678D9">
        <w:t xml:space="preserve"> pagal sutarties kainą</w:t>
      </w:r>
      <w:r w:rsidR="00063D09">
        <w:t xml:space="preserve">, jeigu Perkančiajai organizacijai </w:t>
      </w:r>
      <w:r w:rsidR="0057257B">
        <w:t>prekių</w:t>
      </w:r>
      <w:r w:rsidR="00063D09">
        <w:t xml:space="preserve"> nereikės.</w:t>
      </w:r>
    </w:p>
    <w:p w:rsidR="00257FE9" w:rsidRDefault="00257FE9" w:rsidP="006F2824">
      <w:pPr>
        <w:tabs>
          <w:tab w:val="left" w:pos="993"/>
        </w:tabs>
        <w:autoSpaceDE w:val="0"/>
        <w:autoSpaceDN w:val="0"/>
        <w:adjustRightInd w:val="0"/>
        <w:ind w:right="-2"/>
        <w:jc w:val="both"/>
      </w:pP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596C51" w:rsidRPr="00596FC7" w:rsidTr="00DE1A1A">
        <w:trPr>
          <w:trHeight w:val="1138"/>
          <w:jc w:val="center"/>
        </w:trPr>
        <w:tc>
          <w:tcPr>
            <w:tcW w:w="918" w:type="dxa"/>
            <w:shd w:val="clear" w:color="auto" w:fill="auto"/>
          </w:tcPr>
          <w:p w:rsidR="00596C51" w:rsidRPr="00596FC7" w:rsidRDefault="00596C51" w:rsidP="00596C51">
            <w:pPr>
              <w:ind w:left="-779" w:firstLine="851"/>
              <w:jc w:val="both"/>
              <w:rPr>
                <w:rFonts w:eastAsia="Calibri"/>
              </w:rPr>
            </w:pPr>
            <w:r>
              <w:rPr>
                <w:rFonts w:eastAsia="Calibri"/>
              </w:rPr>
              <w:t>3.2</w:t>
            </w:r>
            <w:r w:rsidRPr="00596FC7">
              <w:rPr>
                <w:rFonts w:eastAsia="Calibri"/>
              </w:rPr>
              <w:t>.1.</w:t>
            </w:r>
          </w:p>
        </w:tc>
        <w:tc>
          <w:tcPr>
            <w:tcW w:w="4469" w:type="dxa"/>
          </w:tcPr>
          <w:p w:rsidR="00596C51" w:rsidRDefault="00596C51" w:rsidP="00596C51">
            <w:pPr>
              <w:jc w:val="both"/>
            </w:pPr>
            <w:r>
              <w:t>S</w:t>
            </w:r>
            <w:r w:rsidRPr="006F301F">
              <w:t xml:space="preserve">iūlomos teikti prekės nėra iš valstybių ar teritorijų, kurių tiekėjai, jų subtiekėjai, ūkio subjektai, kurių pajėgumais yra remiamasi, gamintojai, techninės ar programinės įrangos priežiūrą vykdantys asmenys ar juos kontroliuojantys asmenys, nelaikomi </w:t>
            </w:r>
            <w:r w:rsidRPr="006F301F">
              <w:lastRenderedPageBreak/>
              <w:t>patikimais, sąrašo, patvirtinto LRV nutarimu 2022 m. kovo 30 d. Nr. 280</w:t>
            </w:r>
            <w:r>
              <w:t>.</w:t>
            </w:r>
            <w:r>
              <w:t xml:space="preserve"> </w:t>
            </w:r>
          </w:p>
          <w:p w:rsidR="00596C51" w:rsidRPr="00596C51" w:rsidRDefault="00596C51" w:rsidP="00596C51">
            <w:pPr>
              <w:autoSpaceDE w:val="0"/>
              <w:autoSpaceDN w:val="0"/>
              <w:adjustRightInd w:val="0"/>
              <w:ind w:left="57" w:right="71"/>
              <w:jc w:val="both"/>
              <w:rPr>
                <w:b/>
              </w:rPr>
            </w:pPr>
            <w:r w:rsidRPr="00596C51">
              <w:rPr>
                <w:b/>
              </w:rPr>
              <w:t>Bet koks užrašas, kuriame nurodoma pagaminimo nuoroda į minėtame teisės akte nurodytą šalį bus laikoma neatitikimu nacionalinio saugumo interesams.</w:t>
            </w:r>
          </w:p>
          <w:p w:rsidR="00596C51" w:rsidRPr="00C859E0" w:rsidRDefault="00596C51" w:rsidP="00596C51">
            <w:pPr>
              <w:autoSpaceDE w:val="0"/>
              <w:autoSpaceDN w:val="0"/>
              <w:adjustRightInd w:val="0"/>
              <w:ind w:left="57" w:right="71"/>
              <w:jc w:val="both"/>
            </w:pPr>
            <w:r w:rsidRPr="00C859E0">
              <w:t>Pirkimo objektas negali kelti grėsmės nacionaliniam saugumui:</w:t>
            </w:r>
          </w:p>
          <w:p w:rsidR="00596C51" w:rsidRPr="00C859E0" w:rsidRDefault="00596C51" w:rsidP="00596C51">
            <w:pPr>
              <w:autoSpaceDE w:val="0"/>
              <w:autoSpaceDN w:val="0"/>
              <w:adjustRightInd w:val="0"/>
              <w:ind w:left="57" w:right="71"/>
              <w:jc w:val="both"/>
            </w:pPr>
            <w:r w:rsidRPr="00C859E0">
              <w:t>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Perkančioji organizacija, veikianti gynybos srityje, turi teisę spręsti, ar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rsidR="00596C51" w:rsidRPr="00CD3B8F" w:rsidRDefault="00596C51" w:rsidP="00596C51">
            <w:pPr>
              <w:jc w:val="both"/>
            </w:pPr>
          </w:p>
        </w:tc>
        <w:tc>
          <w:tcPr>
            <w:tcW w:w="4956" w:type="dxa"/>
          </w:tcPr>
          <w:p w:rsidR="00596C51" w:rsidRPr="00CD3B8F" w:rsidRDefault="00596C51" w:rsidP="00596C51">
            <w:pPr>
              <w:jc w:val="both"/>
            </w:pPr>
            <w:r w:rsidRPr="00583FF0">
              <w:lastRenderedPageBreak/>
              <w:t xml:space="preserve">Teikėjas pateikdamas pasiūlymą privalo užpildyti „Pirkimų, susijusių su nacionaliniu saugumu, inicijavimo ir organizavimo krašto apsaugos sistemoje tvarkos aprašo 2 priedą“ pirkimo dokumentų </w:t>
            </w:r>
            <w:r>
              <w:t>4</w:t>
            </w:r>
            <w:r w:rsidRPr="00583FF0">
              <w:t xml:space="preserve"> priedą ir pateikti reikalaujamus dokumentus.</w:t>
            </w:r>
          </w:p>
        </w:tc>
      </w:tr>
      <w:tr w:rsidR="00596C51" w:rsidRPr="00CD3B8F" w:rsidTr="00890580">
        <w:trPr>
          <w:trHeight w:val="1470"/>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596C51" w:rsidRPr="00A20DBC" w:rsidRDefault="00596C51" w:rsidP="00596C51">
            <w:pPr>
              <w:ind w:left="-779" w:firstLine="851"/>
              <w:jc w:val="both"/>
              <w:rPr>
                <w:rFonts w:eastAsia="Calibri"/>
              </w:rPr>
            </w:pPr>
            <w:r w:rsidRPr="00A20DBC">
              <w:rPr>
                <w:rFonts w:eastAsia="Calibri"/>
              </w:rPr>
              <w:lastRenderedPageBreak/>
              <w:t>3.</w:t>
            </w:r>
            <w:r>
              <w:rPr>
                <w:rFonts w:eastAsia="Calibri"/>
              </w:rPr>
              <w:t>2</w:t>
            </w:r>
            <w:r w:rsidRPr="00A20DBC">
              <w:rPr>
                <w:rFonts w:eastAsia="Calibri"/>
              </w:rPr>
              <w:t>.2.</w:t>
            </w:r>
          </w:p>
        </w:tc>
        <w:tc>
          <w:tcPr>
            <w:tcW w:w="4469" w:type="dxa"/>
            <w:tcBorders>
              <w:top w:val="single" w:sz="4" w:space="0" w:color="auto"/>
              <w:left w:val="single" w:sz="4" w:space="0" w:color="auto"/>
              <w:bottom w:val="single" w:sz="4" w:space="0" w:color="auto"/>
              <w:right w:val="single" w:sz="4" w:space="0" w:color="auto"/>
            </w:tcBorders>
          </w:tcPr>
          <w:p w:rsidR="00596C51" w:rsidRPr="00A20DBC" w:rsidRDefault="00596C51" w:rsidP="00596C51">
            <w:pPr>
              <w:jc w:val="both"/>
            </w:pPr>
            <w:r>
              <w:t>Taikytini aplinkos apsaugos kriterijai.</w:t>
            </w:r>
          </w:p>
          <w:p w:rsidR="00596C51" w:rsidRPr="00A20DBC" w:rsidRDefault="00596C51" w:rsidP="00596C51">
            <w:pPr>
              <w:jc w:val="both"/>
            </w:pPr>
          </w:p>
        </w:tc>
        <w:tc>
          <w:tcPr>
            <w:tcW w:w="4956" w:type="dxa"/>
            <w:tcBorders>
              <w:top w:val="single" w:sz="4" w:space="0" w:color="auto"/>
              <w:left w:val="single" w:sz="4" w:space="0" w:color="auto"/>
              <w:bottom w:val="single" w:sz="4" w:space="0" w:color="auto"/>
              <w:right w:val="single" w:sz="4" w:space="0" w:color="auto"/>
            </w:tcBorders>
          </w:tcPr>
          <w:p w:rsidR="00596C51" w:rsidRDefault="00596C51" w:rsidP="00596C51">
            <w:pPr>
              <w:pStyle w:val="NormalWeb"/>
              <w:rPr>
                <w:rFonts w:eastAsiaTheme="minorHAnsi"/>
                <w:color w:val="000000"/>
                <w:lang w:eastAsia="en-US"/>
              </w:rPr>
            </w:pPr>
            <w:r w:rsidRPr="006B5DDB">
              <w:t>Taikomi LR APM 2011-06-28 d. įsakymu Nr. D1-508 „Dėl aplinkos apsaugos kriterijų taikymo, vykdant žaliuosius pirkimus, tvarkos aprašo patvirt</w:t>
            </w:r>
            <w:r>
              <w:t xml:space="preserve">inimo“ patvirtinti reikalavimai – 4.1 p.,  2 priedas </w:t>
            </w:r>
            <w:r>
              <w:rPr>
                <w:rFonts w:eastAsiaTheme="minorHAnsi"/>
                <w:color w:val="000000"/>
                <w:lang w:eastAsia="en-US"/>
              </w:rPr>
              <w:t>3 skyrius „Biuro įranga ir buitinė technika“.</w:t>
            </w:r>
          </w:p>
          <w:p w:rsidR="00596C51" w:rsidRDefault="00596C51" w:rsidP="00596C51">
            <w:pPr>
              <w:pStyle w:val="NormalWeb"/>
              <w:rPr>
                <w:rFonts w:eastAsiaTheme="minorHAnsi"/>
                <w:color w:val="000000"/>
                <w:lang w:eastAsia="en-US"/>
              </w:rPr>
            </w:pPr>
          </w:p>
          <w:p w:rsidR="00596C51" w:rsidRPr="00C064B1" w:rsidRDefault="00596C51" w:rsidP="00596C51">
            <w:pPr>
              <w:jc w:val="both"/>
            </w:pPr>
            <w:r>
              <w:t>P</w:t>
            </w:r>
            <w:r w:rsidRPr="00C064B1">
              <w:t xml:space="preserve">rekė pristatoma ne </w:t>
            </w:r>
            <w:r>
              <w:t xml:space="preserve">kelių eismo </w:t>
            </w:r>
            <w:r w:rsidRPr="00C064B1">
              <w:t xml:space="preserve">piko </w:t>
            </w:r>
            <w:r>
              <w:t>valandomis: pvz. darbo dienomis nuo 10:00 val. iki 15.00 val. ir trumpiausiais galimais maršrutais;</w:t>
            </w:r>
          </w:p>
          <w:p w:rsidR="00596C51" w:rsidRDefault="00596C51" w:rsidP="00596C51">
            <w:pPr>
              <w:pStyle w:val="NormalWeb"/>
              <w:rPr>
                <w:rFonts w:eastAsiaTheme="minorHAnsi"/>
                <w:color w:val="000000"/>
                <w:lang w:eastAsia="en-US"/>
              </w:rPr>
            </w:pPr>
            <w:r>
              <w:t xml:space="preserve">kai </w:t>
            </w:r>
            <w:r w:rsidRPr="00C064B1">
              <w:t>prekė, turi būti tiekiama ar perduodama antrinėje pakuotėje, ji turi atitikti pakuotėms nustatytus minimalius aplinkos apsaugos kriterijus (2 priedo II skyrius „Pakuotės“)</w:t>
            </w:r>
          </w:p>
          <w:p w:rsidR="00596C51" w:rsidRPr="00A20DBC" w:rsidRDefault="00596C51" w:rsidP="00596C51">
            <w:pPr>
              <w:jc w:val="both"/>
            </w:pPr>
          </w:p>
        </w:tc>
      </w:tr>
      <w:tr w:rsidR="00596C51" w:rsidRPr="00CD3B8F" w:rsidTr="00890580">
        <w:trPr>
          <w:trHeight w:val="698"/>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596C51" w:rsidRDefault="00596C51" w:rsidP="00596C51">
            <w:pPr>
              <w:ind w:left="-779" w:firstLine="851"/>
              <w:jc w:val="both"/>
              <w:rPr>
                <w:rFonts w:eastAsia="Calibri"/>
              </w:rPr>
            </w:pPr>
            <w:r>
              <w:rPr>
                <w:rFonts w:eastAsia="Calibri"/>
              </w:rPr>
              <w:t>3.2.3.</w:t>
            </w:r>
          </w:p>
        </w:tc>
        <w:tc>
          <w:tcPr>
            <w:tcW w:w="4469" w:type="dxa"/>
            <w:tcBorders>
              <w:top w:val="single" w:sz="4" w:space="0" w:color="auto"/>
              <w:left w:val="single" w:sz="4" w:space="0" w:color="auto"/>
              <w:bottom w:val="single" w:sz="4" w:space="0" w:color="auto"/>
              <w:right w:val="single" w:sz="4" w:space="0" w:color="auto"/>
            </w:tcBorders>
          </w:tcPr>
          <w:p w:rsidR="00596C51" w:rsidRDefault="00596C51" w:rsidP="00596C51">
            <w:pPr>
              <w:jc w:val="both"/>
              <w:rPr>
                <w:color w:val="000000"/>
              </w:rPr>
            </w:pPr>
            <w:r>
              <w:rPr>
                <w:color w:val="000000"/>
              </w:rPr>
              <w:t>Taikytini energijos vartojimo efektyvumo reikalavimai</w:t>
            </w:r>
          </w:p>
          <w:p w:rsidR="00596C51" w:rsidRDefault="00596C51" w:rsidP="00596C51">
            <w:pPr>
              <w:jc w:val="both"/>
            </w:pPr>
            <w:r>
              <w:rPr>
                <w:rFonts w:eastAsia="TimesNewRomanPSMT"/>
                <w:color w:val="000000"/>
                <w:lang w:eastAsia="en-US"/>
              </w:rPr>
              <w:t>P</w:t>
            </w:r>
            <w:r w:rsidRPr="006B5DDB">
              <w:rPr>
                <w:rFonts w:eastAsia="TimesNewRomanPSMT"/>
                <w:color w:val="000000"/>
                <w:lang w:eastAsia="en-US"/>
              </w:rPr>
              <w:t>rekės, įtrauktos į Lietuvos Respublikos energetikos ministro 2015 m. birželio 18 d. įsakymu Nr. 1</w:t>
            </w:r>
            <w:r w:rsidRPr="006B5DDB">
              <w:rPr>
                <w:rFonts w:eastAsiaTheme="minorHAnsi"/>
                <w:color w:val="000000"/>
                <w:lang w:eastAsia="en-US"/>
              </w:rPr>
              <w:t>-</w:t>
            </w:r>
            <w:r w:rsidRPr="006B5DDB">
              <w:rPr>
                <w:rFonts w:eastAsia="TimesNewRomanPSMT"/>
                <w:color w:val="000000"/>
                <w:lang w:eastAsia="en-US"/>
              </w:rPr>
              <w:t xml:space="preserve">154 „Dėl Prekių, išskyrus kelių transporto priemones, kurioms viešųjų pirkimų </w:t>
            </w:r>
            <w:r w:rsidRPr="006B5DDB">
              <w:rPr>
                <w:rFonts w:eastAsiaTheme="minorHAnsi"/>
                <w:color w:val="000000"/>
                <w:lang w:eastAsia="en-US"/>
              </w:rPr>
              <w:t xml:space="preserve">metu taikomi energijos vartojimo efektyvumo </w:t>
            </w:r>
            <w:r w:rsidRPr="006B5DDB">
              <w:rPr>
                <w:rFonts w:eastAsia="TimesNewRomanPSMT"/>
                <w:color w:val="000000"/>
                <w:lang w:eastAsia="en-US"/>
              </w:rPr>
              <w:t xml:space="preserve">reikalavimai, sąrašo patvirtinimo“ patvirtintą Prekių, išskyrus kelių transporto priemones, kurioms viešųjų pirkimų metu taikomi energijos vartojimo efektyvumo reikalavimai, sąrašą, </w:t>
            </w:r>
            <w:r w:rsidRPr="00544ED7">
              <w:rPr>
                <w:rFonts w:eastAsia="TimesNewRomanPSMT"/>
                <w:b/>
                <w:color w:val="000000"/>
                <w:lang w:eastAsia="en-US"/>
              </w:rPr>
              <w:t>turi atitikti aukščiausio energinio efektyvumo klasę (prieinamą Lietuvos rinkoje)</w:t>
            </w:r>
            <w:r w:rsidRPr="006B5DDB">
              <w:rPr>
                <w:rFonts w:eastAsia="TimesNewRomanPSMT"/>
                <w:color w:val="000000"/>
                <w:lang w:eastAsia="en-US"/>
              </w:rPr>
              <w:t xml:space="preserve">, nustatytą Europos Komisijos reglamentuose dėl gaminių energijos vartojimo efektyvumo ženklinimo reikalavimų. Jeigu minėti reikalavimai prekėms netaikomi, prekės turi atitikti Europos Komisijos reglamentuose dėl gaminių ekologinio projektavimo </w:t>
            </w:r>
            <w:r w:rsidRPr="006B5DDB">
              <w:rPr>
                <w:rFonts w:eastAsiaTheme="minorHAnsi"/>
                <w:color w:val="000000"/>
                <w:lang w:eastAsia="en-US"/>
              </w:rPr>
              <w:t>nustatytus efektyvaus</w:t>
            </w:r>
            <w:r>
              <w:rPr>
                <w:rFonts w:eastAsiaTheme="minorHAnsi"/>
                <w:color w:val="000000"/>
                <w:lang w:eastAsia="en-US"/>
              </w:rPr>
              <w:t xml:space="preserve"> energijos vartojimo kriterijus – 28 p.</w:t>
            </w:r>
          </w:p>
        </w:tc>
        <w:tc>
          <w:tcPr>
            <w:tcW w:w="4956" w:type="dxa"/>
            <w:tcBorders>
              <w:top w:val="single" w:sz="4" w:space="0" w:color="auto"/>
              <w:left w:val="single" w:sz="4" w:space="0" w:color="auto"/>
              <w:bottom w:val="single" w:sz="4" w:space="0" w:color="auto"/>
              <w:right w:val="single" w:sz="4" w:space="0" w:color="auto"/>
            </w:tcBorders>
          </w:tcPr>
          <w:p w:rsidR="00596C51" w:rsidRDefault="00596C51" w:rsidP="00596C51">
            <w:pPr>
              <w:widowControl w:val="0"/>
              <w:autoSpaceDE w:val="0"/>
              <w:autoSpaceDN w:val="0"/>
              <w:adjustRightInd w:val="0"/>
              <w:ind w:left="108" w:right="108"/>
              <w:rPr>
                <w:color w:val="000000"/>
              </w:rPr>
            </w:pPr>
            <w:r>
              <w:rPr>
                <w:color w:val="000000"/>
              </w:rPr>
              <w:t>Taikytini energijos vartojimo efektyvumo reikalavimai.</w:t>
            </w:r>
          </w:p>
          <w:p w:rsidR="00596C51" w:rsidRDefault="00596C51" w:rsidP="00596C51">
            <w:pPr>
              <w:jc w:val="both"/>
              <w:rPr>
                <w:color w:val="000000"/>
              </w:rPr>
            </w:pPr>
            <w:r>
              <w:rPr>
                <w:color w:val="000000"/>
              </w:rPr>
              <w:t>Išmanios/interaktyvios lentos turi atitikti</w:t>
            </w:r>
            <w:r w:rsidRPr="00A61D11">
              <w:rPr>
                <w:color w:val="000000"/>
              </w:rPr>
              <w:t xml:space="preserve"> energijos v</w:t>
            </w:r>
            <w:r>
              <w:rPr>
                <w:color w:val="000000"/>
              </w:rPr>
              <w:t>artojimo efektyvumo reikalavimams.</w:t>
            </w:r>
          </w:p>
          <w:p w:rsidR="00596C51" w:rsidRDefault="00596C51" w:rsidP="00596C51">
            <w:pPr>
              <w:jc w:val="both"/>
              <w:rPr>
                <w:color w:val="000000"/>
              </w:rPr>
            </w:pPr>
            <w:r w:rsidRPr="00A61D11">
              <w:rPr>
                <w:color w:val="000000"/>
              </w:rPr>
              <w:t>Atitiktį reikalavimams įrodantys dokumentai: ekologinis ženklas </w:t>
            </w:r>
            <w:proofErr w:type="spellStart"/>
            <w:r w:rsidRPr="00A61D11">
              <w:rPr>
                <w:color w:val="000000"/>
              </w:rPr>
              <w:t>European</w:t>
            </w:r>
            <w:proofErr w:type="spellEnd"/>
            <w:r w:rsidRPr="00A61D11">
              <w:rPr>
                <w:color w:val="000000"/>
              </w:rPr>
              <w:t xml:space="preserve"> </w:t>
            </w:r>
            <w:proofErr w:type="spellStart"/>
            <w:r w:rsidRPr="00A61D11">
              <w:rPr>
                <w:color w:val="000000"/>
              </w:rPr>
              <w:t>Ecolabel</w:t>
            </w:r>
            <w:proofErr w:type="spellEnd"/>
            <w:r w:rsidRPr="00A61D11">
              <w:rPr>
                <w:color w:val="000000"/>
              </w:rPr>
              <w:t xml:space="preserve"> arba gamintojo techniniai dokumentai, </w:t>
            </w:r>
            <w:r>
              <w:rPr>
                <w:color w:val="000000"/>
              </w:rPr>
              <w:t>arba kitas lygiavertis įrodymas.</w:t>
            </w:r>
          </w:p>
          <w:p w:rsidR="00596C51" w:rsidRDefault="00596C51" w:rsidP="00596C51">
            <w:pPr>
              <w:jc w:val="both"/>
            </w:pPr>
          </w:p>
        </w:tc>
      </w:tr>
    </w:tbl>
    <w:p w:rsidR="00257FE9" w:rsidRDefault="00257FE9" w:rsidP="00257FE9">
      <w:pPr>
        <w:pStyle w:val="BodyText"/>
        <w:rPr>
          <w:i w:val="0"/>
          <w:lang w:val="lt-LT"/>
        </w:rPr>
      </w:pPr>
    </w:p>
    <w:p w:rsidR="006F2824" w:rsidRDefault="006F2824" w:rsidP="00257FE9">
      <w:pPr>
        <w:pStyle w:val="BodyText"/>
        <w:ind w:firstLine="709"/>
        <w:rPr>
          <w:i w:val="0"/>
          <w:lang w:val="lt-LT"/>
        </w:rPr>
      </w:pPr>
      <w:r w:rsidRPr="006F2824">
        <w:rPr>
          <w:i w:val="0"/>
          <w:lang w:val="lt-LT"/>
        </w:rPr>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tiekėjas pageidauja remtis kitų ūkio subjektų pajėgumais, jis privalo perkančiajai organizacijai pasiūlyme įrodyti, kad vykdant pirkimo sutartį ūkio subjektų, kurių pajėgumais jis </w:t>
      </w:r>
      <w:r w:rsidRPr="00D82390">
        <w:rPr>
          <w:szCs w:val="20"/>
          <w:lang w:eastAsia="ar-SA"/>
        </w:rPr>
        <w:lastRenderedPageBreak/>
        <w:t>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564197" w:rsidP="004A05ED">
      <w:pPr>
        <w:pStyle w:val="ListParagraph"/>
        <w:numPr>
          <w:ilvl w:val="1"/>
          <w:numId w:val="47"/>
        </w:numPr>
        <w:ind w:left="0" w:firstLine="709"/>
        <w:jc w:val="both"/>
      </w:pPr>
      <w:r>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596C51" w:rsidRPr="00596C51">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lastRenderedPageBreak/>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F96393" w:rsidRPr="0080418C" w:rsidRDefault="00E74BC2" w:rsidP="0080418C">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600177" w:rsidRDefault="00600177" w:rsidP="00E3119C">
      <w:pPr>
        <w:ind w:firstLine="709"/>
        <w:jc w:val="center"/>
        <w:rPr>
          <w:b/>
          <w:bCs/>
          <w:color w:val="000000"/>
        </w:rPr>
      </w:pPr>
    </w:p>
    <w:p w:rsidR="00600177" w:rsidRDefault="00600177"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4907C2" w:rsidRPr="004907C2">
        <w:rPr>
          <w:b/>
          <w:i w:val="0"/>
          <w:lang w:val="lt-LT"/>
        </w:rPr>
        <w:t>pirkimo skelbime nurodytos datos</w:t>
      </w:r>
      <w:r w:rsidRPr="004907C2">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9C72BB" w:rsidRDefault="00B04FC2" w:rsidP="004D6DC6">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5D2EBC" w:rsidRPr="004D6DC6" w:rsidRDefault="005D2EBC" w:rsidP="005D2EBC">
      <w:pPr>
        <w:pStyle w:val="ListParagraph"/>
        <w:ind w:left="709"/>
        <w:jc w:val="both"/>
        <w:rPr>
          <w:color w:val="000000"/>
        </w:rPr>
      </w:pPr>
    </w:p>
    <w:p w:rsidR="00EB6A14" w:rsidRPr="00596FC7" w:rsidRDefault="00EB6A14" w:rsidP="00EB6A14">
      <w:pPr>
        <w:pStyle w:val="NormalWeb"/>
        <w:ind w:firstLine="709"/>
        <w:jc w:val="both"/>
      </w:pPr>
      <w:r>
        <w:lastRenderedPageBreak/>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Pr="00E80FE0" w:rsidRDefault="00E80FE0"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lastRenderedPageBreak/>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0D5369">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907C2" w:rsidRPr="004907C2">
        <w:rPr>
          <w:b/>
          <w:i w:val="0"/>
          <w:lang w:val="lt-LT"/>
        </w:rPr>
        <w:t>pirkimo skelbime nurodyt</w:t>
      </w:r>
      <w:r w:rsidR="004907C2">
        <w:rPr>
          <w:b/>
          <w:i w:val="0"/>
          <w:lang w:val="lt-LT"/>
        </w:rPr>
        <w:t xml:space="preserve">u </w:t>
      </w:r>
      <w:r w:rsidR="004907C2" w:rsidRPr="004907C2">
        <w:rPr>
          <w:b/>
          <w:i w:val="0"/>
          <w:lang w:val="lt-LT"/>
        </w:rPr>
        <w:t>laiku</w:t>
      </w:r>
      <w:r w:rsidR="00E80FE0" w:rsidRPr="004907C2">
        <w:rPr>
          <w:b/>
          <w:i w:val="0"/>
          <w:szCs w:val="24"/>
          <w:lang w:val="lt-LT"/>
        </w:rPr>
        <w:t>.</w:t>
      </w:r>
      <w:r w:rsidR="00E80FE0" w:rsidRPr="004907C2">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D5369">
        <w:rPr>
          <w:i w:val="0"/>
          <w:color w:val="000000"/>
          <w:szCs w:val="24"/>
          <w:lang w:val="lt-LT"/>
        </w:rPr>
        <w:t xml:space="preserve">, </w:t>
      </w:r>
      <w:r w:rsidR="000D5369" w:rsidRPr="000D5369">
        <w:rPr>
          <w:i w:val="0"/>
          <w:color w:val="000000"/>
          <w:szCs w:val="24"/>
          <w:lang w:val="lt-LT"/>
        </w:rPr>
        <w:t>Komisijos posėdyje.</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8D09BD" w:rsidRPr="00063025" w:rsidRDefault="008D09BD" w:rsidP="008D09BD">
      <w:pPr>
        <w:pStyle w:val="BodyText"/>
        <w:suppressAutoHyphens w:val="0"/>
        <w:rPr>
          <w:i w:val="0"/>
          <w:color w:val="000000"/>
          <w:szCs w:val="24"/>
          <w:lang w:val="lt-LT"/>
        </w:rPr>
      </w:pPr>
    </w:p>
    <w:p w:rsidR="00DA3F02" w:rsidRPr="00063025" w:rsidRDefault="00DA3F02" w:rsidP="001062A8">
      <w:pPr>
        <w:pStyle w:val="BodyText"/>
        <w:tabs>
          <w:tab w:val="num" w:pos="1418"/>
        </w:tabs>
        <w:ind w:firstLine="709"/>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 xml:space="preserve">Tais atvejais, kai kelių tiekėjų pasiūlymų pasiūlyta kaina yra vienoda, sudarant pasiūlymų eilę pirmesnis į šią eilę įrašomas tiekėjas, kurio pasiūlymas CVP IS priemonėmis pateiktas anksčiausiai. Laimėjusiu pasiūlymu </w:t>
      </w:r>
      <w:r w:rsidRPr="00E65846">
        <w:rPr>
          <w:rFonts w:eastAsia="Lucida Sans Unicode"/>
        </w:rPr>
        <w:lastRenderedPageBreak/>
        <w:t>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 xml:space="preserve">Perkančioji organizacija, gavusi tiekėjo pretenziją, </w:t>
      </w:r>
      <w:r w:rsidR="00596C51">
        <w:rPr>
          <w:color w:val="000000"/>
          <w:lang w:eastAsia="ar-SA"/>
        </w:rPr>
        <w:t>ne</w:t>
      </w:r>
      <w:r w:rsidRPr="009C72BB">
        <w:rPr>
          <w:color w:val="000000"/>
          <w:lang w:eastAsia="ar-SA"/>
        </w:rPr>
        <w:t>sustabdo pirkimo procedūras, kol bus išnagrinėta ši pretenzija ir priimtas sprendimas</w:t>
      </w:r>
      <w:r w:rsidR="00596C51">
        <w:rPr>
          <w:color w:val="000000"/>
          <w:lang w:eastAsia="ar-SA"/>
        </w:rPr>
        <w:t>,</w:t>
      </w:r>
      <w:r w:rsidR="00596C51" w:rsidRPr="00596C51">
        <w:rPr>
          <w:color w:val="000000"/>
          <w:lang w:eastAsia="ar-SA"/>
        </w:rPr>
        <w:t xml:space="preserve"> </w:t>
      </w:r>
      <w:r w:rsidR="00596C51">
        <w:rPr>
          <w:color w:val="000000"/>
          <w:lang w:eastAsia="ar-SA"/>
        </w:rPr>
        <w:t>nebent perkančioji organizacija nuspręstų kitaip</w:t>
      </w:r>
      <w:r w:rsidRPr="009C72BB">
        <w:rPr>
          <w:color w:val="000000"/>
          <w:lang w:eastAsia="ar-SA"/>
        </w:rPr>
        <w:t>. Perkančioji organizacija negali sudaryti pirkimo (preliminariosios) sutarties anksčiau negu po 5 darbo dienų nuo rašytinio pranešimo apie jos priimtą sprendimą išsiuntimo pretenziją pateikusiam tiekėjui ir suinteresuotiems dalyviams dienos.</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A3262E" w:rsidRDefault="00A3262E"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w:t>
      </w:r>
      <w:bookmarkStart w:id="4" w:name="_GoBack"/>
      <w:bookmarkEnd w:id="4"/>
      <w:r>
        <w:t xml:space="preserve"> bei Mažos vertės pirkimų tvarkos aprašu, patvirtintu Viešųjų </w:t>
      </w:r>
      <w:r>
        <w:lastRenderedPageBreak/>
        <w:t>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4907C2" w:rsidRDefault="004907C2" w:rsidP="00121A0D">
      <w:pPr>
        <w:tabs>
          <w:tab w:val="left" w:pos="0"/>
          <w:tab w:val="left" w:pos="1134"/>
        </w:tabs>
        <w:ind w:firstLine="709"/>
        <w:jc w:val="both"/>
      </w:pPr>
    </w:p>
    <w:bookmarkEnd w:id="3"/>
    <w:p w:rsidR="00C5168A" w:rsidRPr="00E65846" w:rsidRDefault="00C5168A" w:rsidP="004907C2">
      <w:pPr>
        <w:pBdr>
          <w:top w:val="single" w:sz="4" w:space="1" w:color="auto"/>
        </w:pBdr>
        <w:rPr>
          <w:rFonts w:eastAsia="Calibri"/>
          <w:szCs w:val="22"/>
          <w:lang w:eastAsia="en-US"/>
        </w:rPr>
      </w:pPr>
    </w:p>
    <w:sectPr w:rsidR="00C5168A" w:rsidRPr="00E65846" w:rsidSect="00533387">
      <w:headerReference w:type="even" r:id="rId16"/>
      <w:headerReference w:type="default" r:id="rId17"/>
      <w:pgSz w:w="11906" w:h="16838"/>
      <w:pgMar w:top="1008" w:right="707" w:bottom="851"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2F7" w:rsidRDefault="007362F7">
      <w:r>
        <w:separator/>
      </w:r>
    </w:p>
  </w:endnote>
  <w:endnote w:type="continuationSeparator" w:id="0">
    <w:p w:rsidR="007362F7" w:rsidRDefault="0073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2F7" w:rsidRDefault="007362F7">
      <w:r>
        <w:separator/>
      </w:r>
    </w:p>
  </w:footnote>
  <w:footnote w:type="continuationSeparator" w:id="0">
    <w:p w:rsidR="007362F7" w:rsidRDefault="0073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6C51">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5"/>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4AD8"/>
    <w:rsid w:val="00135061"/>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746A"/>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47E2"/>
    <w:rsid w:val="002A6032"/>
    <w:rsid w:val="002B0740"/>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7C2"/>
    <w:rsid w:val="00490AB5"/>
    <w:rsid w:val="004920ED"/>
    <w:rsid w:val="00493281"/>
    <w:rsid w:val="00493601"/>
    <w:rsid w:val="0049668C"/>
    <w:rsid w:val="004A0334"/>
    <w:rsid w:val="004A05ED"/>
    <w:rsid w:val="004A554A"/>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D6DC6"/>
    <w:rsid w:val="004E1B87"/>
    <w:rsid w:val="004E444F"/>
    <w:rsid w:val="004E4FE2"/>
    <w:rsid w:val="004E538C"/>
    <w:rsid w:val="004E5DFA"/>
    <w:rsid w:val="004E7614"/>
    <w:rsid w:val="004F562B"/>
    <w:rsid w:val="004F72D6"/>
    <w:rsid w:val="00501E5F"/>
    <w:rsid w:val="00502744"/>
    <w:rsid w:val="00503B38"/>
    <w:rsid w:val="00504356"/>
    <w:rsid w:val="005059E2"/>
    <w:rsid w:val="00506DB7"/>
    <w:rsid w:val="005121FE"/>
    <w:rsid w:val="00512F68"/>
    <w:rsid w:val="005142EF"/>
    <w:rsid w:val="00520715"/>
    <w:rsid w:val="005208C4"/>
    <w:rsid w:val="00521CF2"/>
    <w:rsid w:val="00523CDE"/>
    <w:rsid w:val="005247BC"/>
    <w:rsid w:val="005273BC"/>
    <w:rsid w:val="005317F0"/>
    <w:rsid w:val="00533387"/>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90F2E"/>
    <w:rsid w:val="00591A86"/>
    <w:rsid w:val="00593899"/>
    <w:rsid w:val="00595584"/>
    <w:rsid w:val="00596C51"/>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2EBC"/>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2F7"/>
    <w:rsid w:val="00736F97"/>
    <w:rsid w:val="00742609"/>
    <w:rsid w:val="00743830"/>
    <w:rsid w:val="00744517"/>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A51"/>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0580"/>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488A"/>
    <w:rsid w:val="00975B97"/>
    <w:rsid w:val="00977A58"/>
    <w:rsid w:val="009808C9"/>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335C"/>
    <w:rsid w:val="00AA43BA"/>
    <w:rsid w:val="00AA52A7"/>
    <w:rsid w:val="00AB0B3C"/>
    <w:rsid w:val="00AB36F7"/>
    <w:rsid w:val="00AB3C38"/>
    <w:rsid w:val="00AB7319"/>
    <w:rsid w:val="00AC2F74"/>
    <w:rsid w:val="00AC46C9"/>
    <w:rsid w:val="00AC5212"/>
    <w:rsid w:val="00AC590E"/>
    <w:rsid w:val="00AC618D"/>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02E9"/>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33F94"/>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C77AA"/>
    <w:rsid w:val="00DD3656"/>
    <w:rsid w:val="00DD61AB"/>
    <w:rsid w:val="00DE13F3"/>
    <w:rsid w:val="00DE1919"/>
    <w:rsid w:val="00DE1A1A"/>
    <w:rsid w:val="00DE6A68"/>
    <w:rsid w:val="00DE73AB"/>
    <w:rsid w:val="00DF20A5"/>
    <w:rsid w:val="00DF3DA9"/>
    <w:rsid w:val="00DF4494"/>
    <w:rsid w:val="00DF50E3"/>
    <w:rsid w:val="00DF5B32"/>
    <w:rsid w:val="00DF7154"/>
    <w:rsid w:val="00E019EF"/>
    <w:rsid w:val="00E04119"/>
    <w:rsid w:val="00E05C24"/>
    <w:rsid w:val="00E07BC4"/>
    <w:rsid w:val="00E07DB7"/>
    <w:rsid w:val="00E12868"/>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86E5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03EFF"/>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uckus@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BEFCC-2A67-4EC6-A228-F702B2A8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3991</Words>
  <Characters>29598</Characters>
  <Application>Microsoft Office Word</Application>
  <DocSecurity>0</DocSecurity>
  <Lines>246</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33522</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Rimas Stankevičius</cp:lastModifiedBy>
  <cp:revision>16</cp:revision>
  <cp:lastPrinted>2023-07-13T06:43:00Z</cp:lastPrinted>
  <dcterms:created xsi:type="dcterms:W3CDTF">2023-10-25T09:41:00Z</dcterms:created>
  <dcterms:modified xsi:type="dcterms:W3CDTF">2025-07-21T13:37:00Z</dcterms:modified>
</cp:coreProperties>
</file>