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A7602" w14:textId="77777777" w:rsidR="00033ED0" w:rsidRPr="00BB0143" w:rsidRDefault="00033ED0" w:rsidP="00266846">
      <w:pPr>
        <w:pStyle w:val="Antrat1"/>
        <w:spacing w:before="0" w:after="0"/>
        <w:ind w:hanging="40"/>
        <w:jc w:val="center"/>
        <w:rPr>
          <w:b/>
          <w:sz w:val="22"/>
          <w:szCs w:val="22"/>
          <w:lang w:val="lt-LT"/>
        </w:rPr>
      </w:pPr>
      <w:r w:rsidRPr="00BB0143">
        <w:rPr>
          <w:noProof/>
          <w:sz w:val="22"/>
          <w:szCs w:val="22"/>
          <w:lang w:val="lt-LT"/>
        </w:rPr>
        <w:drawing>
          <wp:inline distT="0" distB="0" distL="0" distR="0" wp14:anchorId="79E49E29" wp14:editId="52948F4B">
            <wp:extent cx="952500" cy="845820"/>
            <wp:effectExtent l="0" t="0" r="0" b="0"/>
            <wp:docPr id="189196558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845820"/>
                    </a:xfrm>
                    <a:prstGeom prst="rect">
                      <a:avLst/>
                    </a:prstGeom>
                    <a:noFill/>
                    <a:ln>
                      <a:noFill/>
                    </a:ln>
                  </pic:spPr>
                </pic:pic>
              </a:graphicData>
            </a:graphic>
          </wp:inline>
        </w:drawing>
      </w:r>
    </w:p>
    <w:p w14:paraId="58DDE698" w14:textId="1D662C3F" w:rsidR="00033ED0" w:rsidRPr="00BB0143" w:rsidRDefault="00033ED0" w:rsidP="00266846">
      <w:pPr>
        <w:pStyle w:val="Antrat1"/>
        <w:spacing w:before="0" w:after="0"/>
        <w:jc w:val="center"/>
        <w:rPr>
          <w:rFonts w:ascii="Times New Roman" w:hAnsi="Times New Roman" w:cs="Times New Roman"/>
          <w:b/>
          <w:sz w:val="22"/>
          <w:szCs w:val="22"/>
          <w:lang w:val="lt-LT"/>
        </w:rPr>
      </w:pPr>
      <w:r w:rsidRPr="00BB0143">
        <w:rPr>
          <w:rFonts w:ascii="Times New Roman" w:hAnsi="Times New Roman" w:cs="Times New Roman"/>
          <w:b/>
          <w:sz w:val="22"/>
          <w:szCs w:val="22"/>
          <w:lang w:val="lt-LT"/>
        </w:rPr>
        <w:t>VIEŠOJI ĮSTAIGA</w:t>
      </w:r>
    </w:p>
    <w:p w14:paraId="53E43414" w14:textId="77777777" w:rsidR="00033ED0" w:rsidRPr="00BB0143" w:rsidRDefault="00033ED0" w:rsidP="00266846">
      <w:pPr>
        <w:jc w:val="center"/>
        <w:rPr>
          <w:b/>
          <w:sz w:val="22"/>
          <w:szCs w:val="22"/>
          <w:lang w:val="lt-LT"/>
        </w:rPr>
      </w:pPr>
      <w:r w:rsidRPr="00BB0143">
        <w:rPr>
          <w:b/>
          <w:sz w:val="22"/>
          <w:szCs w:val="22"/>
          <w:lang w:val="lt-LT"/>
        </w:rPr>
        <w:t>RASEINIŲ PIRMINĖS SVEIKATOS PRIEŽIŪROS CENTRAS</w:t>
      </w:r>
    </w:p>
    <w:p w14:paraId="74AEBB74" w14:textId="77777777" w:rsidR="00033ED0" w:rsidRPr="00BB0143" w:rsidRDefault="00033ED0" w:rsidP="00266846">
      <w:pPr>
        <w:jc w:val="center"/>
        <w:rPr>
          <w:sz w:val="22"/>
          <w:szCs w:val="22"/>
          <w:lang w:val="lt-LT"/>
        </w:rPr>
      </w:pPr>
    </w:p>
    <w:p w14:paraId="6E5A4953" w14:textId="77777777" w:rsidR="00033ED0" w:rsidRPr="00BB0143" w:rsidRDefault="00033ED0" w:rsidP="00266846">
      <w:pPr>
        <w:pBdr>
          <w:bottom w:val="single" w:sz="6" w:space="0" w:color="auto"/>
        </w:pBdr>
        <w:jc w:val="center"/>
        <w:rPr>
          <w:sz w:val="22"/>
          <w:szCs w:val="22"/>
          <w:lang w:val="lt-LT"/>
        </w:rPr>
      </w:pPr>
      <w:r w:rsidRPr="00BB0143">
        <w:rPr>
          <w:sz w:val="22"/>
          <w:szCs w:val="22"/>
          <w:lang w:val="lt-LT"/>
        </w:rPr>
        <w:t>Viešoji įstaiga, Žemaitės g. 2, 60127 Raseiniai, tel. (0  428)  57  913, el. p. raseiniai@rpspc.lt</w:t>
      </w:r>
    </w:p>
    <w:p w14:paraId="18BBDC7B" w14:textId="77777777" w:rsidR="00033ED0" w:rsidRPr="00BB0143" w:rsidRDefault="00033ED0" w:rsidP="00266846">
      <w:pPr>
        <w:pBdr>
          <w:bottom w:val="single" w:sz="6" w:space="0" w:color="auto"/>
        </w:pBdr>
        <w:jc w:val="center"/>
        <w:rPr>
          <w:sz w:val="22"/>
          <w:szCs w:val="22"/>
          <w:lang w:val="lt-LT"/>
        </w:rPr>
      </w:pPr>
      <w:r w:rsidRPr="00BB0143">
        <w:rPr>
          <w:sz w:val="22"/>
          <w:szCs w:val="22"/>
          <w:lang w:val="lt-LT"/>
        </w:rPr>
        <w:t>Duomenys kaupiami ir saugomi Juridinių asmenų registre, kodas 272416130</w:t>
      </w:r>
    </w:p>
    <w:p w14:paraId="7A0620BD" w14:textId="77777777" w:rsidR="00033ED0" w:rsidRPr="00BB0143" w:rsidRDefault="00033ED0" w:rsidP="00266846">
      <w:pPr>
        <w:jc w:val="center"/>
        <w:rPr>
          <w:sz w:val="22"/>
          <w:szCs w:val="22"/>
          <w:lang w:val="lt-LT"/>
        </w:rPr>
      </w:pPr>
    </w:p>
    <w:p w14:paraId="5822EC7E" w14:textId="77777777" w:rsidR="00033ED0" w:rsidRPr="00BB0143" w:rsidRDefault="00033ED0" w:rsidP="00266846">
      <w:pPr>
        <w:rPr>
          <w:sz w:val="22"/>
          <w:szCs w:val="22"/>
          <w:lang w:val="lt-LT"/>
        </w:rPr>
      </w:pPr>
    </w:p>
    <w:p w14:paraId="3D19FC6E" w14:textId="77777777" w:rsidR="00033ED0" w:rsidRPr="00BB0143" w:rsidRDefault="00033ED0" w:rsidP="00266846">
      <w:pPr>
        <w:pStyle w:val="Pagrindinistekstas"/>
        <w:spacing w:after="0"/>
        <w:rPr>
          <w:rFonts w:eastAsia="MS Gothic"/>
          <w:sz w:val="24"/>
          <w:szCs w:val="24"/>
          <w:lang w:val="lt-LT" w:bidi="lt-LT"/>
        </w:rPr>
      </w:pPr>
    </w:p>
    <w:p w14:paraId="28F5D477" w14:textId="03839696" w:rsidR="00033ED0" w:rsidRPr="00BB0143" w:rsidRDefault="00033ED0" w:rsidP="00266846">
      <w:pPr>
        <w:pStyle w:val="Antrat10"/>
        <w:spacing w:before="0" w:after="0"/>
        <w:jc w:val="center"/>
        <w:rPr>
          <w:rFonts w:ascii="Times New Roman" w:eastAsia="Calibri" w:hAnsi="Times New Roman" w:cs="Times New Roman"/>
          <w:b/>
          <w:noProof/>
          <w:sz w:val="24"/>
          <w:szCs w:val="24"/>
          <w:lang w:eastAsia="ja-JP"/>
        </w:rPr>
      </w:pPr>
      <w:r w:rsidRPr="00BB0143">
        <w:rPr>
          <w:rFonts w:ascii="Times New Roman" w:eastAsia="Calibri" w:hAnsi="Times New Roman" w:cs="Times New Roman"/>
          <w:b/>
          <w:noProof/>
          <w:sz w:val="24"/>
          <w:szCs w:val="24"/>
          <w:lang w:eastAsia="ja-JP"/>
        </w:rPr>
        <w:t>LABORATORINIŲ REAGENTŲ IR PRIEMONIŲ KARTU SU ĮRANGOS PANAUDA IR TECHNINE PRIEŽIŪRA RINKOS KONSULTACIJOS DALYVIŲ PASTABŲ IR SIŪLYMŲ APIBENDRINIMAS</w:t>
      </w:r>
    </w:p>
    <w:p w14:paraId="6E6AFAB7" w14:textId="1E1E5A90" w:rsidR="00033ED0" w:rsidRPr="00BB0143" w:rsidRDefault="00033ED0" w:rsidP="00266846">
      <w:pPr>
        <w:pStyle w:val="Pagrindinistekstas"/>
        <w:spacing w:after="0"/>
        <w:jc w:val="center"/>
        <w:rPr>
          <w:rFonts w:eastAsia="Calibri"/>
          <w:b/>
          <w:bCs/>
          <w:sz w:val="24"/>
          <w:szCs w:val="24"/>
          <w:lang w:val="lt-LT" w:eastAsia="ja-JP" w:bidi="lt-LT"/>
        </w:rPr>
      </w:pPr>
      <w:r w:rsidRPr="00BB0143">
        <w:rPr>
          <w:rFonts w:eastAsia="Calibri"/>
          <w:b/>
          <w:bCs/>
          <w:sz w:val="24"/>
          <w:szCs w:val="24"/>
          <w:lang w:val="lt-LT" w:eastAsia="ja-JP" w:bidi="lt-LT"/>
        </w:rPr>
        <w:t>2025-07-</w:t>
      </w:r>
      <w:r w:rsidR="000900FD">
        <w:rPr>
          <w:rFonts w:eastAsia="Calibri"/>
          <w:b/>
          <w:bCs/>
          <w:sz w:val="24"/>
          <w:szCs w:val="24"/>
          <w:lang w:val="lt-LT" w:eastAsia="ja-JP" w:bidi="lt-LT"/>
        </w:rPr>
        <w:t>22</w:t>
      </w:r>
    </w:p>
    <w:p w14:paraId="75148C60" w14:textId="77777777" w:rsidR="00FE50E7" w:rsidRPr="00BB0143" w:rsidRDefault="00FE50E7" w:rsidP="00266846">
      <w:pPr>
        <w:pStyle w:val="Pagrindinistekstas"/>
        <w:spacing w:after="0"/>
        <w:ind w:firstLine="709"/>
        <w:jc w:val="both"/>
        <w:rPr>
          <w:rFonts w:eastAsia="Calibri"/>
          <w:sz w:val="24"/>
          <w:szCs w:val="24"/>
          <w:lang w:val="lt-LT" w:eastAsia="ja-JP" w:bidi="lt-LT"/>
        </w:rPr>
      </w:pPr>
    </w:p>
    <w:p w14:paraId="7F7FD43D" w14:textId="7ED60F43" w:rsidR="00033ED0" w:rsidRPr="00BB0143" w:rsidRDefault="00FE50E7" w:rsidP="00266846">
      <w:pPr>
        <w:pStyle w:val="Pagrindinistekstas"/>
        <w:spacing w:after="0"/>
        <w:ind w:firstLine="709"/>
        <w:jc w:val="both"/>
        <w:rPr>
          <w:rFonts w:eastAsia="Calibri"/>
          <w:sz w:val="24"/>
          <w:szCs w:val="24"/>
          <w:lang w:val="lt-LT" w:eastAsia="ja-JP" w:bidi="lt-LT"/>
        </w:rPr>
      </w:pPr>
      <w:r w:rsidRPr="00BB0143">
        <w:rPr>
          <w:rFonts w:eastAsia="Calibri"/>
          <w:sz w:val="24"/>
          <w:szCs w:val="24"/>
          <w:lang w:val="lt-LT" w:eastAsia="ja-JP" w:bidi="lt-LT"/>
        </w:rPr>
        <w:t>Rinkos konsultacijos paskelbimo CVP IS data:2025-06-30</w:t>
      </w:r>
    </w:p>
    <w:p w14:paraId="4B35123E" w14:textId="29C828E8" w:rsidR="00FE50E7" w:rsidRPr="00BB0143" w:rsidRDefault="00FE50E7" w:rsidP="00266846">
      <w:pPr>
        <w:pStyle w:val="Pagrindinistekstas"/>
        <w:spacing w:after="0"/>
        <w:ind w:firstLine="709"/>
        <w:jc w:val="both"/>
        <w:rPr>
          <w:rFonts w:eastAsia="Calibri"/>
          <w:sz w:val="24"/>
          <w:szCs w:val="24"/>
          <w:lang w:val="lt-LT" w:eastAsia="ja-JP" w:bidi="lt-LT"/>
        </w:rPr>
      </w:pPr>
      <w:r w:rsidRPr="00BB0143">
        <w:rPr>
          <w:rFonts w:eastAsia="Calibri"/>
          <w:sz w:val="24"/>
          <w:szCs w:val="24"/>
          <w:lang w:val="lt-LT" w:eastAsia="ja-JP" w:bidi="lt-LT"/>
        </w:rPr>
        <w:t>Terminas pastebėjimų/ pasiūlymų pateikimui: 2025-07-04</w:t>
      </w:r>
    </w:p>
    <w:p w14:paraId="45E97063" w14:textId="77777777" w:rsidR="00266846" w:rsidRPr="00BB0143" w:rsidRDefault="00266846" w:rsidP="00266846">
      <w:pPr>
        <w:pStyle w:val="Pagrindinistekstas"/>
        <w:spacing w:after="0"/>
        <w:ind w:firstLine="709"/>
        <w:jc w:val="both"/>
        <w:rPr>
          <w:rFonts w:eastAsia="Calibri"/>
          <w:sz w:val="24"/>
          <w:szCs w:val="24"/>
          <w:lang w:val="lt-LT" w:eastAsia="ja-JP" w:bidi="lt-LT"/>
        </w:rPr>
      </w:pPr>
    </w:p>
    <w:tbl>
      <w:tblPr>
        <w:tblStyle w:val="Lentelstinklelis"/>
        <w:tblW w:w="0" w:type="auto"/>
        <w:tblLook w:val="04A0" w:firstRow="1" w:lastRow="0" w:firstColumn="1" w:lastColumn="0" w:noHBand="0" w:noVBand="1"/>
      </w:tblPr>
      <w:tblGrid>
        <w:gridCol w:w="756"/>
        <w:gridCol w:w="7896"/>
        <w:gridCol w:w="4298"/>
      </w:tblGrid>
      <w:tr w:rsidR="00964DF8" w:rsidRPr="00BB0143" w14:paraId="7C5ADF7D" w14:textId="77777777" w:rsidTr="008D7DF6">
        <w:tc>
          <w:tcPr>
            <w:tcW w:w="756" w:type="dxa"/>
          </w:tcPr>
          <w:p w14:paraId="7EB7A6CE" w14:textId="622E34EB" w:rsidR="00964DF8" w:rsidRPr="00BB0143" w:rsidRDefault="00964DF8" w:rsidP="00266846">
            <w:pPr>
              <w:pStyle w:val="Pagrindinistekstas"/>
              <w:spacing w:after="0"/>
              <w:jc w:val="center"/>
              <w:rPr>
                <w:rFonts w:eastAsia="Calibri"/>
                <w:b/>
                <w:bCs/>
                <w:sz w:val="22"/>
                <w:szCs w:val="22"/>
                <w:lang w:val="lt-LT" w:eastAsia="ja-JP" w:bidi="lt-LT"/>
              </w:rPr>
            </w:pPr>
            <w:r w:rsidRPr="00BB0143">
              <w:rPr>
                <w:rFonts w:eastAsia="Calibri"/>
                <w:b/>
                <w:bCs/>
                <w:sz w:val="22"/>
                <w:szCs w:val="22"/>
                <w:lang w:val="lt-LT" w:eastAsia="ja-JP" w:bidi="lt-LT"/>
              </w:rPr>
              <w:t>Eil. Nr.</w:t>
            </w:r>
          </w:p>
        </w:tc>
        <w:tc>
          <w:tcPr>
            <w:tcW w:w="7896" w:type="dxa"/>
          </w:tcPr>
          <w:p w14:paraId="6687314F" w14:textId="1A0845D8" w:rsidR="00964DF8" w:rsidRPr="00BB0143" w:rsidRDefault="00964DF8" w:rsidP="00266846">
            <w:pPr>
              <w:pStyle w:val="Pagrindinistekstas"/>
              <w:spacing w:after="0"/>
              <w:jc w:val="center"/>
              <w:rPr>
                <w:rFonts w:eastAsia="Calibri"/>
                <w:b/>
                <w:bCs/>
                <w:sz w:val="22"/>
                <w:szCs w:val="22"/>
                <w:lang w:val="lt-LT" w:eastAsia="ja-JP" w:bidi="lt-LT"/>
              </w:rPr>
            </w:pPr>
            <w:r w:rsidRPr="00BB0143">
              <w:rPr>
                <w:rFonts w:eastAsia="Calibri"/>
                <w:b/>
                <w:bCs/>
                <w:sz w:val="22"/>
                <w:szCs w:val="22"/>
                <w:lang w:val="lt-LT" w:eastAsia="ja-JP" w:bidi="lt-LT"/>
              </w:rPr>
              <w:t>Pastebėjimas/pasiūlymas</w:t>
            </w:r>
          </w:p>
        </w:tc>
        <w:tc>
          <w:tcPr>
            <w:tcW w:w="4298" w:type="dxa"/>
          </w:tcPr>
          <w:p w14:paraId="6B7B82EE" w14:textId="1EB20FA7" w:rsidR="00964DF8" w:rsidRPr="00BB0143" w:rsidRDefault="00964DF8" w:rsidP="00266846">
            <w:pPr>
              <w:pStyle w:val="Pagrindinistekstas"/>
              <w:spacing w:after="0"/>
              <w:jc w:val="center"/>
              <w:rPr>
                <w:rFonts w:eastAsia="Calibri"/>
                <w:b/>
                <w:bCs/>
                <w:sz w:val="22"/>
                <w:szCs w:val="22"/>
                <w:lang w:val="lt-LT" w:eastAsia="ja-JP" w:bidi="lt-LT"/>
              </w:rPr>
            </w:pPr>
            <w:r w:rsidRPr="00BB0143">
              <w:rPr>
                <w:rFonts w:eastAsia="Calibri"/>
                <w:b/>
                <w:bCs/>
                <w:sz w:val="22"/>
                <w:szCs w:val="22"/>
                <w:lang w:val="lt-LT" w:eastAsia="ja-JP" w:bidi="lt-LT"/>
              </w:rPr>
              <w:t>PO komentaras</w:t>
            </w:r>
          </w:p>
        </w:tc>
      </w:tr>
      <w:tr w:rsidR="00964DF8" w:rsidRPr="00745551" w14:paraId="3E4E6153" w14:textId="77777777" w:rsidTr="008D7DF6">
        <w:tc>
          <w:tcPr>
            <w:tcW w:w="756" w:type="dxa"/>
          </w:tcPr>
          <w:p w14:paraId="453CC881" w14:textId="4D0B8BF0" w:rsidR="00964DF8" w:rsidRPr="00BB0143" w:rsidRDefault="00964DF8" w:rsidP="00266846">
            <w:pPr>
              <w:pStyle w:val="Pagrindinistekstas"/>
              <w:spacing w:after="0"/>
              <w:jc w:val="both"/>
              <w:rPr>
                <w:rFonts w:eastAsia="Calibri"/>
                <w:sz w:val="22"/>
                <w:szCs w:val="22"/>
                <w:lang w:val="lt-LT" w:eastAsia="ja-JP" w:bidi="lt-LT"/>
              </w:rPr>
            </w:pPr>
            <w:r w:rsidRPr="00BB0143">
              <w:rPr>
                <w:rFonts w:eastAsia="Calibri"/>
                <w:sz w:val="22"/>
                <w:szCs w:val="22"/>
                <w:lang w:val="lt-LT" w:eastAsia="ja-JP" w:bidi="lt-LT"/>
              </w:rPr>
              <w:t>1.</w:t>
            </w:r>
          </w:p>
        </w:tc>
        <w:tc>
          <w:tcPr>
            <w:tcW w:w="7896" w:type="dxa"/>
          </w:tcPr>
          <w:p w14:paraId="6EFBA64F" w14:textId="6E98A7CB" w:rsidR="008D7DF6" w:rsidRPr="00BB0143" w:rsidRDefault="008D7DF6" w:rsidP="00266846">
            <w:pPr>
              <w:jc w:val="both"/>
              <w:rPr>
                <w:sz w:val="22"/>
                <w:szCs w:val="22"/>
                <w:lang w:val="lt-LT"/>
              </w:rPr>
            </w:pPr>
            <w:r w:rsidRPr="00BB0143">
              <w:rPr>
                <w:sz w:val="22"/>
                <w:szCs w:val="22"/>
                <w:lang w:val="lt-LT"/>
              </w:rPr>
              <w:t>Dėl 5.2.2. p.: Prašome patikslinti techninėje specifikacijoje nurodytą reikalavimą:</w:t>
            </w:r>
          </w:p>
          <w:p w14:paraId="47282294" w14:textId="77777777" w:rsidR="008D7DF6" w:rsidRPr="00BB0143" w:rsidRDefault="008D7DF6" w:rsidP="00266846">
            <w:pPr>
              <w:jc w:val="both"/>
              <w:rPr>
                <w:sz w:val="22"/>
                <w:szCs w:val="22"/>
                <w:lang w:val="lt-LT"/>
              </w:rPr>
            </w:pPr>
            <w:r w:rsidRPr="00BB0143">
              <w:rPr>
                <w:sz w:val="22"/>
                <w:szCs w:val="22"/>
                <w:lang w:val="lt-LT"/>
              </w:rPr>
              <w:t>„Matavimo ribos kraujyje, kiekybinis nustatymas – 0,5–200 mg/L“</w:t>
            </w:r>
          </w:p>
          <w:p w14:paraId="69C36799" w14:textId="77777777" w:rsidR="008D7DF6" w:rsidRPr="00BB0143" w:rsidRDefault="008D7DF6" w:rsidP="00266846">
            <w:pPr>
              <w:jc w:val="both"/>
              <w:rPr>
                <w:sz w:val="22"/>
                <w:szCs w:val="22"/>
                <w:lang w:val="lt-LT"/>
              </w:rPr>
            </w:pPr>
            <w:r w:rsidRPr="00BB0143">
              <w:rPr>
                <w:sz w:val="22"/>
                <w:szCs w:val="22"/>
                <w:lang w:val="lt-LT"/>
              </w:rPr>
              <w:t>ir pakeisti jį į:</w:t>
            </w:r>
          </w:p>
          <w:p w14:paraId="086A3EA3" w14:textId="77777777" w:rsidR="008D7DF6" w:rsidRPr="00BB0143" w:rsidRDefault="008D7DF6" w:rsidP="00266846">
            <w:pPr>
              <w:jc w:val="both"/>
              <w:rPr>
                <w:sz w:val="22"/>
                <w:szCs w:val="22"/>
                <w:lang w:val="lt-LT"/>
              </w:rPr>
            </w:pPr>
            <w:r w:rsidRPr="00BB0143">
              <w:rPr>
                <w:sz w:val="22"/>
                <w:szCs w:val="22"/>
                <w:lang w:val="lt-LT"/>
              </w:rPr>
              <w:t>„Matavimo ribos kraujyje, kiekybinis nustatymas – ne blogesnės kaip 2,5–200 mg/L“.</w:t>
            </w:r>
          </w:p>
          <w:p w14:paraId="6EF1B5D3" w14:textId="77777777" w:rsidR="008D7DF6" w:rsidRPr="007B3CC6" w:rsidRDefault="008D7DF6" w:rsidP="00266846">
            <w:pPr>
              <w:jc w:val="both"/>
              <w:rPr>
                <w:b/>
                <w:bCs/>
                <w:sz w:val="22"/>
                <w:szCs w:val="22"/>
                <w:lang w:val="lt-LT"/>
              </w:rPr>
            </w:pPr>
            <w:r w:rsidRPr="007B3CC6">
              <w:rPr>
                <w:sz w:val="22"/>
                <w:szCs w:val="22"/>
                <w:lang w:val="lt-LT"/>
              </w:rPr>
              <w:t xml:space="preserve">Reikalavimas dėl apatinės ribos (0,5 mg/L) yra perteklinis, yra </w:t>
            </w:r>
            <w:r w:rsidRPr="007B3CC6">
              <w:rPr>
                <w:rStyle w:val="Grietas"/>
                <w:sz w:val="22"/>
                <w:szCs w:val="22"/>
                <w:lang w:val="lt-LT"/>
              </w:rPr>
              <w:t>labiau techninis nei kliniškai būtinas</w:t>
            </w:r>
            <w:r w:rsidRPr="007B3CC6">
              <w:rPr>
                <w:sz w:val="22"/>
                <w:szCs w:val="22"/>
                <w:lang w:val="lt-LT"/>
              </w:rPr>
              <w:t xml:space="preserve"> ir dažniausiai reikalingas </w:t>
            </w:r>
            <w:r w:rsidRPr="007B3CC6">
              <w:rPr>
                <w:rStyle w:val="Grietas"/>
                <w:sz w:val="22"/>
                <w:szCs w:val="22"/>
                <w:lang w:val="lt-LT"/>
              </w:rPr>
              <w:t>jau specializuotiems tyrimams</w:t>
            </w:r>
            <w:r w:rsidRPr="007B3CC6">
              <w:rPr>
                <w:sz w:val="22"/>
                <w:szCs w:val="22"/>
                <w:lang w:val="lt-LT"/>
              </w:rPr>
              <w:t xml:space="preserve">, bet </w:t>
            </w:r>
            <w:r w:rsidRPr="007B3CC6">
              <w:rPr>
                <w:rStyle w:val="Grietas"/>
                <w:sz w:val="22"/>
                <w:szCs w:val="22"/>
                <w:lang w:val="lt-LT"/>
              </w:rPr>
              <w:t>ne kasdienei klinikai</w:t>
            </w:r>
            <w:r w:rsidRPr="007B3CC6">
              <w:rPr>
                <w:sz w:val="22"/>
                <w:szCs w:val="22"/>
                <w:lang w:val="lt-LT"/>
              </w:rPr>
              <w:t>. Apatinė riba</w:t>
            </w:r>
            <w:r w:rsidRPr="007B3CC6">
              <w:rPr>
                <w:b/>
                <w:bCs/>
                <w:sz w:val="22"/>
                <w:szCs w:val="22"/>
                <w:lang w:val="lt-LT"/>
              </w:rPr>
              <w:t xml:space="preserve"> </w:t>
            </w:r>
            <w:r w:rsidRPr="007B3CC6">
              <w:rPr>
                <w:rStyle w:val="Grietas"/>
                <w:sz w:val="22"/>
                <w:szCs w:val="22"/>
                <w:lang w:val="lt-LT"/>
              </w:rPr>
              <w:t>2,5 mg/L</w:t>
            </w:r>
            <w:r w:rsidRPr="007B3CC6">
              <w:rPr>
                <w:sz w:val="22"/>
                <w:szCs w:val="22"/>
                <w:lang w:val="lt-LT"/>
              </w:rPr>
              <w:t xml:space="preserve"> yra </w:t>
            </w:r>
            <w:r w:rsidRPr="007B3CC6">
              <w:rPr>
                <w:rStyle w:val="Grietas"/>
                <w:sz w:val="22"/>
                <w:szCs w:val="22"/>
                <w:lang w:val="lt-LT"/>
              </w:rPr>
              <w:t>pakankama</w:t>
            </w:r>
            <w:r w:rsidRPr="007B3CC6">
              <w:rPr>
                <w:sz w:val="22"/>
                <w:szCs w:val="22"/>
                <w:lang w:val="lt-LT"/>
              </w:rPr>
              <w:t xml:space="preserve"> ir atitinka </w:t>
            </w:r>
            <w:r w:rsidRPr="007B3CC6">
              <w:rPr>
                <w:rStyle w:val="Grietas"/>
                <w:sz w:val="22"/>
                <w:szCs w:val="22"/>
                <w:lang w:val="lt-LT"/>
              </w:rPr>
              <w:t>daugumos IVDR reikalavimus atitinkančių prietaisų galimybes</w:t>
            </w:r>
            <w:r w:rsidRPr="007B3CC6">
              <w:rPr>
                <w:b/>
                <w:bCs/>
                <w:sz w:val="22"/>
                <w:szCs w:val="22"/>
                <w:lang w:val="lt-LT"/>
              </w:rPr>
              <w:t>.</w:t>
            </w:r>
          </w:p>
          <w:p w14:paraId="47E4CDB6" w14:textId="49D94BD9" w:rsidR="00964DF8" w:rsidRPr="00BB0143" w:rsidRDefault="008D7DF6" w:rsidP="00266846">
            <w:pPr>
              <w:pStyle w:val="Pagrindinistekstas"/>
              <w:spacing w:after="0"/>
              <w:jc w:val="both"/>
              <w:rPr>
                <w:rFonts w:eastAsia="Calibri"/>
                <w:sz w:val="22"/>
                <w:szCs w:val="22"/>
                <w:lang w:val="lt-LT" w:eastAsia="ja-JP" w:bidi="lt-LT"/>
              </w:rPr>
            </w:pPr>
            <w:r w:rsidRPr="007B3CC6">
              <w:rPr>
                <w:sz w:val="22"/>
                <w:szCs w:val="22"/>
                <w:lang w:val="lt-LT"/>
              </w:rPr>
              <w:t>Pirminėje sveikatos priežiūros grandyje ir gydymo įstaigose CRB tyrimai dažniausiai atliekami vertinant uždegiminio proceso sunkumą ar diferencijuojant bakterinę ir virusinę infekciją. Vertės mažesnės nei 2,5 mg/L retai keičia klinikinius sprendimus ir nėra laikomos kritinėmis.</w:t>
            </w:r>
          </w:p>
        </w:tc>
        <w:tc>
          <w:tcPr>
            <w:tcW w:w="4298" w:type="dxa"/>
          </w:tcPr>
          <w:p w14:paraId="3D045085" w14:textId="6C45B9BB" w:rsidR="00004334" w:rsidRPr="00BB0143" w:rsidRDefault="00004334" w:rsidP="00266846">
            <w:pPr>
              <w:spacing w:line="0" w:lineRule="atLeast"/>
              <w:rPr>
                <w:i/>
                <w:iCs/>
                <w:sz w:val="22"/>
                <w:szCs w:val="22"/>
                <w:lang w:val="lt-LT"/>
              </w:rPr>
            </w:pPr>
            <w:r w:rsidRPr="00BB0143">
              <w:rPr>
                <w:i/>
                <w:iCs/>
                <w:sz w:val="22"/>
                <w:szCs w:val="22"/>
                <w:lang w:val="lt-LT"/>
              </w:rPr>
              <w:t>Perkančioji organizacija įgydama įrangą planuoja kuo efektyviau ją įveiklinti ir gauti maksimalią naudą, todėl perkančioji organizacija pasirinko matavimo ribas kraujyje – 0,5–200 mg/L, nes toks reikalavimas buvo pagrįstas numatomu analizatoriaus panaudojimu ne tik bendro pobūdžio infekcijų ar uždegimų diagnostikai, bet ir širdies ir kraujagyslių ligų rizikos vertinimui bei stebėsenai, kur ypač svarbūs yra mažos koncentracijos CRB rodmenys, t. y. nuo 0,5mg/L.</w:t>
            </w:r>
          </w:p>
          <w:p w14:paraId="6991C246" w14:textId="77777777" w:rsidR="00004334" w:rsidRPr="00BB0143" w:rsidRDefault="00004334" w:rsidP="00266846">
            <w:pPr>
              <w:spacing w:line="0" w:lineRule="atLeast"/>
              <w:rPr>
                <w:i/>
                <w:iCs/>
                <w:sz w:val="22"/>
                <w:szCs w:val="22"/>
                <w:lang w:val="lt-LT"/>
              </w:rPr>
            </w:pPr>
            <w:r w:rsidRPr="00BB0143">
              <w:rPr>
                <w:i/>
                <w:iCs/>
                <w:sz w:val="22"/>
                <w:szCs w:val="22"/>
                <w:lang w:val="lt-LT"/>
              </w:rPr>
              <w:lastRenderedPageBreak/>
              <w:t>Mažos CRB koncentracijos tyrimai yra naudojami kardiologinėje praktikoje, pavyzdžiui, koronarinės širdies ligos, insulto ir kitų aterosklerozinių ligų rizikai įvertinti. Todėl galimybė tiksliai matuoti CRB koncentracijas nuo 0,5 mg/L yra svarbi ir kliniškai pagrįsta esant platesniam diagnostiniam analizatoriaus pritaikymui.</w:t>
            </w:r>
          </w:p>
          <w:p w14:paraId="17D6EDF8" w14:textId="77777777" w:rsidR="00004334" w:rsidRPr="00BB0143" w:rsidRDefault="00004334" w:rsidP="00266846">
            <w:pPr>
              <w:spacing w:line="0" w:lineRule="atLeast"/>
              <w:rPr>
                <w:i/>
                <w:iCs/>
                <w:sz w:val="22"/>
                <w:szCs w:val="22"/>
                <w:lang w:val="lt-LT"/>
              </w:rPr>
            </w:pPr>
            <w:r w:rsidRPr="00BB0143">
              <w:rPr>
                <w:i/>
                <w:iCs/>
                <w:sz w:val="22"/>
                <w:szCs w:val="22"/>
                <w:lang w:val="lt-LT"/>
              </w:rPr>
              <w:t>Reikalavimas atspindi realų perkančiosios organizacijos poreikį turėti universalų prietaisą, kuris būtų tinkamas tiek bendrosios praktikos poreikiams, tiek profilaktikai ir lėtinių ligų monitoravimui, kur reikalingas didesnis jautrumas mažų koncentracijų srityje.</w:t>
            </w:r>
          </w:p>
          <w:p w14:paraId="2B740435" w14:textId="77777777" w:rsidR="00004334" w:rsidRDefault="00004334" w:rsidP="00266846">
            <w:pPr>
              <w:spacing w:line="0" w:lineRule="atLeast"/>
              <w:rPr>
                <w:i/>
                <w:iCs/>
                <w:sz w:val="22"/>
                <w:szCs w:val="22"/>
                <w:lang w:val="lt-LT"/>
              </w:rPr>
            </w:pPr>
            <w:r w:rsidRPr="00BB0143">
              <w:rPr>
                <w:i/>
                <w:iCs/>
                <w:sz w:val="22"/>
                <w:szCs w:val="22"/>
                <w:lang w:val="lt-LT"/>
              </w:rPr>
              <w:t>Širdies ir kraujagyslių ligų rizikos vertinimas remiasi tiksliais CRB rodmenimis 0,5–3,0 mg/L intervale, analizatoriai, kurių apatinė riba yra 2,5 mg/L, nėra tinkami šiam tikslui. Todėl techninėje specifikacijoje nurodyta riba 0,5–200 mg/L yra pagrįsta, atitinkanti klinikinius poreikius ir tarptautines gaires.</w:t>
            </w:r>
          </w:p>
          <w:p w14:paraId="141B28D4" w14:textId="77777777" w:rsidR="00C127FF" w:rsidRDefault="00C127FF" w:rsidP="00266846">
            <w:pPr>
              <w:spacing w:line="0" w:lineRule="atLeast"/>
              <w:rPr>
                <w:i/>
                <w:iCs/>
                <w:sz w:val="22"/>
                <w:szCs w:val="22"/>
                <w:lang w:val="lt-LT"/>
              </w:rPr>
            </w:pPr>
          </w:p>
          <w:p w14:paraId="118DC989" w14:textId="0D2138EB" w:rsidR="00C127FF" w:rsidRPr="00CC08B7" w:rsidRDefault="00C127FF" w:rsidP="00CC08B7">
            <w:pPr>
              <w:shd w:val="clear" w:color="auto" w:fill="FFFFFF" w:themeFill="background1"/>
              <w:spacing w:line="0" w:lineRule="atLeast"/>
              <w:rPr>
                <w:rFonts w:eastAsia="Calibri"/>
                <w:i/>
                <w:iCs/>
                <w:color w:val="000000" w:themeColor="text1"/>
                <w:kern w:val="2"/>
                <w:sz w:val="22"/>
                <w:szCs w:val="22"/>
                <w:highlight w:val="yellow"/>
                <w:lang w:val="lt-LT"/>
                <w14:ligatures w14:val="standardContextual"/>
              </w:rPr>
            </w:pPr>
            <w:r w:rsidRPr="00CC08B7">
              <w:rPr>
                <w:i/>
                <w:iCs/>
                <w:color w:val="000000" w:themeColor="text1"/>
                <w:sz w:val="22"/>
                <w:szCs w:val="22"/>
                <w:shd w:val="clear" w:color="auto" w:fill="FFFFFF" w:themeFill="background1"/>
                <w:lang w:val="lt-LT"/>
              </w:rPr>
              <w:t>Tačiau atsižvelgiant į Tiekėjo pastabą dėl specifikacijos visumos atitikimo bent trims analizatoriams perkančioji organizacija numato naują reikalavimą koreguojant esamą</w:t>
            </w:r>
            <w:r w:rsidRPr="00CC08B7">
              <w:rPr>
                <w:i/>
                <w:iCs/>
                <w:color w:val="000000" w:themeColor="text1"/>
                <w:sz w:val="22"/>
                <w:szCs w:val="22"/>
                <w:lang w:val="lt-LT"/>
              </w:rPr>
              <w:t xml:space="preserve"> į </w:t>
            </w:r>
            <w:r w:rsidR="003E5F1F" w:rsidRPr="00CC08B7">
              <w:rPr>
                <w:i/>
                <w:iCs/>
                <w:color w:val="000000" w:themeColor="text1"/>
                <w:sz w:val="22"/>
                <w:szCs w:val="22"/>
                <w:lang w:val="lt-LT"/>
              </w:rPr>
              <w:t>ne blogesnės kaip 2,5–200 mg/L</w:t>
            </w:r>
            <w:r w:rsidRPr="00CC08B7">
              <w:rPr>
                <w:i/>
                <w:iCs/>
                <w:color w:val="000000" w:themeColor="text1"/>
                <w:sz w:val="22"/>
                <w:szCs w:val="22"/>
                <w:lang w:val="lt-LT"/>
              </w:rPr>
              <w:t>.</w:t>
            </w:r>
          </w:p>
          <w:p w14:paraId="574EBEA8" w14:textId="77777777" w:rsidR="00A15495" w:rsidRPr="00CC08B7" w:rsidRDefault="00A15495" w:rsidP="00266846">
            <w:pPr>
              <w:spacing w:line="0" w:lineRule="atLeast"/>
              <w:rPr>
                <w:i/>
                <w:iCs/>
                <w:color w:val="000000" w:themeColor="text1"/>
                <w:sz w:val="22"/>
                <w:szCs w:val="22"/>
                <w:lang w:val="lt-LT"/>
              </w:rPr>
            </w:pPr>
          </w:p>
          <w:p w14:paraId="51C65E97" w14:textId="77777777" w:rsidR="00964DF8" w:rsidRPr="00CC08B7" w:rsidRDefault="00004334" w:rsidP="00E13ADD">
            <w:pPr>
              <w:spacing w:line="0" w:lineRule="atLeast"/>
              <w:rPr>
                <w:i/>
                <w:iCs/>
                <w:color w:val="000000" w:themeColor="text1"/>
                <w:sz w:val="22"/>
                <w:szCs w:val="22"/>
                <w:lang w:val="lt-LT"/>
              </w:rPr>
            </w:pPr>
            <w:r w:rsidRPr="00CC08B7">
              <w:rPr>
                <w:rFonts w:eastAsia="Calibri"/>
                <w:i/>
                <w:iCs/>
                <w:color w:val="000000" w:themeColor="text1"/>
                <w:kern w:val="2"/>
                <w:sz w:val="22"/>
                <w:szCs w:val="22"/>
                <w:lang w:val="lt-LT"/>
                <w14:ligatures w14:val="standardContextual"/>
              </w:rPr>
              <w:t xml:space="preserve">Perkančioji organizacija </w:t>
            </w:r>
            <w:r w:rsidRPr="00CC08B7">
              <w:rPr>
                <w:i/>
                <w:iCs/>
                <w:color w:val="000000" w:themeColor="text1"/>
                <w:sz w:val="22"/>
                <w:szCs w:val="22"/>
                <w:lang w:val="lt-LT"/>
              </w:rPr>
              <w:t>papildys reikalavimą nurodydama, jog nurodytas matavimo diapazonas turi būti pasiekiamas esant standartinei suaugusiojo hematokrito reikšmei – 40 % HCT.</w:t>
            </w:r>
          </w:p>
          <w:p w14:paraId="2FB49895" w14:textId="7F757A9A" w:rsidR="00A15495" w:rsidRPr="00E13ADD" w:rsidRDefault="00A15495" w:rsidP="00E13ADD">
            <w:pPr>
              <w:spacing w:line="0" w:lineRule="atLeast"/>
              <w:rPr>
                <w:i/>
                <w:iCs/>
                <w:sz w:val="22"/>
                <w:szCs w:val="22"/>
                <w:lang w:val="lt-LT"/>
              </w:rPr>
            </w:pPr>
          </w:p>
        </w:tc>
      </w:tr>
      <w:tr w:rsidR="00964DF8" w:rsidRPr="00BB0143" w14:paraId="69682D49" w14:textId="77777777" w:rsidTr="008D7DF6">
        <w:tc>
          <w:tcPr>
            <w:tcW w:w="756" w:type="dxa"/>
          </w:tcPr>
          <w:p w14:paraId="5FF874C8" w14:textId="789E214E" w:rsidR="00964DF8" w:rsidRPr="00BB0143" w:rsidRDefault="00FB370C" w:rsidP="00266846">
            <w:pPr>
              <w:pStyle w:val="Pagrindinistekstas"/>
              <w:spacing w:after="0"/>
              <w:jc w:val="both"/>
              <w:rPr>
                <w:rFonts w:eastAsia="Calibri"/>
                <w:sz w:val="22"/>
                <w:szCs w:val="22"/>
                <w:lang w:val="lt-LT" w:eastAsia="ja-JP" w:bidi="lt-LT"/>
              </w:rPr>
            </w:pPr>
            <w:r>
              <w:rPr>
                <w:rFonts w:eastAsia="Calibri"/>
                <w:sz w:val="22"/>
                <w:szCs w:val="22"/>
                <w:lang w:val="lt-LT" w:eastAsia="ja-JP" w:bidi="lt-LT"/>
              </w:rPr>
              <w:lastRenderedPageBreak/>
              <w:t>2.</w:t>
            </w:r>
          </w:p>
        </w:tc>
        <w:tc>
          <w:tcPr>
            <w:tcW w:w="7896" w:type="dxa"/>
          </w:tcPr>
          <w:p w14:paraId="73BBC1F2" w14:textId="77777777" w:rsidR="008D7DF6" w:rsidRPr="00BB0143" w:rsidRDefault="008D7DF6" w:rsidP="00266846">
            <w:pPr>
              <w:spacing w:line="0" w:lineRule="atLeast"/>
              <w:rPr>
                <w:sz w:val="22"/>
                <w:szCs w:val="22"/>
                <w:lang w:val="lt-LT"/>
              </w:rPr>
            </w:pPr>
            <w:r w:rsidRPr="00BB0143">
              <w:rPr>
                <w:rFonts w:eastAsia="Calibri"/>
                <w:sz w:val="22"/>
                <w:szCs w:val="22"/>
                <w:lang w:val="lt-LT" w:eastAsia="ja-JP" w:bidi="lt-LT"/>
              </w:rPr>
              <w:t xml:space="preserve">Dėl 5.2.3. p. </w:t>
            </w:r>
            <w:r w:rsidRPr="00BB0143">
              <w:rPr>
                <w:sz w:val="22"/>
                <w:szCs w:val="22"/>
                <w:lang w:val="lt-LT"/>
              </w:rPr>
              <w:t xml:space="preserve">Prašome koreguoti sekančiai:  </w:t>
            </w:r>
          </w:p>
          <w:p w14:paraId="050C53A2" w14:textId="77777777" w:rsidR="008D7DF6" w:rsidRPr="00BB0143" w:rsidRDefault="008D7DF6" w:rsidP="00266846">
            <w:pPr>
              <w:spacing w:line="0" w:lineRule="atLeast"/>
              <w:rPr>
                <w:sz w:val="22"/>
                <w:szCs w:val="22"/>
                <w:lang w:val="lt-LT"/>
              </w:rPr>
            </w:pPr>
            <w:r w:rsidRPr="00BB0143">
              <w:rPr>
                <w:sz w:val="22"/>
                <w:szCs w:val="22"/>
                <w:lang w:val="lt-LT"/>
              </w:rPr>
              <w:t>Fotometrinis, imunoturbidimetrinis, turbidimetrinis arba lygiavertis  (pvz. imunocheminį, imunofluorescencinį, imunochromatografinį ir kt.)“.</w:t>
            </w:r>
          </w:p>
          <w:p w14:paraId="44F124ED" w14:textId="137811FC" w:rsidR="008D7DF6" w:rsidRPr="007B3CC6" w:rsidRDefault="008D7DF6" w:rsidP="00266846">
            <w:pPr>
              <w:spacing w:line="0" w:lineRule="atLeast"/>
              <w:rPr>
                <w:sz w:val="22"/>
                <w:szCs w:val="22"/>
                <w:lang w:val="lt-LT"/>
              </w:rPr>
            </w:pPr>
            <w:r w:rsidRPr="007B3CC6">
              <w:rPr>
                <w:sz w:val="22"/>
                <w:szCs w:val="22"/>
                <w:lang w:val="lt-LT"/>
              </w:rPr>
              <w:t>Europos in vitro diagnostikos standartai (IVD) pripažįsta fluorescencinę analizę kaip patikimą ir lygiavertį metodą imunoturbidimetriniams matavimams.</w:t>
            </w:r>
          </w:p>
          <w:p w14:paraId="72225EFA" w14:textId="77777777" w:rsidR="008D7DF6" w:rsidRPr="007B3CC6" w:rsidRDefault="008D7DF6" w:rsidP="00266846">
            <w:pPr>
              <w:spacing w:line="0" w:lineRule="atLeast"/>
              <w:rPr>
                <w:sz w:val="22"/>
                <w:szCs w:val="22"/>
                <w:lang w:val="lt-LT"/>
              </w:rPr>
            </w:pPr>
            <w:r w:rsidRPr="007B3CC6">
              <w:rPr>
                <w:sz w:val="22"/>
                <w:szCs w:val="22"/>
                <w:lang w:val="lt-LT"/>
              </w:rPr>
              <w:t>Įtraukus imunofluorescencinį metodą, padidėja konkurencija, nes daugiau gamintojų gali pateikti pasiūlymus, kas sumažintų pirkimo kainą neprarandant kokybės. Kai kurios aukšto lygio laboratorinės sistemos jau naudoja fluorescencinius matavimus kaip standartu tapusią technologiją, todėl jos eliminavimas iš konkurso nėra pagrįstas.</w:t>
            </w:r>
          </w:p>
          <w:p w14:paraId="2BA29695" w14:textId="77777777" w:rsidR="008D7DF6" w:rsidRPr="007B3CC6" w:rsidRDefault="008D7DF6" w:rsidP="00266846">
            <w:pPr>
              <w:spacing w:line="0" w:lineRule="atLeast"/>
              <w:rPr>
                <w:sz w:val="22"/>
                <w:szCs w:val="22"/>
                <w:lang w:val="lt-LT"/>
              </w:rPr>
            </w:pPr>
            <w:r w:rsidRPr="007B3CC6">
              <w:rPr>
                <w:sz w:val="22"/>
                <w:szCs w:val="22"/>
                <w:lang w:val="lt-LT"/>
              </w:rPr>
              <w:t>Fluorescencinis metodas ne tik lygiavertis, bet kai kuriais atvejais ir pranašesnis už klasikinius metodus, todėl jo neįtraukimas dirbtinai ribotų pirkimo galimybes.</w:t>
            </w:r>
          </w:p>
          <w:p w14:paraId="59A50F5F" w14:textId="00BD0F83" w:rsidR="00964DF8" w:rsidRPr="00BB0143" w:rsidRDefault="008D7DF6" w:rsidP="00266846">
            <w:pPr>
              <w:pStyle w:val="Pagrindinistekstas"/>
              <w:spacing w:after="0"/>
              <w:jc w:val="both"/>
              <w:rPr>
                <w:rFonts w:eastAsia="Calibri"/>
                <w:sz w:val="22"/>
                <w:szCs w:val="22"/>
                <w:lang w:val="lt-LT" w:eastAsia="ja-JP" w:bidi="lt-LT"/>
              </w:rPr>
            </w:pPr>
            <w:r w:rsidRPr="007B3CC6">
              <w:rPr>
                <w:sz w:val="22"/>
                <w:szCs w:val="22"/>
                <w:lang w:val="lt-LT"/>
              </w:rPr>
              <w:t xml:space="preserve">Jei Perkančioji organizacija nuspręstu nekoreguoti techninio parametro,  papildomai prašome </w:t>
            </w:r>
            <w:r w:rsidRPr="007B3CC6">
              <w:rPr>
                <w:b/>
                <w:bCs/>
                <w:sz w:val="22"/>
                <w:szCs w:val="22"/>
                <w:lang w:val="lt-LT"/>
              </w:rPr>
              <w:t>aiškiai įvardinti/nurodyti kokiais kriterijais vadovaujantis</w:t>
            </w:r>
            <w:r w:rsidRPr="007B3CC6">
              <w:rPr>
                <w:sz w:val="22"/>
                <w:szCs w:val="22"/>
                <w:lang w:val="lt-LT"/>
              </w:rPr>
              <w:t xml:space="preserve"> Tiekėjas galėtu įrodyti siūlomo metodo lygiavertiškumą.</w:t>
            </w:r>
          </w:p>
        </w:tc>
        <w:tc>
          <w:tcPr>
            <w:tcW w:w="4298" w:type="dxa"/>
          </w:tcPr>
          <w:p w14:paraId="22F965F1" w14:textId="3DC8E33B" w:rsidR="00004334" w:rsidRPr="00BB0143" w:rsidRDefault="00407011" w:rsidP="00266846">
            <w:pPr>
              <w:spacing w:line="0" w:lineRule="atLeast"/>
              <w:rPr>
                <w:i/>
                <w:iCs/>
                <w:sz w:val="22"/>
                <w:szCs w:val="22"/>
                <w:lang w:val="lt-LT"/>
              </w:rPr>
            </w:pPr>
            <w:r>
              <w:rPr>
                <w:i/>
                <w:iCs/>
                <w:sz w:val="22"/>
                <w:szCs w:val="22"/>
                <w:lang w:val="lt-LT"/>
              </w:rPr>
              <w:t>Perkančioji organizacija a</w:t>
            </w:r>
            <w:r w:rsidR="00004334" w:rsidRPr="00BB0143">
              <w:rPr>
                <w:i/>
                <w:iCs/>
                <w:sz w:val="22"/>
                <w:szCs w:val="22"/>
                <w:lang w:val="lt-LT"/>
              </w:rPr>
              <w:t>tsižvelgdam</w:t>
            </w:r>
            <w:r>
              <w:rPr>
                <w:i/>
                <w:iCs/>
                <w:sz w:val="22"/>
                <w:szCs w:val="22"/>
                <w:lang w:val="lt-LT"/>
              </w:rPr>
              <w:t>a</w:t>
            </w:r>
            <w:r w:rsidR="00004334" w:rsidRPr="00BB0143">
              <w:rPr>
                <w:i/>
                <w:iCs/>
                <w:sz w:val="22"/>
                <w:szCs w:val="22"/>
                <w:lang w:val="lt-LT"/>
              </w:rPr>
              <w:t xml:space="preserve"> į pateiktą pasiūlymą ir siekdama neužkirsti kelio galim</w:t>
            </w:r>
            <w:r w:rsidR="00E8717E">
              <w:rPr>
                <w:i/>
                <w:iCs/>
                <w:sz w:val="22"/>
                <w:szCs w:val="22"/>
                <w:lang w:val="lt-LT"/>
              </w:rPr>
              <w:t>iems</w:t>
            </w:r>
            <w:r w:rsidR="00004334" w:rsidRPr="00BB0143">
              <w:rPr>
                <w:i/>
                <w:iCs/>
                <w:sz w:val="22"/>
                <w:szCs w:val="22"/>
                <w:lang w:val="lt-LT"/>
              </w:rPr>
              <w:t xml:space="preserve"> lygiaverčių sprendimų pasiūlymams, sutinka koreguoti techninės specifikacijos reikalavimą ir jį formuluoti taip:</w:t>
            </w:r>
          </w:p>
          <w:p w14:paraId="54C8919C" w14:textId="77777777" w:rsidR="00004334" w:rsidRPr="00BB0143" w:rsidRDefault="00004334" w:rsidP="00266846">
            <w:pPr>
              <w:spacing w:line="0" w:lineRule="atLeast"/>
              <w:rPr>
                <w:i/>
                <w:iCs/>
                <w:sz w:val="22"/>
                <w:szCs w:val="22"/>
                <w:lang w:val="lt-LT"/>
              </w:rPr>
            </w:pPr>
            <w:r w:rsidRPr="00BB0143">
              <w:rPr>
                <w:i/>
                <w:iCs/>
                <w:sz w:val="22"/>
                <w:szCs w:val="22"/>
                <w:lang w:val="lt-LT"/>
              </w:rPr>
              <w:t>„Fotometrinis, imunoturbidimetrinis, turbidimetrinis arba lygiavertis imunofluorescencinis“.</w:t>
            </w:r>
          </w:p>
          <w:p w14:paraId="2C4B8CE0" w14:textId="77777777" w:rsidR="00964DF8" w:rsidRPr="00BB0143" w:rsidRDefault="00964DF8" w:rsidP="00266846">
            <w:pPr>
              <w:pStyle w:val="Pagrindinistekstas"/>
              <w:spacing w:after="0"/>
              <w:jc w:val="both"/>
              <w:rPr>
                <w:rFonts w:eastAsia="Calibri"/>
                <w:sz w:val="22"/>
                <w:szCs w:val="22"/>
                <w:lang w:val="lt-LT" w:eastAsia="ja-JP" w:bidi="lt-LT"/>
              </w:rPr>
            </w:pPr>
          </w:p>
        </w:tc>
      </w:tr>
      <w:tr w:rsidR="00964DF8" w:rsidRPr="00745551" w14:paraId="581A7DED" w14:textId="77777777" w:rsidTr="008D7DF6">
        <w:tc>
          <w:tcPr>
            <w:tcW w:w="756" w:type="dxa"/>
          </w:tcPr>
          <w:p w14:paraId="5C9E4766" w14:textId="305F260E" w:rsidR="00964DF8" w:rsidRPr="00BB0143" w:rsidRDefault="00FB370C" w:rsidP="00266846">
            <w:pPr>
              <w:pStyle w:val="Pagrindinistekstas"/>
              <w:spacing w:after="0"/>
              <w:jc w:val="both"/>
              <w:rPr>
                <w:rFonts w:eastAsia="Calibri"/>
                <w:sz w:val="22"/>
                <w:szCs w:val="22"/>
                <w:lang w:val="lt-LT" w:eastAsia="ja-JP" w:bidi="lt-LT"/>
              </w:rPr>
            </w:pPr>
            <w:r>
              <w:rPr>
                <w:rFonts w:eastAsia="Calibri"/>
                <w:sz w:val="22"/>
                <w:szCs w:val="22"/>
                <w:lang w:val="lt-LT" w:eastAsia="ja-JP" w:bidi="lt-LT"/>
              </w:rPr>
              <w:t>3.</w:t>
            </w:r>
          </w:p>
        </w:tc>
        <w:tc>
          <w:tcPr>
            <w:tcW w:w="7896" w:type="dxa"/>
          </w:tcPr>
          <w:p w14:paraId="108C9B61" w14:textId="4B69CF15" w:rsidR="008D7DF6" w:rsidRPr="00BB0143" w:rsidRDefault="008D7DF6" w:rsidP="00266846">
            <w:pPr>
              <w:rPr>
                <w:i/>
                <w:iCs/>
                <w:sz w:val="22"/>
                <w:szCs w:val="22"/>
                <w:lang w:val="lt-LT"/>
              </w:rPr>
            </w:pPr>
            <w:r w:rsidRPr="00BB0143">
              <w:rPr>
                <w:rFonts w:eastAsia="Calibri"/>
                <w:sz w:val="22"/>
                <w:szCs w:val="22"/>
                <w:lang w:val="lt-LT" w:eastAsia="ja-JP" w:bidi="lt-LT"/>
              </w:rPr>
              <w:t>Dėl 5.2.4. p.</w:t>
            </w:r>
            <w:r w:rsidRPr="00BB0143">
              <w:rPr>
                <w:b/>
                <w:bCs/>
                <w:sz w:val="22"/>
                <w:szCs w:val="22"/>
                <w:lang w:val="lt-LT"/>
              </w:rPr>
              <w:t xml:space="preserve"> Esamas reikalavimas:</w:t>
            </w:r>
            <w:r w:rsidRPr="00BB0143">
              <w:rPr>
                <w:sz w:val="22"/>
                <w:szCs w:val="22"/>
                <w:lang w:val="lt-LT"/>
              </w:rPr>
              <w:br/>
            </w:r>
            <w:r w:rsidRPr="00BB0143">
              <w:rPr>
                <w:i/>
                <w:iCs/>
                <w:sz w:val="22"/>
                <w:szCs w:val="22"/>
                <w:lang w:val="lt-LT"/>
              </w:rPr>
              <w:t>Nereikalingas mėginio paruošimas. Testo atlikimas vienoje matavimo kiuvetėje.</w:t>
            </w:r>
          </w:p>
          <w:p w14:paraId="7D3188B7" w14:textId="77777777" w:rsidR="008D7DF6" w:rsidRPr="00BB0143" w:rsidRDefault="008D7DF6" w:rsidP="00266846">
            <w:pPr>
              <w:rPr>
                <w:sz w:val="22"/>
                <w:szCs w:val="22"/>
                <w:lang w:val="lt-LT"/>
              </w:rPr>
            </w:pPr>
            <w:r w:rsidRPr="00BB0143">
              <w:rPr>
                <w:b/>
                <w:bCs/>
                <w:sz w:val="22"/>
                <w:szCs w:val="22"/>
                <w:lang w:val="lt-LT"/>
              </w:rPr>
              <w:t>Siūlomas patikslinimas:</w:t>
            </w:r>
            <w:r w:rsidRPr="00BB0143">
              <w:rPr>
                <w:sz w:val="22"/>
                <w:szCs w:val="22"/>
                <w:lang w:val="lt-LT"/>
              </w:rPr>
              <w:br/>
            </w:r>
            <w:r w:rsidRPr="00BB0143">
              <w:rPr>
                <w:i/>
                <w:iCs/>
                <w:sz w:val="22"/>
                <w:szCs w:val="22"/>
                <w:lang w:val="lt-LT"/>
              </w:rPr>
              <w:t xml:space="preserve">Minimalus mėginio paruošimas. </w:t>
            </w:r>
          </w:p>
          <w:p w14:paraId="3F25F3E3" w14:textId="7502A9CE" w:rsidR="00964DF8" w:rsidRPr="00BB0143" w:rsidRDefault="008D7DF6" w:rsidP="00266846">
            <w:pPr>
              <w:pStyle w:val="Pagrindinistekstas"/>
              <w:spacing w:after="0"/>
              <w:jc w:val="both"/>
              <w:rPr>
                <w:rFonts w:eastAsia="Calibri"/>
                <w:sz w:val="22"/>
                <w:szCs w:val="22"/>
                <w:lang w:val="lt-LT" w:eastAsia="ja-JP" w:bidi="lt-LT"/>
              </w:rPr>
            </w:pPr>
            <w:r w:rsidRPr="007B3CC6">
              <w:rPr>
                <w:sz w:val="22"/>
                <w:szCs w:val="22"/>
                <w:lang w:val="lt-LT"/>
              </w:rPr>
              <w:t>Reikalavimo formuluotė yra dviprasmiška ir nepakankamai aiški.</w:t>
            </w:r>
            <w:r w:rsidRPr="007B3CC6">
              <w:rPr>
                <w:sz w:val="22"/>
                <w:szCs w:val="22"/>
                <w:lang w:val="lt-LT"/>
              </w:rPr>
              <w:br/>
              <w:t>Prašome tiksliai nurodyti, kaip suprantamas „nereikalingas mėginio paruošimas“ vertinant greituosius imunologinius analizatorius, kuriuose įprasta praktika yra tiesioginis mėginio užlašinimas ir/arba buferio įpylimas į kasetę. Ar toks veiksmas laikomas „paruošimu“? Šiuo metu formuluotė gali būti skirtingai interpretuojama.</w:t>
            </w:r>
            <w:r w:rsidRPr="007B3CC6">
              <w:rPr>
                <w:sz w:val="22"/>
                <w:szCs w:val="22"/>
                <w:lang w:val="lt-LT"/>
              </w:rPr>
              <w:br/>
              <w:t>Dauguma modernių CE ženklu pažymėtų greitųjų CRP analizatorių tyrimą atlieka tiesiogiai testų kasetėje, reikalaujant tik bazinio operatoriaus veiksmo. Toks procesas nėra sudėtingas mėginio paruošimas, kaip tai suprantama klasikinėje laboratorinėje praktikoje (centrifūgavimo, pipetavimo, maišymo ir kt. atvejai).</w:t>
            </w:r>
            <w:r w:rsidRPr="007B3CC6">
              <w:rPr>
                <w:sz w:val="22"/>
                <w:szCs w:val="22"/>
                <w:lang w:val="lt-LT"/>
              </w:rPr>
              <w:br/>
              <w:t>Dėl esamos reikalavimo formuluotės faktiškai eliminuojami keli šiuo metu Lietuvoje platinami greitieji CRP analizatoriai, kurie pilnai atitinka IVDR reikalavimus ir yra naudojami gydymo įstaigose. Reikalavimas tampa neproporcingu, prieštaraujančiu VPĮ 17 str. ir VPT išaiškinimams dėl perteklinių reikalavimų.</w:t>
            </w:r>
          </w:p>
        </w:tc>
        <w:tc>
          <w:tcPr>
            <w:tcW w:w="4298" w:type="dxa"/>
          </w:tcPr>
          <w:p w14:paraId="40DFC56E" w14:textId="77777777" w:rsidR="00004334" w:rsidRPr="00BB0143" w:rsidRDefault="00004334" w:rsidP="00266846">
            <w:pPr>
              <w:rPr>
                <w:i/>
                <w:iCs/>
                <w:sz w:val="22"/>
                <w:szCs w:val="22"/>
                <w:lang w:val="lt-LT"/>
              </w:rPr>
            </w:pPr>
            <w:r w:rsidRPr="00BB0143">
              <w:rPr>
                <w:i/>
                <w:iCs/>
                <w:sz w:val="22"/>
                <w:szCs w:val="22"/>
                <w:lang w:val="lt-LT"/>
              </w:rPr>
              <w:t>Perkančioji organizacija, nustatydama techninės specifikacijos reikalavimą „Nereikalingas mėginio paruošimas, Testo atlikimas vienoje matavimo kiuvetėje“, turėjo tikslą įsigyti sprendimą, kuris užtikrintų maksimalų darbo proceso paprastumą, standartizavimą ir kuo mažesnį laboratorijos personalo įsitraukimą atliekant tyrimą, siekė optimizuoti laboratorijos veiklą, sumažinti žmogiškųjų klaidų riziką ir užtikrinti greitą rezultatų pateikimą.</w:t>
            </w:r>
          </w:p>
          <w:p w14:paraId="2E0A3185" w14:textId="58ED54B0" w:rsidR="00964DF8" w:rsidRPr="00E13ADD" w:rsidRDefault="00004334" w:rsidP="00E13ADD">
            <w:pPr>
              <w:rPr>
                <w:i/>
                <w:iCs/>
                <w:sz w:val="22"/>
                <w:szCs w:val="22"/>
                <w:lang w:val="lt-LT"/>
              </w:rPr>
            </w:pPr>
            <w:r w:rsidRPr="00BB0143">
              <w:rPr>
                <w:i/>
                <w:iCs/>
                <w:sz w:val="22"/>
                <w:szCs w:val="22"/>
                <w:lang w:val="lt-LT"/>
              </w:rPr>
              <w:t>Perkančioji organizacija įvertino Tiekėjo argumentus bei palyginus skirtingų gamintojų CRB atlikimo metodikas konstatavo, kad iš tiesų galima diskriminacijos rizika, todėl nutarė šį reikalavimą šalinti ir vietoje jo įvesti reikalavimą: „Matavimo tikslumas, CV ≤ 10%“.</w:t>
            </w:r>
          </w:p>
        </w:tc>
      </w:tr>
      <w:tr w:rsidR="00964DF8" w:rsidRPr="00745551" w14:paraId="32465FF7" w14:textId="77777777" w:rsidTr="008D7DF6">
        <w:tc>
          <w:tcPr>
            <w:tcW w:w="756" w:type="dxa"/>
          </w:tcPr>
          <w:p w14:paraId="0B5DD94C" w14:textId="37EBDCB3" w:rsidR="00964DF8" w:rsidRPr="00BB0143" w:rsidRDefault="00FB370C" w:rsidP="00266846">
            <w:pPr>
              <w:pStyle w:val="Pagrindinistekstas"/>
              <w:spacing w:after="0"/>
              <w:jc w:val="both"/>
              <w:rPr>
                <w:rFonts w:eastAsia="Calibri"/>
                <w:sz w:val="22"/>
                <w:szCs w:val="22"/>
                <w:lang w:val="lt-LT" w:eastAsia="ja-JP" w:bidi="lt-LT"/>
              </w:rPr>
            </w:pPr>
            <w:r>
              <w:rPr>
                <w:rFonts w:eastAsia="Calibri"/>
                <w:sz w:val="22"/>
                <w:szCs w:val="22"/>
                <w:lang w:val="lt-LT" w:eastAsia="ja-JP" w:bidi="lt-LT"/>
              </w:rPr>
              <w:t>4.</w:t>
            </w:r>
          </w:p>
        </w:tc>
        <w:tc>
          <w:tcPr>
            <w:tcW w:w="7896" w:type="dxa"/>
          </w:tcPr>
          <w:p w14:paraId="0F52A0F8" w14:textId="77777777" w:rsidR="008D7DF6" w:rsidRPr="00BB0143" w:rsidRDefault="008D7DF6" w:rsidP="00266846">
            <w:pPr>
              <w:spacing w:line="256" w:lineRule="auto"/>
              <w:contextualSpacing/>
              <w:jc w:val="both"/>
              <w:rPr>
                <w:rFonts w:eastAsia="Aptos"/>
                <w:kern w:val="2"/>
                <w:sz w:val="22"/>
                <w:szCs w:val="22"/>
                <w:lang w:val="lt-LT" w:eastAsia="en-US"/>
                <w14:ligatures w14:val="standardContextual"/>
              </w:rPr>
            </w:pPr>
            <w:r w:rsidRPr="00BB0143">
              <w:rPr>
                <w:rFonts w:eastAsia="Calibri"/>
                <w:sz w:val="22"/>
                <w:szCs w:val="22"/>
                <w:lang w:val="lt-LT" w:eastAsia="ja-JP" w:bidi="lt-LT"/>
              </w:rPr>
              <w:t xml:space="preserve">Dėl 5.2.7. p. </w:t>
            </w:r>
            <w:r w:rsidRPr="00BB0143">
              <w:rPr>
                <w:rFonts w:eastAsia="Aptos"/>
                <w:kern w:val="2"/>
                <w:sz w:val="22"/>
                <w:szCs w:val="22"/>
                <w:lang w:val="lt-LT"/>
                <w14:ligatures w14:val="standardContextual"/>
              </w:rPr>
              <w:t xml:space="preserve">Prašome reikalavimą nurodyti kaip „Pageidautina“. </w:t>
            </w:r>
          </w:p>
          <w:p w14:paraId="6FF5FA45" w14:textId="77777777" w:rsidR="008D7DF6" w:rsidRPr="00BB0143" w:rsidRDefault="008D7DF6" w:rsidP="00266846">
            <w:pPr>
              <w:tabs>
                <w:tab w:val="left" w:pos="436"/>
              </w:tabs>
              <w:spacing w:line="256" w:lineRule="auto"/>
              <w:ind w:right="130"/>
              <w:jc w:val="both"/>
              <w:rPr>
                <w:rFonts w:eastAsia="Aptos"/>
                <w:kern w:val="2"/>
                <w:sz w:val="22"/>
                <w:szCs w:val="22"/>
                <w:lang w:val="lt-LT" w:eastAsia="en-US"/>
                <w14:ligatures w14:val="standardContextual"/>
              </w:rPr>
            </w:pPr>
            <w:r w:rsidRPr="00BB0143">
              <w:rPr>
                <w:rFonts w:eastAsia="Aptos"/>
                <w:kern w:val="2"/>
                <w:sz w:val="22"/>
                <w:szCs w:val="22"/>
                <w:lang w:val="lt-LT"/>
                <w14:ligatures w14:val="standardContextual"/>
              </w:rPr>
              <w:t>Jei Perkančioji organizacija nuspręstu nekoreguoti techninio parametro prašome:</w:t>
            </w:r>
          </w:p>
          <w:p w14:paraId="7693061E" w14:textId="77777777" w:rsidR="008D7DF6" w:rsidRPr="00BB0143" w:rsidRDefault="008D7DF6" w:rsidP="00266846">
            <w:pPr>
              <w:numPr>
                <w:ilvl w:val="0"/>
                <w:numId w:val="1"/>
              </w:numPr>
              <w:tabs>
                <w:tab w:val="left" w:pos="436"/>
              </w:tabs>
              <w:spacing w:line="256" w:lineRule="auto"/>
              <w:ind w:left="0" w:firstLine="0"/>
              <w:contextualSpacing/>
              <w:jc w:val="both"/>
              <w:rPr>
                <w:rFonts w:eastAsia="Calibri"/>
                <w:kern w:val="2"/>
                <w:sz w:val="22"/>
                <w:szCs w:val="22"/>
                <w:lang w:val="lt-LT" w:eastAsia="en-US"/>
                <w14:ligatures w14:val="standardContextual"/>
              </w:rPr>
            </w:pPr>
            <w:r w:rsidRPr="00BB0143">
              <w:rPr>
                <w:rFonts w:eastAsia="Aptos"/>
                <w:kern w:val="2"/>
                <w:sz w:val="22"/>
                <w:szCs w:val="22"/>
                <w:lang w:val="lt-LT"/>
                <w14:ligatures w14:val="standardContextual"/>
              </w:rPr>
              <w:t xml:space="preserve">leisti siūlyti lygiavertį sprendimą, siūlant analizatorių su papildoma programine įranga, kuri per laboratorijos informacinės sistemos (LIS) įrankius automatiškai atliks </w:t>
            </w:r>
            <w:r w:rsidRPr="00BB0143">
              <w:rPr>
                <w:rFonts w:eastAsia="Aptos"/>
                <w:kern w:val="2"/>
                <w:sz w:val="22"/>
                <w:szCs w:val="22"/>
                <w:lang w:val="lt-LT"/>
                <w14:ligatures w14:val="standardContextual"/>
              </w:rPr>
              <w:lastRenderedPageBreak/>
              <w:t xml:space="preserve">CRB rezultatų korekciją pagal žinomas paciento hematokrito, amžiaus, lyties reikšmes, užtikrindama tikslų ir patikimą tyrimo rezultatą. </w:t>
            </w:r>
            <w:r w:rsidRPr="00BB0143">
              <w:rPr>
                <w:rFonts w:eastAsia="Calibri"/>
                <w:kern w:val="2"/>
                <w:sz w:val="22"/>
                <w:szCs w:val="22"/>
                <w:lang w:val="lt-LT"/>
                <w14:ligatures w14:val="standardContextual"/>
              </w:rPr>
              <w:t>Koreguoti CRB tyrimo rezultatai bus automatiškai išsaugomi ir bus prieinami per LIS ar kitą pasirinktą duomenų valdymo platformą. Koreguoti duomenys bus pateikiami realiu laiku, taip užtikrinant greitą ir efektyvų tyrimų rezultatų interpretavimą.</w:t>
            </w:r>
          </w:p>
          <w:p w14:paraId="015E9F65" w14:textId="77777777" w:rsidR="008D7DF6" w:rsidRPr="00BB0143" w:rsidRDefault="008D7DF6" w:rsidP="00266846">
            <w:pPr>
              <w:tabs>
                <w:tab w:val="left" w:pos="436"/>
              </w:tabs>
              <w:spacing w:line="256" w:lineRule="auto"/>
              <w:ind w:right="130"/>
              <w:jc w:val="both"/>
              <w:rPr>
                <w:rFonts w:eastAsia="Aptos"/>
                <w:kern w:val="2"/>
                <w:sz w:val="22"/>
                <w:szCs w:val="22"/>
                <w:lang w:val="lt-LT" w:eastAsia="en-US"/>
                <w14:ligatures w14:val="standardContextual"/>
              </w:rPr>
            </w:pPr>
            <w:r w:rsidRPr="00BB0143">
              <w:rPr>
                <w:rFonts w:eastAsia="Aptos"/>
                <w:kern w:val="2"/>
                <w:sz w:val="22"/>
                <w:szCs w:val="22"/>
                <w:lang w:val="lt-LT"/>
                <w14:ligatures w14:val="standardContextual"/>
              </w:rPr>
              <w:t>ir/arba</w:t>
            </w:r>
          </w:p>
          <w:p w14:paraId="261587C9" w14:textId="77777777" w:rsidR="008D7DF6" w:rsidRPr="00BB0143" w:rsidRDefault="008D7DF6" w:rsidP="00266846">
            <w:pPr>
              <w:jc w:val="both"/>
              <w:rPr>
                <w:rFonts w:eastAsia="Calibri"/>
                <w:kern w:val="2"/>
                <w:sz w:val="22"/>
                <w:szCs w:val="22"/>
                <w:lang w:val="lt-LT" w:eastAsia="en-US"/>
                <w14:ligatures w14:val="standardContextual"/>
              </w:rPr>
            </w:pPr>
            <w:r w:rsidRPr="00BB0143">
              <w:rPr>
                <w:rFonts w:eastAsia="Calibri"/>
                <w:kern w:val="2"/>
                <w:sz w:val="22"/>
                <w:szCs w:val="22"/>
                <w:lang w:val="lt-LT"/>
                <w14:ligatures w14:val="standardContextual"/>
              </w:rPr>
              <w:t>įtraukti kaip kokybės vertinimo kriterijų, pagal kurį būtų skiriami ekonominio naudingumo balai, tačiau jis nebūtų privalomas</w:t>
            </w:r>
            <w:r w:rsidRPr="00BB0143">
              <w:rPr>
                <w:rFonts w:eastAsia="Calibri"/>
                <w:kern w:val="2"/>
                <w:sz w:val="22"/>
                <w:szCs w:val="22"/>
                <w:lang w:val="lt-LT" w:eastAsia="en-US"/>
                <w14:ligatures w14:val="standardContextual"/>
              </w:rPr>
              <w:t>.</w:t>
            </w:r>
          </w:p>
          <w:p w14:paraId="2306F64D" w14:textId="77777777" w:rsidR="008D7DF6" w:rsidRPr="00BB0143" w:rsidRDefault="008D7DF6" w:rsidP="00266846">
            <w:pPr>
              <w:jc w:val="both"/>
              <w:rPr>
                <w:rFonts w:eastAsia="Calibri"/>
                <w:kern w:val="2"/>
                <w:sz w:val="22"/>
                <w:szCs w:val="22"/>
                <w:lang w:val="lt-LT" w:eastAsia="en-US"/>
                <w14:ligatures w14:val="standardContextual"/>
              </w:rPr>
            </w:pPr>
          </w:p>
          <w:p w14:paraId="5D23A380" w14:textId="77777777" w:rsidR="008D7DF6" w:rsidRPr="007B3CC6" w:rsidRDefault="008D7DF6" w:rsidP="00266846">
            <w:pPr>
              <w:jc w:val="both"/>
              <w:rPr>
                <w:rStyle w:val="Grietas"/>
                <w:rFonts w:eastAsiaTheme="majorEastAsia"/>
                <w:b w:val="0"/>
                <w:bCs w:val="0"/>
                <w:sz w:val="22"/>
                <w:szCs w:val="22"/>
                <w:u w:val="single"/>
                <w:lang w:val="lt-LT"/>
              </w:rPr>
            </w:pPr>
            <w:r w:rsidRPr="007B3CC6">
              <w:rPr>
                <w:sz w:val="22"/>
                <w:szCs w:val="22"/>
                <w:lang w:val="lt-LT"/>
              </w:rPr>
              <w:t xml:space="preserve">Šis reikalavimas yra </w:t>
            </w:r>
            <w:r w:rsidRPr="007B3CC6">
              <w:rPr>
                <w:rStyle w:val="Grietas"/>
                <w:rFonts w:eastAsiaTheme="majorEastAsia"/>
                <w:sz w:val="22"/>
                <w:szCs w:val="22"/>
                <w:lang w:val="lt-LT"/>
              </w:rPr>
              <w:t>nepagrįstas mediciniškai ir ribojantis konkurenciją</w:t>
            </w:r>
            <w:r w:rsidRPr="007B3CC6">
              <w:rPr>
                <w:sz w:val="22"/>
                <w:szCs w:val="22"/>
                <w:lang w:val="lt-LT"/>
              </w:rPr>
              <w:t xml:space="preserve">. Jis galimai pritaikytas vienam konkrečiam tiekėjui – </w:t>
            </w:r>
            <w:r w:rsidRPr="007B3CC6">
              <w:rPr>
                <w:sz w:val="22"/>
                <w:szCs w:val="22"/>
                <w:u w:val="single"/>
                <w:lang w:val="lt-LT"/>
              </w:rPr>
              <w:t xml:space="preserve">šiuo metu bent </w:t>
            </w:r>
            <w:r w:rsidRPr="007B3CC6">
              <w:rPr>
                <w:rStyle w:val="Grietas"/>
                <w:rFonts w:eastAsiaTheme="majorEastAsia"/>
                <w:sz w:val="22"/>
                <w:szCs w:val="22"/>
                <w:u w:val="single"/>
                <w:lang w:val="lt-LT"/>
              </w:rPr>
              <w:t>trijų realių gamintojų įranga neatitinka techninės specifikacijos visumos.</w:t>
            </w:r>
          </w:p>
          <w:p w14:paraId="3B445E8C" w14:textId="77777777" w:rsidR="008D7DF6" w:rsidRPr="007B3CC6" w:rsidRDefault="008D7DF6" w:rsidP="00266846">
            <w:pPr>
              <w:jc w:val="both"/>
              <w:rPr>
                <w:sz w:val="22"/>
                <w:szCs w:val="22"/>
                <w:lang w:val="lt-LT"/>
              </w:rPr>
            </w:pPr>
            <w:r w:rsidRPr="007B3CC6">
              <w:rPr>
                <w:sz w:val="22"/>
                <w:szCs w:val="22"/>
                <w:lang w:val="lt-LT"/>
              </w:rPr>
              <w:t>Klinikinėje praktikoje didžioji dauguma pacientų hematokrito reikšmės svyruoja nuo 30 iki 50 %. Vertės žemiau ar virš  būdingos sunkios būklės pacientams, kuriems greitasis CRB testas nebėra pakankamas diagnostinis metodas, o reikalingas išplėstinis laboratorinis ištyrimas. Todėl reikalauti, kad analizatorius koreguotų rezultatą visame 15–75 % HCT intervale, yra perteklinis ir neadekvatus šio tipo tyrimo paskirčiai.</w:t>
            </w:r>
          </w:p>
          <w:p w14:paraId="60E83CCB" w14:textId="77777777" w:rsidR="008D7DF6" w:rsidRPr="007B3CC6" w:rsidRDefault="008D7DF6" w:rsidP="00266846">
            <w:pPr>
              <w:jc w:val="both"/>
              <w:rPr>
                <w:sz w:val="22"/>
                <w:szCs w:val="22"/>
                <w:lang w:val="lt-LT"/>
              </w:rPr>
            </w:pPr>
            <w:r w:rsidRPr="007B3CC6">
              <w:rPr>
                <w:sz w:val="22"/>
                <w:szCs w:val="22"/>
                <w:lang w:val="lt-LT"/>
              </w:rPr>
              <w:t xml:space="preserve">Mūsų siūlomas analizatorius koreguoja pagal 40 % HCT – tai pagrįstas sprendimas, nes analizatorius kalibruotas pagal statistiškai pagrįstą suaugusiojo HCT vidurkį (apie 40 %), kuris atitinka tiek profilaktinio, tiek bendrojo pirminio ištyrimo poreikius. Esant poreikiui, korekcija gali būti atlikta per LIS sistemą pagal paciento HCT reikšmę ar kitus duomenis. Šis sprendimas užtikrina kliniškai pakankamą tikslumą, ypač atsižvelgiant į tai, kad analizatoriaus matavimo ribos </w:t>
            </w:r>
            <w:r w:rsidRPr="007B3CC6">
              <w:rPr>
                <w:b/>
                <w:bCs/>
                <w:sz w:val="22"/>
                <w:szCs w:val="22"/>
                <w:lang w:val="lt-LT"/>
              </w:rPr>
              <w:t>yra tik 5–200 mg/L,</w:t>
            </w:r>
            <w:r w:rsidRPr="007B3CC6">
              <w:rPr>
                <w:sz w:val="22"/>
                <w:szCs w:val="22"/>
                <w:lang w:val="lt-LT"/>
              </w:rPr>
              <w:t xml:space="preserve"> o esant reikšmingam HCT nukrypimui, rezultatai vis tiek reikalauja papildomos laboratorinės analizės, o automatinė korekcija nebeužtikrina informatyvumo.</w:t>
            </w:r>
          </w:p>
          <w:p w14:paraId="48711A47" w14:textId="77777777" w:rsidR="008D7DF6" w:rsidRPr="007B3CC6" w:rsidRDefault="008D7DF6" w:rsidP="00266846">
            <w:pPr>
              <w:jc w:val="both"/>
              <w:rPr>
                <w:sz w:val="22"/>
                <w:szCs w:val="22"/>
                <w:lang w:val="lt-LT"/>
              </w:rPr>
            </w:pPr>
            <w:r w:rsidRPr="007B3CC6">
              <w:rPr>
                <w:sz w:val="22"/>
                <w:szCs w:val="22"/>
                <w:lang w:val="lt-LT"/>
              </w:rPr>
              <w:t>Perkamas CRB testas nėra galutinė diagnostinė priemonė</w:t>
            </w:r>
            <w:r w:rsidRPr="007B3CC6">
              <w:rPr>
                <w:sz w:val="22"/>
                <w:szCs w:val="22"/>
                <w:lang w:val="lt-LT"/>
              </w:rPr>
              <w:br/>
              <w:t>Šie tyrimai skirti pirminiam ištyrimui, orientaciniam vertinimui. Jei gydytojas įtaria reikšmingą HCT nukrypimą (pvz., vaikams, pagyvenusiems, onkologiniams pacientams), jis visada papildomai paskiria bendrą kraujo tyrimą su HCT, pakartotinį CRB vertinimą laboratorijoje ar kitus papildomus tyrimus pagal kliniką. Todėl tokiais atvejais net ir turint automatinę korekciją, klinikinė sprendimų priėmimo eiga nesikeičia – tai negali būti lemiamas kriterijus.</w:t>
            </w:r>
          </w:p>
          <w:p w14:paraId="3609EA2A" w14:textId="77777777" w:rsidR="008D7DF6" w:rsidRPr="004C5F04" w:rsidRDefault="008D7DF6" w:rsidP="00266846">
            <w:pPr>
              <w:jc w:val="both"/>
              <w:rPr>
                <w:sz w:val="22"/>
                <w:szCs w:val="22"/>
                <w:lang w:val="lt-LT"/>
              </w:rPr>
            </w:pPr>
            <w:r w:rsidRPr="004C5F04">
              <w:rPr>
                <w:sz w:val="22"/>
                <w:szCs w:val="22"/>
                <w:lang w:val="lt-LT"/>
              </w:rPr>
              <w:t>Jei perkančioji organizacija visgi nuspręstų nekeisti parametro, tuomet prašome numatyti šias alternatyvas:</w:t>
            </w:r>
          </w:p>
          <w:p w14:paraId="356914F7" w14:textId="77777777" w:rsidR="008D7DF6" w:rsidRPr="004C5F04" w:rsidRDefault="008D7DF6" w:rsidP="00266846">
            <w:pPr>
              <w:jc w:val="both"/>
              <w:rPr>
                <w:sz w:val="22"/>
                <w:szCs w:val="22"/>
                <w:lang w:val="lt-LT"/>
              </w:rPr>
            </w:pPr>
            <w:r w:rsidRPr="004C5F04">
              <w:rPr>
                <w:sz w:val="22"/>
                <w:szCs w:val="22"/>
                <w:lang w:val="lt-LT"/>
              </w:rPr>
              <w:t xml:space="preserve">Leisti siūlyti lygiavertį sprendimą – analizatorių, kuris koreguoja pagal vidutinę HCT reikšmę (apie 40 %) ir/arba turi LIS sąsają, leidžiančią atlikti korekciją pagal žinomą </w:t>
            </w:r>
            <w:r w:rsidRPr="004C5F04">
              <w:rPr>
                <w:sz w:val="22"/>
                <w:szCs w:val="22"/>
                <w:lang w:val="lt-LT"/>
              </w:rPr>
              <w:lastRenderedPageBreak/>
              <w:t>paciento HCT, amžių, lytį. Koreguoti rezultatai būtų automatiškai išsaugomi, pateikiami realiu laiku, užtikrinant kokybišką interpretavimą.</w:t>
            </w:r>
          </w:p>
          <w:p w14:paraId="1B561B0E" w14:textId="77777777" w:rsidR="008D7DF6" w:rsidRPr="004C5F04" w:rsidRDefault="008D7DF6" w:rsidP="00266846">
            <w:pPr>
              <w:jc w:val="both"/>
              <w:rPr>
                <w:sz w:val="22"/>
                <w:szCs w:val="22"/>
                <w:lang w:val="lt-LT"/>
              </w:rPr>
            </w:pPr>
            <w:r w:rsidRPr="004C5F04">
              <w:rPr>
                <w:sz w:val="22"/>
                <w:szCs w:val="22"/>
                <w:lang w:val="lt-LT"/>
              </w:rPr>
              <w:t>Perkelti reikalavimą į ekonominio naudingumo vertinimo kriterijus, už kurį skiriami papildomi balai, tačiau kuris nebūtų privalomas. Tai užtikrintų objektyvų ir proporcingą tiekėjų vertinimą.</w:t>
            </w:r>
          </w:p>
          <w:p w14:paraId="2A65F72D" w14:textId="698A00D9" w:rsidR="00964DF8" w:rsidRPr="00BB0143" w:rsidRDefault="008D7DF6" w:rsidP="00266846">
            <w:pPr>
              <w:pStyle w:val="Pagrindinistekstas"/>
              <w:spacing w:after="0"/>
              <w:jc w:val="both"/>
              <w:rPr>
                <w:rFonts w:eastAsia="Calibri"/>
                <w:sz w:val="22"/>
                <w:szCs w:val="22"/>
                <w:lang w:val="lt-LT" w:eastAsia="ja-JP" w:bidi="lt-LT"/>
              </w:rPr>
            </w:pPr>
            <w:r w:rsidRPr="007B3CC6">
              <w:rPr>
                <w:sz w:val="22"/>
                <w:szCs w:val="22"/>
                <w:lang w:val="lt-LT"/>
              </w:rPr>
              <w:t>Prašome išlaikyti techninės specifikacijos lankstumą ir atitikti VPĮ reikalavimus, kad nebūtų nepagrįstai ribojama konkurencija ir būtų leista dalyvauti daugiau tiekėjų, siūlančių kliniškai tinkamus sprendimus.</w:t>
            </w:r>
          </w:p>
        </w:tc>
        <w:tc>
          <w:tcPr>
            <w:tcW w:w="4298" w:type="dxa"/>
          </w:tcPr>
          <w:p w14:paraId="6FFCF3EB" w14:textId="77777777" w:rsidR="00004334" w:rsidRPr="00BB0143" w:rsidRDefault="00004334" w:rsidP="00266846">
            <w:pPr>
              <w:rPr>
                <w:i/>
                <w:iCs/>
                <w:sz w:val="22"/>
                <w:szCs w:val="22"/>
                <w:lang w:val="lt-LT"/>
              </w:rPr>
            </w:pPr>
            <w:r w:rsidRPr="00BB0143">
              <w:rPr>
                <w:i/>
                <w:iCs/>
                <w:sz w:val="22"/>
                <w:szCs w:val="22"/>
                <w:lang w:val="lt-LT"/>
              </w:rPr>
              <w:lastRenderedPageBreak/>
              <w:t xml:space="preserve">CRB tyrimų tikslumui hematokrito reikšmė turi esminę įtaką, ypač kai tyrimas atliekamas iš kraujo. HCT reikšmė tiesiogiai veikia plazmos tūrį, todėl netiksli korekcija gali </w:t>
            </w:r>
            <w:r w:rsidRPr="00BB0143">
              <w:rPr>
                <w:i/>
                <w:iCs/>
                <w:sz w:val="22"/>
                <w:szCs w:val="22"/>
                <w:lang w:val="lt-LT"/>
              </w:rPr>
              <w:lastRenderedPageBreak/>
              <w:t>lemti kliniškai reikšmingus nukrypimus. Kalibravimas pagal vidutinę HCT reikšmę (pvz., 40 %) neatitinka individualizuotos medicinos principų – jis leidžia daryti prielaidą apie „tipinį pacientą“, tačiau ignoruoja reikšmingus fiziologinius svyravimus vaikų, senyvo amžiaus ar onkologinių pacientų grupėse, todėl korekcija tik pagal vidutinę reikšmę (pvz., 40 %) nelaikoma lygiaverte.</w:t>
            </w:r>
            <w:r w:rsidRPr="00BB0143">
              <w:rPr>
                <w:i/>
                <w:iCs/>
                <w:sz w:val="22"/>
                <w:szCs w:val="22"/>
                <w:lang w:val="lt-LT"/>
              </w:rPr>
              <w:br/>
              <w:t>Korekcijos atlikimas LIS sistemoje nėra lygiavertis integruotai HCT korekcijai matavimo metu, nes CRB tyrimai atliekami ir be hematologinio tyrimo, todėl be HCT reikšmės CRB rezultato koreguoti neįmanoma. Reikalavimas automatiškai taikyti korekciją yra objektyviai susijęs su pirkimo tikslu – užtikrinti kuo tikslesnį rezultatą visais atvejais, nepriklausomai nuo paciento būklės. Reikalavimas nėra perteklinis – perkančioji organizacija žino mažiausiai tris, CE ženklu pažymėtus analizatorius, atitinkančius IVDR, turinčius tokias galimybes, todėl jis nėra ribojantis konkurenciją, bet atspindi aukštesnės kokybės lygį.</w:t>
            </w:r>
          </w:p>
          <w:p w14:paraId="3175BEAD" w14:textId="508C8609" w:rsidR="003E5F1F" w:rsidRPr="00BB0143" w:rsidRDefault="003E5F1F" w:rsidP="003E5F1F">
            <w:pPr>
              <w:rPr>
                <w:i/>
                <w:iCs/>
                <w:sz w:val="22"/>
                <w:szCs w:val="22"/>
                <w:lang w:val="lt-LT"/>
              </w:rPr>
            </w:pPr>
            <w:r w:rsidRPr="00BB0143">
              <w:rPr>
                <w:i/>
                <w:iCs/>
                <w:sz w:val="22"/>
                <w:szCs w:val="22"/>
                <w:lang w:val="lt-LT"/>
              </w:rPr>
              <w:t>Perkančioji organizacija, atsižvelgdama į pirkimo tikslą – įsigyti sprendimą, kuris užtikrintų aukščiausią tyrimų tikslumą kuo įvairesnėmis klinikinėmis sąlygomis</w:t>
            </w:r>
            <w:r>
              <w:rPr>
                <w:i/>
                <w:iCs/>
                <w:sz w:val="22"/>
                <w:szCs w:val="22"/>
                <w:lang w:val="lt-LT"/>
              </w:rPr>
              <w:t xml:space="preserve"> </w:t>
            </w:r>
            <w:r w:rsidRPr="00412A0C">
              <w:rPr>
                <w:i/>
                <w:iCs/>
                <w:sz w:val="22"/>
                <w:szCs w:val="22"/>
                <w:lang w:val="lt-LT"/>
              </w:rPr>
              <w:t xml:space="preserve">bei remdamasi rinkos informacija, kad yra 3 gamintojai atitinkantys šį reikalavimą, </w:t>
            </w:r>
            <w:r w:rsidRPr="00BB0143">
              <w:rPr>
                <w:i/>
                <w:iCs/>
                <w:sz w:val="22"/>
                <w:szCs w:val="22"/>
                <w:lang w:val="lt-LT"/>
              </w:rPr>
              <w:t xml:space="preserve">nusprendė, kad techninės specifikacijos reikalavimas dėl automatinės hematokrito korekcijos 15–75 % intervale lieka nepakeistas, ekonominio naudingumo </w:t>
            </w:r>
            <w:r w:rsidRPr="00BB0143">
              <w:rPr>
                <w:i/>
                <w:iCs/>
                <w:sz w:val="22"/>
                <w:szCs w:val="22"/>
                <w:lang w:val="lt-LT"/>
              </w:rPr>
              <w:lastRenderedPageBreak/>
              <w:t>kriterijumi šis reikalavimas perkeltas nebus, nes tai yra esminė funkcionalumo sąlyga.</w:t>
            </w:r>
          </w:p>
          <w:p w14:paraId="24C84687" w14:textId="101FDD34" w:rsidR="00964DF8" w:rsidRPr="00706305" w:rsidRDefault="00964DF8" w:rsidP="00706305">
            <w:pPr>
              <w:rPr>
                <w:i/>
                <w:iCs/>
                <w:sz w:val="22"/>
                <w:szCs w:val="22"/>
                <w:lang w:val="lt-LT"/>
              </w:rPr>
            </w:pPr>
          </w:p>
        </w:tc>
      </w:tr>
      <w:tr w:rsidR="003E5F1F" w:rsidRPr="00745551" w14:paraId="77060D40" w14:textId="77777777" w:rsidTr="008D7DF6">
        <w:tc>
          <w:tcPr>
            <w:tcW w:w="756" w:type="dxa"/>
          </w:tcPr>
          <w:p w14:paraId="50DC660A" w14:textId="05D5DB33" w:rsidR="003E5F1F" w:rsidRPr="00BB0143" w:rsidRDefault="003E5F1F" w:rsidP="003E5F1F">
            <w:pPr>
              <w:pStyle w:val="Pagrindinistekstas"/>
              <w:spacing w:after="0"/>
              <w:jc w:val="both"/>
              <w:rPr>
                <w:rFonts w:eastAsia="Calibri"/>
                <w:sz w:val="22"/>
                <w:szCs w:val="22"/>
                <w:lang w:val="lt-LT" w:eastAsia="ja-JP" w:bidi="lt-LT"/>
              </w:rPr>
            </w:pPr>
            <w:r>
              <w:rPr>
                <w:rFonts w:eastAsia="Calibri"/>
                <w:sz w:val="22"/>
                <w:szCs w:val="22"/>
                <w:lang w:val="lt-LT" w:eastAsia="ja-JP" w:bidi="lt-LT"/>
              </w:rPr>
              <w:lastRenderedPageBreak/>
              <w:t>5.</w:t>
            </w:r>
          </w:p>
        </w:tc>
        <w:tc>
          <w:tcPr>
            <w:tcW w:w="7896" w:type="dxa"/>
          </w:tcPr>
          <w:p w14:paraId="4550ECC4" w14:textId="77777777" w:rsidR="003E5F1F" w:rsidRPr="00BB0143" w:rsidRDefault="003E5F1F" w:rsidP="003E5F1F">
            <w:pPr>
              <w:jc w:val="both"/>
              <w:rPr>
                <w:sz w:val="22"/>
                <w:szCs w:val="22"/>
                <w:lang w:val="lt-LT"/>
              </w:rPr>
            </w:pPr>
            <w:r w:rsidRPr="00BB0143">
              <w:rPr>
                <w:rFonts w:eastAsia="Calibri"/>
                <w:sz w:val="22"/>
                <w:szCs w:val="22"/>
                <w:lang w:val="lt-LT" w:eastAsia="ja-JP" w:bidi="lt-LT"/>
              </w:rPr>
              <w:t xml:space="preserve">Dėl 6.2.2. p. </w:t>
            </w:r>
            <w:r w:rsidRPr="00BB0143">
              <w:rPr>
                <w:sz w:val="22"/>
                <w:szCs w:val="22"/>
                <w:lang w:val="lt-LT"/>
              </w:rPr>
              <w:t>Prašome patikslinti techninėje specifikacijoje nurodytą reikalavimą:</w:t>
            </w:r>
          </w:p>
          <w:p w14:paraId="4C97EE26" w14:textId="77777777" w:rsidR="003E5F1F" w:rsidRPr="00BB0143" w:rsidRDefault="003E5F1F" w:rsidP="003E5F1F">
            <w:pPr>
              <w:jc w:val="both"/>
              <w:rPr>
                <w:sz w:val="22"/>
                <w:szCs w:val="22"/>
                <w:lang w:val="lt-LT"/>
              </w:rPr>
            </w:pPr>
            <w:r w:rsidRPr="00BB0143">
              <w:rPr>
                <w:sz w:val="22"/>
                <w:szCs w:val="22"/>
                <w:lang w:val="lt-LT"/>
              </w:rPr>
              <w:t>„Matavimo ribos kraujyje, kiekybinis nustatymas – 0,5–200 mg/L“</w:t>
            </w:r>
          </w:p>
          <w:p w14:paraId="7B980490" w14:textId="77777777" w:rsidR="003E5F1F" w:rsidRPr="00BB0143" w:rsidRDefault="003E5F1F" w:rsidP="003E5F1F">
            <w:pPr>
              <w:jc w:val="both"/>
              <w:rPr>
                <w:sz w:val="22"/>
                <w:szCs w:val="22"/>
                <w:lang w:val="lt-LT"/>
              </w:rPr>
            </w:pPr>
            <w:r w:rsidRPr="00BB0143">
              <w:rPr>
                <w:sz w:val="22"/>
                <w:szCs w:val="22"/>
                <w:lang w:val="lt-LT"/>
              </w:rPr>
              <w:t>ir pakeisti jį į:</w:t>
            </w:r>
          </w:p>
          <w:p w14:paraId="11F40393" w14:textId="77777777" w:rsidR="003E5F1F" w:rsidRPr="007B3CC6" w:rsidRDefault="003E5F1F" w:rsidP="003E5F1F">
            <w:pPr>
              <w:jc w:val="both"/>
              <w:rPr>
                <w:sz w:val="22"/>
                <w:szCs w:val="22"/>
                <w:lang w:val="lt-LT"/>
              </w:rPr>
            </w:pPr>
            <w:r w:rsidRPr="007B3CC6">
              <w:rPr>
                <w:sz w:val="22"/>
                <w:szCs w:val="22"/>
                <w:lang w:val="lt-LT"/>
              </w:rPr>
              <w:t>„Matavimo ribos kraujyje, kiekybinis nustatymas – ne blogesnės kaip 2,5–200 mg/L“.</w:t>
            </w:r>
          </w:p>
          <w:p w14:paraId="5939CA3C" w14:textId="77777777" w:rsidR="003E5F1F" w:rsidRPr="007B3CC6" w:rsidRDefault="003E5F1F" w:rsidP="003E5F1F">
            <w:pPr>
              <w:jc w:val="both"/>
              <w:rPr>
                <w:b/>
                <w:bCs/>
                <w:sz w:val="22"/>
                <w:szCs w:val="22"/>
                <w:lang w:val="lt-LT"/>
              </w:rPr>
            </w:pPr>
            <w:r w:rsidRPr="007B3CC6">
              <w:rPr>
                <w:sz w:val="22"/>
                <w:szCs w:val="22"/>
                <w:lang w:val="lt-LT"/>
              </w:rPr>
              <w:t xml:space="preserve">Reikalavimas dėl apatinės ribos (0,5 mg/L) yra perteklinis, yra </w:t>
            </w:r>
            <w:r w:rsidRPr="007B3CC6">
              <w:rPr>
                <w:rStyle w:val="Grietas"/>
                <w:sz w:val="22"/>
                <w:szCs w:val="22"/>
                <w:lang w:val="lt-LT"/>
              </w:rPr>
              <w:t>labiau techninis nei kliniškai būtinas</w:t>
            </w:r>
            <w:r w:rsidRPr="007B3CC6">
              <w:rPr>
                <w:sz w:val="22"/>
                <w:szCs w:val="22"/>
                <w:lang w:val="lt-LT"/>
              </w:rPr>
              <w:t xml:space="preserve"> ir dažniausiai reikalingas </w:t>
            </w:r>
            <w:r w:rsidRPr="007B3CC6">
              <w:rPr>
                <w:rStyle w:val="Grietas"/>
                <w:sz w:val="22"/>
                <w:szCs w:val="22"/>
                <w:lang w:val="lt-LT"/>
              </w:rPr>
              <w:t>jau specializuotiems tyrimams</w:t>
            </w:r>
            <w:r w:rsidRPr="007B3CC6">
              <w:rPr>
                <w:sz w:val="22"/>
                <w:szCs w:val="22"/>
                <w:lang w:val="lt-LT"/>
              </w:rPr>
              <w:t xml:space="preserve">, bet </w:t>
            </w:r>
            <w:r w:rsidRPr="007B3CC6">
              <w:rPr>
                <w:rStyle w:val="Grietas"/>
                <w:sz w:val="22"/>
                <w:szCs w:val="22"/>
                <w:lang w:val="lt-LT"/>
              </w:rPr>
              <w:t>ne kasdienei klinikai</w:t>
            </w:r>
            <w:r w:rsidRPr="007B3CC6">
              <w:rPr>
                <w:sz w:val="22"/>
                <w:szCs w:val="22"/>
                <w:lang w:val="lt-LT"/>
              </w:rPr>
              <w:t>. Apatinė riba</w:t>
            </w:r>
            <w:r w:rsidRPr="007B3CC6">
              <w:rPr>
                <w:b/>
                <w:bCs/>
                <w:sz w:val="22"/>
                <w:szCs w:val="22"/>
                <w:lang w:val="lt-LT"/>
              </w:rPr>
              <w:t xml:space="preserve"> </w:t>
            </w:r>
            <w:r w:rsidRPr="007B3CC6">
              <w:rPr>
                <w:rStyle w:val="Grietas"/>
                <w:sz w:val="22"/>
                <w:szCs w:val="22"/>
                <w:lang w:val="lt-LT"/>
              </w:rPr>
              <w:t>2,5 mg/L</w:t>
            </w:r>
            <w:r w:rsidRPr="007B3CC6">
              <w:rPr>
                <w:sz w:val="22"/>
                <w:szCs w:val="22"/>
                <w:lang w:val="lt-LT"/>
              </w:rPr>
              <w:t xml:space="preserve"> yra </w:t>
            </w:r>
            <w:r w:rsidRPr="007B3CC6">
              <w:rPr>
                <w:rStyle w:val="Grietas"/>
                <w:sz w:val="22"/>
                <w:szCs w:val="22"/>
                <w:lang w:val="lt-LT"/>
              </w:rPr>
              <w:t>pakankama</w:t>
            </w:r>
            <w:r w:rsidRPr="007B3CC6">
              <w:rPr>
                <w:sz w:val="22"/>
                <w:szCs w:val="22"/>
                <w:lang w:val="lt-LT"/>
              </w:rPr>
              <w:t xml:space="preserve"> ir atitinka </w:t>
            </w:r>
            <w:r w:rsidRPr="007B3CC6">
              <w:rPr>
                <w:rStyle w:val="Grietas"/>
                <w:sz w:val="22"/>
                <w:szCs w:val="22"/>
                <w:lang w:val="lt-LT"/>
              </w:rPr>
              <w:t>daugumos IVDR reikalavimus atitinkančių prietaisų galimybes</w:t>
            </w:r>
            <w:r w:rsidRPr="007B3CC6">
              <w:rPr>
                <w:b/>
                <w:bCs/>
                <w:sz w:val="22"/>
                <w:szCs w:val="22"/>
                <w:lang w:val="lt-LT"/>
              </w:rPr>
              <w:t>.</w:t>
            </w:r>
          </w:p>
          <w:p w14:paraId="32436945" w14:textId="1910439B" w:rsidR="003E5F1F" w:rsidRPr="00BB0143" w:rsidRDefault="003E5F1F" w:rsidP="003E5F1F">
            <w:pPr>
              <w:pStyle w:val="Pagrindinistekstas"/>
              <w:spacing w:after="0"/>
              <w:jc w:val="both"/>
              <w:rPr>
                <w:rFonts w:eastAsia="Calibri"/>
                <w:sz w:val="22"/>
                <w:szCs w:val="22"/>
                <w:lang w:val="lt-LT" w:eastAsia="ja-JP" w:bidi="lt-LT"/>
              </w:rPr>
            </w:pPr>
            <w:r w:rsidRPr="007B3CC6">
              <w:rPr>
                <w:sz w:val="22"/>
                <w:szCs w:val="22"/>
                <w:lang w:val="lt-LT"/>
              </w:rPr>
              <w:t>Pirminėje sveikatos priežiūros grandyje ir gydymo įstaigose CRB tyrimai dažniausiai atliekami vertinant uždegiminio proceso sunkumą ar diferencijuojant bakterinę ir virusinę infekciją. Vertės mažesnės nei 2,5 mg/L retai keičia klinikinius sprendimus ir nėra laikomos kritinėmis.</w:t>
            </w:r>
          </w:p>
        </w:tc>
        <w:tc>
          <w:tcPr>
            <w:tcW w:w="4298" w:type="dxa"/>
          </w:tcPr>
          <w:p w14:paraId="3AD5CEB1" w14:textId="77777777" w:rsidR="003E5F1F" w:rsidRPr="00BB0143" w:rsidRDefault="003E5F1F" w:rsidP="003E5F1F">
            <w:pPr>
              <w:spacing w:line="0" w:lineRule="atLeast"/>
              <w:rPr>
                <w:i/>
                <w:iCs/>
                <w:sz w:val="22"/>
                <w:szCs w:val="22"/>
                <w:lang w:val="lt-LT"/>
              </w:rPr>
            </w:pPr>
            <w:r w:rsidRPr="00BB0143">
              <w:rPr>
                <w:i/>
                <w:iCs/>
                <w:sz w:val="22"/>
                <w:szCs w:val="22"/>
                <w:lang w:val="lt-LT"/>
              </w:rPr>
              <w:t>Perkančioji organizacija įgydama įrangą planuoja kuo efektyviau ją įveiklinti ir gauti maksimalią naudą, todėl perkančioji organizacija pasirinko matavimo ribas kraujyje – 0,5–200 mg/L, nes toks reikalavimas buvo pagrįstas numatomu analizatoriaus panaudojimu ne tik bendro pobūdžio infekcijų ar uždegimų diagnostikai, bet ir širdies ir kraujagyslių ligų rizikos vertinimui bei stebėsenai, kur ypač svarbūs yra mažos koncentracijos CRB rodmenys, t. y. nuo 0,5mg/L.</w:t>
            </w:r>
          </w:p>
          <w:p w14:paraId="376720C9" w14:textId="77777777" w:rsidR="003E5F1F" w:rsidRPr="00BB0143" w:rsidRDefault="003E5F1F" w:rsidP="003E5F1F">
            <w:pPr>
              <w:spacing w:line="0" w:lineRule="atLeast"/>
              <w:rPr>
                <w:i/>
                <w:iCs/>
                <w:sz w:val="22"/>
                <w:szCs w:val="22"/>
                <w:lang w:val="lt-LT"/>
              </w:rPr>
            </w:pPr>
            <w:r w:rsidRPr="00BB0143">
              <w:rPr>
                <w:i/>
                <w:iCs/>
                <w:sz w:val="22"/>
                <w:szCs w:val="22"/>
                <w:lang w:val="lt-LT"/>
              </w:rPr>
              <w:t>Mažos CRB koncentracijos tyrimai yra naudojami kardiologinėje praktikoje, pavyzdžiui, koronarinės širdies ligos, insulto ir kitų aterosklerozinių ligų rizikai įvertinti. Todėl galimybė tiksliai matuoti CRB koncentracijas nuo 0,5 mg/L yra svarbi ir kliniškai pagrįsta esant platesniam diagnostiniam analizatoriaus pritaikymui.</w:t>
            </w:r>
          </w:p>
          <w:p w14:paraId="0A61999D" w14:textId="77777777" w:rsidR="003E5F1F" w:rsidRPr="00BB0143" w:rsidRDefault="003E5F1F" w:rsidP="003E5F1F">
            <w:pPr>
              <w:spacing w:line="0" w:lineRule="atLeast"/>
              <w:rPr>
                <w:i/>
                <w:iCs/>
                <w:sz w:val="22"/>
                <w:szCs w:val="22"/>
                <w:lang w:val="lt-LT"/>
              </w:rPr>
            </w:pPr>
            <w:r w:rsidRPr="00BB0143">
              <w:rPr>
                <w:i/>
                <w:iCs/>
                <w:sz w:val="22"/>
                <w:szCs w:val="22"/>
                <w:lang w:val="lt-LT"/>
              </w:rPr>
              <w:t>Reikalavimas atspindi realų perkančiosios organizacijos poreikį turėti universalų prietaisą, kuris būtų tinkamas tiek bendrosios praktikos poreikiams, tiek profilaktikai ir lėtinių ligų monitoravimui, kur reikalingas didesnis jautrumas mažų koncentracijų srityje.</w:t>
            </w:r>
          </w:p>
          <w:p w14:paraId="37D039ED" w14:textId="15F150A6" w:rsidR="003E5F1F" w:rsidRPr="006F24C3" w:rsidRDefault="003E5F1F" w:rsidP="003E5F1F">
            <w:pPr>
              <w:spacing w:line="0" w:lineRule="atLeast"/>
              <w:rPr>
                <w:i/>
                <w:iCs/>
                <w:sz w:val="22"/>
                <w:szCs w:val="22"/>
                <w:lang w:val="lt-LT"/>
              </w:rPr>
            </w:pPr>
            <w:r w:rsidRPr="00BB0143">
              <w:rPr>
                <w:i/>
                <w:iCs/>
                <w:sz w:val="22"/>
                <w:szCs w:val="22"/>
                <w:lang w:val="lt-LT"/>
              </w:rPr>
              <w:lastRenderedPageBreak/>
              <w:t>Širdies ir kraujagyslių ligų rizikos vertinimas remiasi tiksliais CRB rodmenimis 0,5–3,0 mg/L intervale, analizatoriai, kurių apatinė riba yra 2,5 mg/L, nėra tinkami šiam tikslui. Todėl techninėje specifikacijoje nurodyta riba 0,5–200 mg/L yra pagrįsta, atitinkanti klinikinius poreikius ir tarptautines gaires.</w:t>
            </w:r>
          </w:p>
          <w:p w14:paraId="4A4B07FF" w14:textId="77777777" w:rsidR="003E5F1F" w:rsidRDefault="003E5F1F" w:rsidP="003E5F1F">
            <w:pPr>
              <w:spacing w:line="0" w:lineRule="atLeast"/>
              <w:rPr>
                <w:i/>
                <w:iCs/>
                <w:sz w:val="22"/>
                <w:szCs w:val="22"/>
                <w:lang w:val="lt-LT"/>
              </w:rPr>
            </w:pPr>
          </w:p>
          <w:p w14:paraId="3B7EA5BE" w14:textId="77777777" w:rsidR="003E5F1F" w:rsidRPr="006F24C3" w:rsidRDefault="003E5F1F" w:rsidP="003E5F1F">
            <w:pPr>
              <w:spacing w:line="0" w:lineRule="atLeast"/>
              <w:rPr>
                <w:rFonts w:eastAsia="Calibri"/>
                <w:i/>
                <w:iCs/>
                <w:color w:val="000000" w:themeColor="text1"/>
                <w:kern w:val="2"/>
                <w:sz w:val="22"/>
                <w:szCs w:val="22"/>
                <w:lang w:val="lt-LT"/>
                <w14:ligatures w14:val="standardContextual"/>
              </w:rPr>
            </w:pPr>
            <w:r w:rsidRPr="006F24C3">
              <w:rPr>
                <w:i/>
                <w:iCs/>
                <w:color w:val="000000" w:themeColor="text1"/>
                <w:sz w:val="22"/>
                <w:szCs w:val="22"/>
                <w:lang w:val="lt-LT"/>
              </w:rPr>
              <w:t>Tačiau atsižvelgiant į Tiekėjo pastabą dėl specifikacijos visumos atitikimo bent trims analizatoriams perkančioji organizacija numato naują reikalavimą koreguojant esamą į ne blogesnės kaip 2,5–200 mg/L.</w:t>
            </w:r>
          </w:p>
          <w:p w14:paraId="04A93747" w14:textId="77777777" w:rsidR="003E5F1F" w:rsidRPr="006F24C3" w:rsidRDefault="003E5F1F" w:rsidP="003E5F1F">
            <w:pPr>
              <w:spacing w:line="0" w:lineRule="atLeast"/>
              <w:rPr>
                <w:i/>
                <w:iCs/>
                <w:color w:val="000000" w:themeColor="text1"/>
                <w:sz w:val="22"/>
                <w:szCs w:val="22"/>
                <w:lang w:val="lt-LT"/>
              </w:rPr>
            </w:pPr>
          </w:p>
          <w:p w14:paraId="6ABA5CAE" w14:textId="77777777" w:rsidR="003E5F1F" w:rsidRPr="006F24C3" w:rsidRDefault="003E5F1F" w:rsidP="003E5F1F">
            <w:pPr>
              <w:spacing w:line="0" w:lineRule="atLeast"/>
              <w:rPr>
                <w:i/>
                <w:iCs/>
                <w:color w:val="000000" w:themeColor="text1"/>
                <w:sz w:val="22"/>
                <w:szCs w:val="22"/>
                <w:lang w:val="lt-LT"/>
              </w:rPr>
            </w:pPr>
            <w:r w:rsidRPr="006F24C3">
              <w:rPr>
                <w:rFonts w:eastAsia="Calibri"/>
                <w:i/>
                <w:iCs/>
                <w:color w:val="000000" w:themeColor="text1"/>
                <w:kern w:val="2"/>
                <w:sz w:val="22"/>
                <w:szCs w:val="22"/>
                <w:lang w:val="lt-LT"/>
                <w14:ligatures w14:val="standardContextual"/>
              </w:rPr>
              <w:t xml:space="preserve">Perkančioji organizacija </w:t>
            </w:r>
            <w:r w:rsidRPr="006F24C3">
              <w:rPr>
                <w:i/>
                <w:iCs/>
                <w:color w:val="000000" w:themeColor="text1"/>
                <w:sz w:val="22"/>
                <w:szCs w:val="22"/>
                <w:lang w:val="lt-LT"/>
              </w:rPr>
              <w:t>papildys reikalavimą nurodydama, jog nurodytas matavimo diapazonas turi būti pasiekiamas esant standartinei suaugusiojo hematokrito reikšmei – 40 % HCT.</w:t>
            </w:r>
          </w:p>
          <w:p w14:paraId="5F2A5B86" w14:textId="23D6CFC3" w:rsidR="003E5F1F" w:rsidRPr="00E13ADD" w:rsidRDefault="003E5F1F" w:rsidP="003E5F1F">
            <w:pPr>
              <w:jc w:val="both"/>
              <w:rPr>
                <w:sz w:val="22"/>
                <w:szCs w:val="22"/>
                <w:lang w:val="lt-LT"/>
              </w:rPr>
            </w:pPr>
          </w:p>
        </w:tc>
      </w:tr>
      <w:tr w:rsidR="003E5F1F" w:rsidRPr="00BB0143" w14:paraId="22BF1574" w14:textId="77777777" w:rsidTr="008D7DF6">
        <w:tc>
          <w:tcPr>
            <w:tcW w:w="756" w:type="dxa"/>
          </w:tcPr>
          <w:p w14:paraId="2020A682" w14:textId="549FD172" w:rsidR="003E5F1F" w:rsidRPr="00BB0143" w:rsidRDefault="003E5F1F" w:rsidP="003E5F1F">
            <w:pPr>
              <w:pStyle w:val="Pagrindinistekstas"/>
              <w:spacing w:after="0"/>
              <w:jc w:val="both"/>
              <w:rPr>
                <w:rFonts w:eastAsia="Calibri"/>
                <w:sz w:val="22"/>
                <w:szCs w:val="22"/>
                <w:lang w:val="lt-LT" w:eastAsia="ja-JP" w:bidi="lt-LT"/>
              </w:rPr>
            </w:pPr>
            <w:r>
              <w:rPr>
                <w:rFonts w:eastAsia="Calibri"/>
                <w:sz w:val="22"/>
                <w:szCs w:val="22"/>
                <w:lang w:val="lt-LT" w:eastAsia="ja-JP" w:bidi="lt-LT"/>
              </w:rPr>
              <w:lastRenderedPageBreak/>
              <w:t>6.</w:t>
            </w:r>
          </w:p>
        </w:tc>
        <w:tc>
          <w:tcPr>
            <w:tcW w:w="7896" w:type="dxa"/>
          </w:tcPr>
          <w:p w14:paraId="47472732" w14:textId="77777777" w:rsidR="003E5F1F" w:rsidRPr="00BB0143" w:rsidRDefault="003E5F1F" w:rsidP="003E5F1F">
            <w:pPr>
              <w:spacing w:line="0" w:lineRule="atLeast"/>
              <w:jc w:val="both"/>
              <w:rPr>
                <w:sz w:val="22"/>
                <w:szCs w:val="22"/>
                <w:lang w:val="lt-LT"/>
              </w:rPr>
            </w:pPr>
            <w:r w:rsidRPr="00BB0143">
              <w:rPr>
                <w:rFonts w:eastAsia="Calibri"/>
                <w:sz w:val="22"/>
                <w:szCs w:val="22"/>
                <w:lang w:val="lt-LT" w:eastAsia="ja-JP" w:bidi="lt-LT"/>
              </w:rPr>
              <w:t xml:space="preserve">Dėl 6.2.3. p. </w:t>
            </w:r>
            <w:r w:rsidRPr="00BB0143">
              <w:rPr>
                <w:sz w:val="22"/>
                <w:szCs w:val="22"/>
                <w:lang w:val="lt-LT"/>
              </w:rPr>
              <w:t xml:space="preserve">Prašome koreguoti sekančiai:  </w:t>
            </w:r>
          </w:p>
          <w:p w14:paraId="0FB771C6" w14:textId="77777777" w:rsidR="003E5F1F" w:rsidRPr="00BB0143" w:rsidRDefault="003E5F1F" w:rsidP="003E5F1F">
            <w:pPr>
              <w:spacing w:line="0" w:lineRule="atLeast"/>
              <w:jc w:val="both"/>
              <w:rPr>
                <w:sz w:val="22"/>
                <w:szCs w:val="22"/>
                <w:lang w:val="lt-LT"/>
              </w:rPr>
            </w:pPr>
            <w:r w:rsidRPr="00BB0143">
              <w:rPr>
                <w:sz w:val="22"/>
                <w:szCs w:val="22"/>
                <w:lang w:val="lt-LT"/>
              </w:rPr>
              <w:t>Fotometrinis, imunoturbidimetrinis, turbidimetrinis arba lygiavertis  (pvz. imunocheminį, imunofluorescencinį, imunochromatografinį ir kt.)“.</w:t>
            </w:r>
          </w:p>
          <w:p w14:paraId="0B946CC9" w14:textId="77777777" w:rsidR="003E5F1F" w:rsidRPr="007B3CC6" w:rsidRDefault="003E5F1F" w:rsidP="003E5F1F">
            <w:pPr>
              <w:spacing w:line="0" w:lineRule="atLeast"/>
              <w:jc w:val="both"/>
              <w:rPr>
                <w:sz w:val="22"/>
                <w:szCs w:val="22"/>
                <w:lang w:val="lt-LT"/>
              </w:rPr>
            </w:pPr>
            <w:r w:rsidRPr="00BB0143">
              <w:rPr>
                <w:sz w:val="22"/>
                <w:szCs w:val="22"/>
                <w:lang w:val="lt-LT"/>
              </w:rPr>
              <w:t xml:space="preserve"> </w:t>
            </w:r>
            <w:r w:rsidRPr="007B3CC6">
              <w:rPr>
                <w:sz w:val="22"/>
                <w:szCs w:val="22"/>
                <w:lang w:val="lt-LT"/>
              </w:rPr>
              <w:t>Europos in vitro diagnostikos standartai (IVD) pripažįsta fluorescencinę analizę kaip patikimą ir lygiavertį metodą imunoturbidimetriniams matavimams.</w:t>
            </w:r>
          </w:p>
          <w:p w14:paraId="581E02CE" w14:textId="77777777" w:rsidR="003E5F1F" w:rsidRPr="007B3CC6" w:rsidRDefault="003E5F1F" w:rsidP="003E5F1F">
            <w:pPr>
              <w:spacing w:line="0" w:lineRule="atLeast"/>
              <w:jc w:val="both"/>
              <w:rPr>
                <w:sz w:val="22"/>
                <w:szCs w:val="22"/>
                <w:lang w:val="lt-LT"/>
              </w:rPr>
            </w:pPr>
            <w:r w:rsidRPr="007B3CC6">
              <w:rPr>
                <w:sz w:val="22"/>
                <w:szCs w:val="22"/>
                <w:lang w:val="lt-LT"/>
              </w:rPr>
              <w:t>Įtraukus imunofluorescencinį metodą, padidėja konkurencija, nes daugiau gamintojų gali pateikti pasiūlymus, kas sumažintų pirkimo kainą neprarandant kokybės. Kai kurios aukšto lygio laboratorinės sistemos jau naudoja fluorescencinius matavimus kaip standartu tapusią technologiją, todėl jos eliminavimas iš konkurso nėra pagrįstas.</w:t>
            </w:r>
          </w:p>
          <w:p w14:paraId="125E83FD" w14:textId="77777777" w:rsidR="003E5F1F" w:rsidRPr="007B3CC6" w:rsidRDefault="003E5F1F" w:rsidP="003E5F1F">
            <w:pPr>
              <w:spacing w:line="0" w:lineRule="atLeast"/>
              <w:jc w:val="both"/>
              <w:rPr>
                <w:sz w:val="22"/>
                <w:szCs w:val="22"/>
                <w:lang w:val="lt-LT"/>
              </w:rPr>
            </w:pPr>
            <w:r w:rsidRPr="007B3CC6">
              <w:rPr>
                <w:sz w:val="22"/>
                <w:szCs w:val="22"/>
                <w:lang w:val="lt-LT"/>
              </w:rPr>
              <w:t>Fluorescencinis metodas ne tik lygiavertis, bet kai kuriais atvejais ir pranašesnis už klasikinius metodus, todėl jo neįtraukimas dirbtinai ribotų pirkimo galimybes.</w:t>
            </w:r>
          </w:p>
          <w:p w14:paraId="1FA09A00" w14:textId="4EFA2AA5" w:rsidR="003E5F1F" w:rsidRPr="00BB0143" w:rsidRDefault="003E5F1F" w:rsidP="003E5F1F">
            <w:pPr>
              <w:pStyle w:val="Pagrindinistekstas"/>
              <w:spacing w:after="0"/>
              <w:jc w:val="both"/>
              <w:rPr>
                <w:rFonts w:eastAsia="Calibri"/>
                <w:sz w:val="22"/>
                <w:szCs w:val="22"/>
                <w:lang w:val="lt-LT" w:eastAsia="ja-JP" w:bidi="lt-LT"/>
              </w:rPr>
            </w:pPr>
            <w:r w:rsidRPr="007B3CC6">
              <w:rPr>
                <w:sz w:val="22"/>
                <w:szCs w:val="22"/>
                <w:lang w:val="lt-LT"/>
              </w:rPr>
              <w:t xml:space="preserve">Jei Perkančioji organizacija nuspręstu nekoreguoti techninio parametro,  papildomai </w:t>
            </w:r>
            <w:r w:rsidRPr="007B3CC6">
              <w:rPr>
                <w:b/>
                <w:bCs/>
                <w:sz w:val="22"/>
                <w:szCs w:val="22"/>
                <w:lang w:val="lt-LT"/>
              </w:rPr>
              <w:t>prašome aiškiai įvardinti/nurodyti kokiais kriterijais</w:t>
            </w:r>
            <w:r w:rsidRPr="007B3CC6">
              <w:rPr>
                <w:sz w:val="22"/>
                <w:szCs w:val="22"/>
                <w:lang w:val="lt-LT"/>
              </w:rPr>
              <w:t xml:space="preserve"> vadovaujantis Tiekėjas galėtu įrodyti siūlomo metodo lygiavertiškumą.</w:t>
            </w:r>
          </w:p>
        </w:tc>
        <w:tc>
          <w:tcPr>
            <w:tcW w:w="4298" w:type="dxa"/>
          </w:tcPr>
          <w:p w14:paraId="32B67537" w14:textId="61D19F54" w:rsidR="003E5F1F" w:rsidRPr="00BB0143" w:rsidRDefault="003E5F1F" w:rsidP="003E5F1F">
            <w:pPr>
              <w:spacing w:line="0" w:lineRule="atLeast"/>
              <w:rPr>
                <w:i/>
                <w:iCs/>
                <w:sz w:val="22"/>
                <w:szCs w:val="22"/>
                <w:lang w:val="lt-LT"/>
              </w:rPr>
            </w:pPr>
            <w:r>
              <w:rPr>
                <w:i/>
                <w:iCs/>
                <w:sz w:val="22"/>
                <w:szCs w:val="22"/>
                <w:lang w:val="lt-LT"/>
              </w:rPr>
              <w:t>Perkančioji organizacija a</w:t>
            </w:r>
            <w:r w:rsidRPr="00BB0143">
              <w:rPr>
                <w:i/>
                <w:iCs/>
                <w:sz w:val="22"/>
                <w:szCs w:val="22"/>
                <w:lang w:val="lt-LT"/>
              </w:rPr>
              <w:t>tsižvelgdam</w:t>
            </w:r>
            <w:r>
              <w:rPr>
                <w:i/>
                <w:iCs/>
                <w:sz w:val="22"/>
                <w:szCs w:val="22"/>
                <w:lang w:val="lt-LT"/>
              </w:rPr>
              <w:t>a</w:t>
            </w:r>
            <w:r w:rsidRPr="00BB0143">
              <w:rPr>
                <w:i/>
                <w:iCs/>
                <w:sz w:val="22"/>
                <w:szCs w:val="22"/>
                <w:lang w:val="lt-LT"/>
              </w:rPr>
              <w:t xml:space="preserve"> į pateiktą pasiūlymą ir siekdama neužkirsti kelio galim</w:t>
            </w:r>
            <w:r>
              <w:rPr>
                <w:i/>
                <w:iCs/>
                <w:sz w:val="22"/>
                <w:szCs w:val="22"/>
                <w:lang w:val="lt-LT"/>
              </w:rPr>
              <w:t>iems</w:t>
            </w:r>
            <w:r w:rsidRPr="00BB0143">
              <w:rPr>
                <w:i/>
                <w:iCs/>
                <w:sz w:val="22"/>
                <w:szCs w:val="22"/>
                <w:lang w:val="lt-LT"/>
              </w:rPr>
              <w:t xml:space="preserve"> lygiaverčių sprendimų pasiūlymams, sutinka koreguoti techninės specifikacijos reikalavimą ir jį formuluoti taip:</w:t>
            </w:r>
          </w:p>
          <w:p w14:paraId="1CBB8F62" w14:textId="77777777" w:rsidR="003E5F1F" w:rsidRPr="00BB0143" w:rsidRDefault="003E5F1F" w:rsidP="003E5F1F">
            <w:pPr>
              <w:spacing w:line="0" w:lineRule="atLeast"/>
              <w:rPr>
                <w:i/>
                <w:iCs/>
                <w:sz w:val="22"/>
                <w:szCs w:val="22"/>
                <w:lang w:val="lt-LT"/>
              </w:rPr>
            </w:pPr>
            <w:r w:rsidRPr="00BB0143">
              <w:rPr>
                <w:i/>
                <w:iCs/>
                <w:sz w:val="22"/>
                <w:szCs w:val="22"/>
                <w:lang w:val="lt-LT"/>
              </w:rPr>
              <w:t>„Fotometrinis, imunoturbidimetrinis, turbidimetrinis arba lygiavertis imunofluorescencinis“.</w:t>
            </w:r>
          </w:p>
          <w:p w14:paraId="6F40C47E" w14:textId="77777777" w:rsidR="003E5F1F" w:rsidRPr="00BB0143" w:rsidRDefault="003E5F1F" w:rsidP="003E5F1F">
            <w:pPr>
              <w:pStyle w:val="Pagrindinistekstas"/>
              <w:spacing w:after="0"/>
              <w:jc w:val="both"/>
              <w:rPr>
                <w:rFonts w:eastAsia="Calibri"/>
                <w:sz w:val="22"/>
                <w:szCs w:val="22"/>
                <w:lang w:val="lt-LT" w:eastAsia="ja-JP" w:bidi="lt-LT"/>
              </w:rPr>
            </w:pPr>
          </w:p>
        </w:tc>
      </w:tr>
      <w:tr w:rsidR="003E5F1F" w:rsidRPr="00745551" w14:paraId="294B8269" w14:textId="77777777" w:rsidTr="008D7DF6">
        <w:tc>
          <w:tcPr>
            <w:tcW w:w="756" w:type="dxa"/>
          </w:tcPr>
          <w:p w14:paraId="672FA242" w14:textId="466BE1F0" w:rsidR="003E5F1F" w:rsidRPr="00BB0143" w:rsidRDefault="003E5F1F" w:rsidP="003E5F1F">
            <w:pPr>
              <w:pStyle w:val="Pagrindinistekstas"/>
              <w:spacing w:after="0"/>
              <w:jc w:val="both"/>
              <w:rPr>
                <w:rFonts w:eastAsia="Calibri"/>
                <w:sz w:val="22"/>
                <w:szCs w:val="22"/>
                <w:lang w:val="lt-LT" w:eastAsia="ja-JP" w:bidi="lt-LT"/>
              </w:rPr>
            </w:pPr>
            <w:r>
              <w:rPr>
                <w:rFonts w:eastAsia="Calibri"/>
                <w:sz w:val="22"/>
                <w:szCs w:val="22"/>
                <w:lang w:val="lt-LT" w:eastAsia="ja-JP" w:bidi="lt-LT"/>
              </w:rPr>
              <w:t>7.</w:t>
            </w:r>
          </w:p>
        </w:tc>
        <w:tc>
          <w:tcPr>
            <w:tcW w:w="7896" w:type="dxa"/>
          </w:tcPr>
          <w:p w14:paraId="39702D04" w14:textId="67492843" w:rsidR="003E5F1F" w:rsidRPr="00BB0143" w:rsidRDefault="003E5F1F" w:rsidP="003E5F1F">
            <w:pPr>
              <w:rPr>
                <w:i/>
                <w:iCs/>
                <w:sz w:val="22"/>
                <w:szCs w:val="22"/>
                <w:lang w:val="lt-LT"/>
              </w:rPr>
            </w:pPr>
            <w:r w:rsidRPr="00BB0143">
              <w:rPr>
                <w:rFonts w:eastAsia="Calibri"/>
                <w:sz w:val="22"/>
                <w:szCs w:val="22"/>
                <w:lang w:val="lt-LT" w:eastAsia="ja-JP" w:bidi="lt-LT"/>
              </w:rPr>
              <w:t>Dėl 6.2.4.</w:t>
            </w:r>
            <w:r w:rsidRPr="00BB0143">
              <w:rPr>
                <w:b/>
                <w:bCs/>
                <w:sz w:val="22"/>
                <w:szCs w:val="22"/>
                <w:lang w:val="lt-LT"/>
              </w:rPr>
              <w:t xml:space="preserve"> Esamas reikalavimas:</w:t>
            </w:r>
            <w:r w:rsidRPr="00BB0143">
              <w:rPr>
                <w:sz w:val="22"/>
                <w:szCs w:val="22"/>
                <w:lang w:val="lt-LT"/>
              </w:rPr>
              <w:br/>
            </w:r>
            <w:r w:rsidRPr="00BB0143">
              <w:rPr>
                <w:i/>
                <w:iCs/>
                <w:sz w:val="22"/>
                <w:szCs w:val="22"/>
                <w:lang w:val="lt-LT"/>
              </w:rPr>
              <w:t>Nereikalingas mėginio paruošimas. Testo atlikimas vienoje matavimo kiuvetėje.</w:t>
            </w:r>
          </w:p>
          <w:p w14:paraId="1F7BC819" w14:textId="77777777" w:rsidR="003E5F1F" w:rsidRPr="007B3CC6" w:rsidRDefault="003E5F1F" w:rsidP="003E5F1F">
            <w:pPr>
              <w:rPr>
                <w:sz w:val="22"/>
                <w:szCs w:val="22"/>
                <w:lang w:val="lt-LT"/>
              </w:rPr>
            </w:pPr>
            <w:r w:rsidRPr="00BB0143">
              <w:rPr>
                <w:b/>
                <w:bCs/>
                <w:sz w:val="22"/>
                <w:szCs w:val="22"/>
                <w:lang w:val="lt-LT"/>
              </w:rPr>
              <w:lastRenderedPageBreak/>
              <w:t>Siūlomas patikslinimas:</w:t>
            </w:r>
            <w:r w:rsidRPr="00BB0143">
              <w:rPr>
                <w:sz w:val="22"/>
                <w:szCs w:val="22"/>
                <w:lang w:val="lt-LT"/>
              </w:rPr>
              <w:br/>
            </w:r>
            <w:r w:rsidRPr="007B3CC6">
              <w:rPr>
                <w:i/>
                <w:iCs/>
                <w:sz w:val="22"/>
                <w:szCs w:val="22"/>
                <w:lang w:val="lt-LT"/>
              </w:rPr>
              <w:t xml:space="preserve">Minimalus mėginio paruošimas. </w:t>
            </w:r>
          </w:p>
          <w:p w14:paraId="2970B39E" w14:textId="27E249EB" w:rsidR="003E5F1F" w:rsidRPr="00BB0143" w:rsidRDefault="003E5F1F" w:rsidP="003E5F1F">
            <w:pPr>
              <w:pStyle w:val="Pagrindinistekstas"/>
              <w:spacing w:after="0"/>
              <w:jc w:val="both"/>
              <w:rPr>
                <w:rFonts w:eastAsia="Calibri"/>
                <w:sz w:val="22"/>
                <w:szCs w:val="22"/>
                <w:lang w:val="lt-LT" w:eastAsia="ja-JP" w:bidi="lt-LT"/>
              </w:rPr>
            </w:pPr>
            <w:r w:rsidRPr="007B3CC6">
              <w:rPr>
                <w:sz w:val="22"/>
                <w:szCs w:val="22"/>
                <w:lang w:val="lt-LT"/>
              </w:rPr>
              <w:t>Reikalavimo formuluotė yra dviprasmiška ir nepakankamai aiški.</w:t>
            </w:r>
            <w:r w:rsidRPr="007B3CC6">
              <w:rPr>
                <w:sz w:val="22"/>
                <w:szCs w:val="22"/>
                <w:lang w:val="lt-LT"/>
              </w:rPr>
              <w:br/>
              <w:t>Prašome tiksliai nurodyti, kaip suprantamas „nereikalingas mėginio paruošimas“ vertinant greituosius imunologinius analizatorius, kuriuose įprasta praktika yra tiesioginis mėginio užlašinimas ir/arba buferio įpylimas į kasetę. Ar toks veiksmas laikomas „paruošimu“? Šiuo metu formuluotė gali būti skirtingai interpretuojama.</w:t>
            </w:r>
            <w:r w:rsidRPr="007B3CC6">
              <w:rPr>
                <w:sz w:val="22"/>
                <w:szCs w:val="22"/>
                <w:lang w:val="lt-LT"/>
              </w:rPr>
              <w:br/>
              <w:t>Dauguma modernių CE ženklu pažymėtų greitųjų CRP analizatorių tyrimą atlieka tiesiogiai testų kasetėje, reikalaujant tik bazinio operatoriaus veiksmo. Toks procesas nėra sudėtingas mėginio paruošimas, kaip tai suprantama klasikinėje laboratorinėje praktikoje (centrifūgavimo, pipetavimo, maišymo ir kt. atvejai).</w:t>
            </w:r>
            <w:r w:rsidRPr="007B3CC6">
              <w:rPr>
                <w:sz w:val="22"/>
                <w:szCs w:val="22"/>
                <w:lang w:val="lt-LT"/>
              </w:rPr>
              <w:br/>
              <w:t>Dėl esamos reikalavimo formuluotės faktiškai eliminuojami keli šiuo metu Lietuvoje platinami greitieji CRP analizatoriai, kurie pilnai atitinka IVDR reikalavimus ir yra naudojami gydymo įstaigose. Reikalavimas tampa neproporcingu, prieštaraujančiu VPĮ 17 str. ir VPT išaiškinimams dėl perteklinių reikalavimų.</w:t>
            </w:r>
          </w:p>
        </w:tc>
        <w:tc>
          <w:tcPr>
            <w:tcW w:w="4298" w:type="dxa"/>
          </w:tcPr>
          <w:p w14:paraId="48B1F6E2" w14:textId="77777777" w:rsidR="003E5F1F" w:rsidRPr="00BB0143" w:rsidRDefault="003E5F1F" w:rsidP="003E5F1F">
            <w:pPr>
              <w:rPr>
                <w:i/>
                <w:iCs/>
                <w:sz w:val="22"/>
                <w:szCs w:val="22"/>
                <w:lang w:val="lt-LT"/>
              </w:rPr>
            </w:pPr>
            <w:r w:rsidRPr="00BB0143">
              <w:rPr>
                <w:i/>
                <w:iCs/>
                <w:sz w:val="22"/>
                <w:szCs w:val="22"/>
                <w:lang w:val="lt-LT"/>
              </w:rPr>
              <w:lastRenderedPageBreak/>
              <w:t xml:space="preserve">Perkančioji organizacija, nustatydama techninės specifikacijos reikalavimą </w:t>
            </w:r>
            <w:r w:rsidRPr="00BB0143">
              <w:rPr>
                <w:i/>
                <w:iCs/>
                <w:sz w:val="22"/>
                <w:szCs w:val="22"/>
                <w:lang w:val="lt-LT"/>
              </w:rPr>
              <w:lastRenderedPageBreak/>
              <w:t>„Nereikalingas mėginio paruošimas, Testo atlikimas vienoje matavimo kiuvetėje“, turėjo tikslą įsigyti sprendimą, kuris užtikrintų maksimalų darbo proceso paprastumą, standartizavimą ir kuo mažesnį laboratorijos personalo įsitraukimą atliekant tyrimą, siekė optimizuoti laboratorijos veiklą, sumažinti žmogiškųjų klaidų riziką ir užtikrinti greitą rezultatų pateikimą.</w:t>
            </w:r>
          </w:p>
          <w:p w14:paraId="63A76E9E" w14:textId="02ED2DEE" w:rsidR="003E5F1F" w:rsidRPr="00E13ADD" w:rsidRDefault="003E5F1F" w:rsidP="003E5F1F">
            <w:pPr>
              <w:rPr>
                <w:i/>
                <w:iCs/>
                <w:sz w:val="22"/>
                <w:szCs w:val="22"/>
                <w:lang w:val="lt-LT"/>
              </w:rPr>
            </w:pPr>
            <w:r w:rsidRPr="00BB0143">
              <w:rPr>
                <w:i/>
                <w:iCs/>
                <w:sz w:val="22"/>
                <w:szCs w:val="22"/>
                <w:lang w:val="lt-LT"/>
              </w:rPr>
              <w:t>Perkančioji organizacija įvertino Tiekėjo argumentus bei palyginus skirtingų gamintojų CRB atlikimo metodikas konstatavo, kad iš tiesų galima diskriminacijos rizika, todėl nutarė šį reikalavimą šalinti ir vietoje jo įvesti reikalavimą: „Matavimo tikslumas, CV ≤ 10%“.</w:t>
            </w:r>
          </w:p>
        </w:tc>
      </w:tr>
      <w:tr w:rsidR="003E5F1F" w:rsidRPr="00745551" w14:paraId="2843B6A8" w14:textId="77777777" w:rsidTr="008D7DF6">
        <w:tc>
          <w:tcPr>
            <w:tcW w:w="756" w:type="dxa"/>
          </w:tcPr>
          <w:p w14:paraId="5E06F24A" w14:textId="093EB89E" w:rsidR="003E5F1F" w:rsidRPr="00BB0143" w:rsidRDefault="003E5F1F" w:rsidP="003E5F1F">
            <w:pPr>
              <w:pStyle w:val="Pagrindinistekstas"/>
              <w:spacing w:after="0"/>
              <w:jc w:val="both"/>
              <w:rPr>
                <w:rFonts w:eastAsia="Calibri"/>
                <w:sz w:val="22"/>
                <w:szCs w:val="22"/>
                <w:lang w:val="lt-LT" w:eastAsia="ja-JP" w:bidi="lt-LT"/>
              </w:rPr>
            </w:pPr>
            <w:r>
              <w:rPr>
                <w:rFonts w:eastAsia="Calibri"/>
                <w:sz w:val="22"/>
                <w:szCs w:val="22"/>
                <w:lang w:val="lt-LT" w:eastAsia="ja-JP" w:bidi="lt-LT"/>
              </w:rPr>
              <w:lastRenderedPageBreak/>
              <w:t>8.</w:t>
            </w:r>
          </w:p>
        </w:tc>
        <w:tc>
          <w:tcPr>
            <w:tcW w:w="7896" w:type="dxa"/>
          </w:tcPr>
          <w:p w14:paraId="75C85CEA" w14:textId="77777777" w:rsidR="003E5F1F" w:rsidRPr="00BB0143" w:rsidRDefault="003E5F1F" w:rsidP="003E5F1F">
            <w:pPr>
              <w:jc w:val="both"/>
              <w:rPr>
                <w:sz w:val="22"/>
                <w:szCs w:val="22"/>
                <w:lang w:val="lt-LT"/>
              </w:rPr>
            </w:pPr>
            <w:r w:rsidRPr="00BB0143">
              <w:rPr>
                <w:rFonts w:eastAsia="Calibri"/>
                <w:sz w:val="22"/>
                <w:szCs w:val="22"/>
                <w:lang w:val="lt-LT" w:eastAsia="ja-JP" w:bidi="lt-LT"/>
              </w:rPr>
              <w:t xml:space="preserve">Dėl 6.2.6. p. </w:t>
            </w:r>
            <w:r w:rsidRPr="00BB0143">
              <w:rPr>
                <w:sz w:val="22"/>
                <w:szCs w:val="22"/>
                <w:lang w:val="lt-LT"/>
              </w:rPr>
              <w:t xml:space="preserve">Perkančioji organizacija jau yra motyvuotai pažymėjusi (pirkimo Nr. 2715722), kad mažesnis mėginio kiekis yra svarbus vaikų ir pagyvenusių pacientų grupėms, ypač kai naudojamas </w:t>
            </w:r>
            <w:r w:rsidRPr="00BB0143">
              <w:rPr>
                <w:b/>
                <w:bCs/>
                <w:sz w:val="22"/>
                <w:szCs w:val="22"/>
                <w:lang w:val="lt-LT"/>
              </w:rPr>
              <w:t>kapiliarinis</w:t>
            </w:r>
            <w:r w:rsidRPr="00BB0143">
              <w:rPr>
                <w:sz w:val="22"/>
                <w:szCs w:val="22"/>
                <w:lang w:val="lt-LT"/>
              </w:rPr>
              <w:t xml:space="preserve"> kraujas. Su tuo visiškai sutinkame ir neprieštaraujame šio parametro išlaikymui kapiliarinio kraujo atveju. Tačiau pažymime, kad reikalavimas vienodai taikyti ≤ 20 µl visiems mėginio tipams, įskaitant veninį kraują, serumą ir plazmą, yra perteklinis, nepagrįstas medicinine ar technine būtinybe ir galimai ribojantis konkurenciją bei taikomas vienam gamintojui.</w:t>
            </w:r>
          </w:p>
          <w:p w14:paraId="53F81A67" w14:textId="77777777" w:rsidR="003E5F1F" w:rsidRPr="00BB0143" w:rsidRDefault="003E5F1F" w:rsidP="003E5F1F">
            <w:pPr>
              <w:jc w:val="both"/>
              <w:rPr>
                <w:sz w:val="22"/>
                <w:szCs w:val="22"/>
                <w:lang w:val="lt-LT"/>
              </w:rPr>
            </w:pPr>
            <w:r w:rsidRPr="00BB0143">
              <w:rPr>
                <w:sz w:val="22"/>
                <w:szCs w:val="22"/>
                <w:lang w:val="lt-LT"/>
              </w:rPr>
              <w:t>Veninio kraujo ir kitų skysčių paėmimo atveju mediciniškai nėra kliūčių naudoti didesnio tūrio mėginius – tai nesukelia papildomo diskomforto pacientui ir nesudaro jokių funkcinių trukdžių tyrimo atlikimui. Tuo tarpu ribojimas iki 20 µl eliminuoja iš rinkos didelę dalį kokybiškų diagnostinių testų, kurie veikia su 50–100 µl mėginiais, nors jų veikimo tikslumas, jautrumas bei specifiškumas atitinka arba net viršija klinikinius standartus.</w:t>
            </w:r>
          </w:p>
          <w:p w14:paraId="7019CE96" w14:textId="77777777" w:rsidR="003E5F1F" w:rsidRPr="00BB0143" w:rsidRDefault="003E5F1F" w:rsidP="003E5F1F">
            <w:pPr>
              <w:jc w:val="both"/>
              <w:rPr>
                <w:sz w:val="22"/>
                <w:szCs w:val="22"/>
                <w:lang w:val="lt-LT"/>
              </w:rPr>
            </w:pPr>
            <w:r w:rsidRPr="00BB0143">
              <w:rPr>
                <w:sz w:val="22"/>
                <w:szCs w:val="22"/>
                <w:lang w:val="lt-LT"/>
              </w:rPr>
              <w:t>Todėl siūlomas diferencijuotas reikalavimas (kapiliariniam kraujui – ≤20 µl, kitoms terpėms – ≤100 µl) užtikrina: pacientų saugumą ir komfortą (ypač jautrioms grupėms); technologinį lankstumą; konkurencingų alternatyvų pateikimą; racionalų lėšų panaudojimą – nes leidžia vertinti daugiau kokybiškų sprendimų pagal kainos ir kokybės santykį.</w:t>
            </w:r>
          </w:p>
          <w:p w14:paraId="29174349" w14:textId="77777777" w:rsidR="003E5F1F" w:rsidRPr="00BB0143" w:rsidRDefault="003E5F1F" w:rsidP="003E5F1F">
            <w:pPr>
              <w:jc w:val="both"/>
              <w:rPr>
                <w:sz w:val="22"/>
                <w:szCs w:val="22"/>
                <w:lang w:val="lt-LT"/>
              </w:rPr>
            </w:pPr>
            <w:r w:rsidRPr="00BB0143">
              <w:rPr>
                <w:sz w:val="22"/>
                <w:szCs w:val="22"/>
                <w:lang w:val="lt-LT"/>
              </w:rPr>
              <w:t>Atsižvelgdami į tai, prašome 8 punktą pakeisti taip:</w:t>
            </w:r>
          </w:p>
          <w:p w14:paraId="7C7D057B" w14:textId="77777777" w:rsidR="003E5F1F" w:rsidRPr="00BB0143" w:rsidRDefault="003E5F1F" w:rsidP="003E5F1F">
            <w:pPr>
              <w:jc w:val="both"/>
              <w:rPr>
                <w:sz w:val="22"/>
                <w:szCs w:val="22"/>
                <w:lang w:val="lt-LT"/>
              </w:rPr>
            </w:pPr>
            <w:r w:rsidRPr="00BB0143">
              <w:rPr>
                <w:sz w:val="22"/>
                <w:szCs w:val="22"/>
                <w:lang w:val="lt-LT"/>
              </w:rPr>
              <w:lastRenderedPageBreak/>
              <w:t>„Tyrimui atlikti pakankamas mėginio tūris:</w:t>
            </w:r>
            <w:r w:rsidRPr="00BB0143">
              <w:rPr>
                <w:sz w:val="22"/>
                <w:szCs w:val="22"/>
                <w:lang w:val="lt-LT"/>
              </w:rPr>
              <w:br/>
              <w:t>– iš kapiliarinio kraujo – ne daugiau kaip 20 µl;</w:t>
            </w:r>
            <w:r w:rsidRPr="00BB0143">
              <w:rPr>
                <w:sz w:val="22"/>
                <w:szCs w:val="22"/>
                <w:lang w:val="lt-LT"/>
              </w:rPr>
              <w:br/>
              <w:t>– iš veninio kraujo, serumo ar plazmos – ne daugiau kaip 100 µl.“</w:t>
            </w:r>
          </w:p>
          <w:p w14:paraId="4B89F0FA" w14:textId="63484833" w:rsidR="003E5F1F" w:rsidRPr="00BB0143" w:rsidRDefault="003E5F1F" w:rsidP="003E5F1F">
            <w:pPr>
              <w:pStyle w:val="Pagrindinistekstas"/>
              <w:spacing w:after="0"/>
              <w:jc w:val="both"/>
              <w:rPr>
                <w:rFonts w:eastAsia="Calibri"/>
                <w:sz w:val="22"/>
                <w:szCs w:val="22"/>
                <w:lang w:val="lt-LT" w:eastAsia="ja-JP" w:bidi="lt-LT"/>
              </w:rPr>
            </w:pPr>
            <w:r w:rsidRPr="00BB0143">
              <w:rPr>
                <w:sz w:val="22"/>
                <w:szCs w:val="22"/>
                <w:lang w:val="lt-LT"/>
              </w:rPr>
              <w:t>Tikime, kad toks pakeitimas užtikrins ne tik klinikinį efektyvumą, bet ir atitiks Viešųjų pirkimų įstatymo reikalavimą užtikrinti proporcingumą, konkurenciją ir maksimalų ekonominį naudingumą.</w:t>
            </w:r>
          </w:p>
        </w:tc>
        <w:tc>
          <w:tcPr>
            <w:tcW w:w="4298" w:type="dxa"/>
          </w:tcPr>
          <w:p w14:paraId="7D00CD31" w14:textId="6EBD4051" w:rsidR="003E5F1F" w:rsidRPr="00BB0143" w:rsidRDefault="003E5F1F" w:rsidP="003E5F1F">
            <w:pPr>
              <w:spacing w:line="0" w:lineRule="atLeast"/>
              <w:rPr>
                <w:i/>
                <w:iCs/>
                <w:sz w:val="22"/>
                <w:szCs w:val="22"/>
                <w:lang w:val="lt-LT"/>
              </w:rPr>
            </w:pPr>
            <w:r w:rsidRPr="00BB0143">
              <w:rPr>
                <w:i/>
                <w:iCs/>
                <w:sz w:val="22"/>
                <w:szCs w:val="22"/>
                <w:lang w:val="lt-LT"/>
              </w:rPr>
              <w:lastRenderedPageBreak/>
              <w:t xml:space="preserve">Tiekėjas klaidingai nurodo, kad </w:t>
            </w:r>
            <w:r>
              <w:rPr>
                <w:i/>
                <w:iCs/>
                <w:sz w:val="22"/>
                <w:szCs w:val="22"/>
                <w:lang w:val="lt-LT"/>
              </w:rPr>
              <w:t>perkančioji organizacija</w:t>
            </w:r>
            <w:r w:rsidRPr="00BB0143">
              <w:rPr>
                <w:i/>
                <w:iCs/>
                <w:sz w:val="22"/>
                <w:szCs w:val="22"/>
                <w:lang w:val="lt-LT"/>
              </w:rPr>
              <w:t xml:space="preserve"> „</w:t>
            </w:r>
            <w:r w:rsidRPr="00BB0143">
              <w:rPr>
                <w:b/>
                <w:bCs/>
                <w:i/>
                <w:iCs/>
                <w:sz w:val="22"/>
                <w:szCs w:val="22"/>
                <w:lang w:val="lt-LT"/>
              </w:rPr>
              <w:t>jau yra motyvuotai pažymėjusi (pirkimo Nr. 2715722), kad mažesnis mėginio kiekis yra svarbus vaikų ir pagyvenusių pacientų grupėms, ypač kai naudojamas kapiliarinis kraujas“</w:t>
            </w:r>
            <w:r w:rsidRPr="00BB0143">
              <w:rPr>
                <w:i/>
                <w:iCs/>
                <w:sz w:val="22"/>
                <w:szCs w:val="22"/>
                <w:lang w:val="lt-LT"/>
              </w:rPr>
              <w:t xml:space="preserve"> – PO pastebi, kad tokio pažymėjimo nebuvo.</w:t>
            </w:r>
          </w:p>
          <w:p w14:paraId="22CCD26E" w14:textId="77777777" w:rsidR="003E5F1F" w:rsidRPr="00BB0143" w:rsidRDefault="003E5F1F" w:rsidP="003E5F1F">
            <w:pPr>
              <w:spacing w:line="0" w:lineRule="atLeast"/>
              <w:jc w:val="both"/>
              <w:rPr>
                <w:sz w:val="22"/>
                <w:szCs w:val="22"/>
                <w:lang w:val="lt-LT"/>
              </w:rPr>
            </w:pPr>
          </w:p>
          <w:p w14:paraId="26B182BB" w14:textId="1EF29747" w:rsidR="003E5F1F" w:rsidRPr="00BB0143" w:rsidRDefault="003E5F1F" w:rsidP="003E5F1F">
            <w:pPr>
              <w:spacing w:line="0" w:lineRule="atLeast"/>
              <w:rPr>
                <w:i/>
                <w:iCs/>
                <w:sz w:val="22"/>
                <w:szCs w:val="22"/>
                <w:lang w:val="lt-LT"/>
              </w:rPr>
            </w:pPr>
            <w:r w:rsidRPr="00BB0143">
              <w:rPr>
                <w:i/>
                <w:iCs/>
                <w:sz w:val="22"/>
                <w:szCs w:val="22"/>
                <w:lang w:val="lt-LT"/>
              </w:rPr>
              <w:t>P</w:t>
            </w:r>
            <w:r>
              <w:rPr>
                <w:i/>
                <w:iCs/>
                <w:sz w:val="22"/>
                <w:szCs w:val="22"/>
                <w:lang w:val="lt-LT"/>
              </w:rPr>
              <w:t>erkančioji organizacija</w:t>
            </w:r>
            <w:r w:rsidRPr="00BB0143">
              <w:rPr>
                <w:i/>
                <w:iCs/>
                <w:sz w:val="22"/>
                <w:szCs w:val="22"/>
                <w:lang w:val="lt-LT"/>
              </w:rPr>
              <w:t xml:space="preserve"> priima įvairių amžiaus ir klinikinių būklių pacientus ir naudoja visų tipų mėginius iš bet kurių laboratorijoje esamų kraujo mėginių (mėgintuvėlių), taip užtikrindama pacientų komfortą – užtenka vienos kraujo paėmimo procedūros (nereikia papildomo dūrio ir kraujo ėmimo – racionalus lėšų naudojimas), reikalavimas užtikrina efektyvų mėginio panaudojimą, kadangi kraujas ar serumas su plazma, gauti iš veninio kraujo, dažnai reikalingi ir kitiems tyrimams, pakartojimams </w:t>
            </w:r>
            <w:r w:rsidRPr="00BB0143">
              <w:rPr>
                <w:i/>
                <w:iCs/>
                <w:sz w:val="22"/>
                <w:szCs w:val="22"/>
                <w:lang w:val="lt-LT"/>
              </w:rPr>
              <w:lastRenderedPageBreak/>
              <w:t>ar archyvavimui, todėl ≤ 20 µl mėginys yra būtinas,  personalui nereikia keisti metodikos (tarp skirtinų kraujo tipų ir tūrio) kas sąlygoja mažesnę potencialių klaidų tikimybę.</w:t>
            </w:r>
          </w:p>
          <w:p w14:paraId="02F0FF54" w14:textId="77777777" w:rsidR="003E5F1F" w:rsidRPr="00BB0143" w:rsidRDefault="003E5F1F" w:rsidP="003E5F1F">
            <w:pPr>
              <w:spacing w:line="0" w:lineRule="atLeast"/>
              <w:rPr>
                <w:i/>
                <w:iCs/>
                <w:sz w:val="22"/>
                <w:szCs w:val="22"/>
                <w:lang w:val="lt-LT"/>
              </w:rPr>
            </w:pPr>
            <w:r w:rsidRPr="00BB0143">
              <w:rPr>
                <w:i/>
                <w:iCs/>
                <w:sz w:val="22"/>
                <w:szCs w:val="22"/>
                <w:lang w:val="lt-LT"/>
              </w:rPr>
              <w:t>Reikalavimas nėra diskriminuojantis dėl rinkoje esamų analizatorių, kurie tenkina šį reikalavimą.</w:t>
            </w:r>
          </w:p>
          <w:p w14:paraId="05EE7679" w14:textId="6007BEE1" w:rsidR="003E5F1F" w:rsidRPr="00E13ADD" w:rsidRDefault="003E5F1F" w:rsidP="003E5F1F">
            <w:pPr>
              <w:spacing w:line="0" w:lineRule="atLeast"/>
              <w:rPr>
                <w:i/>
                <w:iCs/>
                <w:sz w:val="22"/>
                <w:szCs w:val="22"/>
                <w:lang w:val="lt-LT"/>
              </w:rPr>
            </w:pPr>
            <w:r w:rsidRPr="00BB0143">
              <w:rPr>
                <w:i/>
                <w:iCs/>
                <w:sz w:val="22"/>
                <w:szCs w:val="22"/>
                <w:lang w:val="lt-LT"/>
              </w:rPr>
              <w:t>Perkančioji organizacija, įvertinusi siūlomus pakeitimus, nusprendė, kad techninės specifikacijos reikalavimas: „Tyrimui atlikti pakankamas mėginio tūris – ne daugiau kaip 20 µl“ keičiamas nebus.</w:t>
            </w:r>
          </w:p>
        </w:tc>
      </w:tr>
      <w:tr w:rsidR="003E5F1F" w:rsidRPr="00745551" w14:paraId="7148C6D5" w14:textId="77777777" w:rsidTr="008D7DF6">
        <w:tc>
          <w:tcPr>
            <w:tcW w:w="756" w:type="dxa"/>
          </w:tcPr>
          <w:p w14:paraId="7724373D" w14:textId="33AAD2D8" w:rsidR="003E5F1F" w:rsidRPr="00BB0143" w:rsidRDefault="003E5F1F" w:rsidP="003E5F1F">
            <w:pPr>
              <w:pStyle w:val="Pagrindinistekstas"/>
              <w:spacing w:after="0"/>
              <w:jc w:val="both"/>
              <w:rPr>
                <w:rFonts w:eastAsia="Calibri"/>
                <w:sz w:val="22"/>
                <w:szCs w:val="22"/>
                <w:lang w:val="lt-LT" w:eastAsia="ja-JP" w:bidi="lt-LT"/>
              </w:rPr>
            </w:pPr>
            <w:r>
              <w:rPr>
                <w:rFonts w:eastAsia="Calibri"/>
                <w:sz w:val="22"/>
                <w:szCs w:val="22"/>
                <w:lang w:val="lt-LT" w:eastAsia="ja-JP" w:bidi="lt-LT"/>
              </w:rPr>
              <w:lastRenderedPageBreak/>
              <w:t>9.</w:t>
            </w:r>
          </w:p>
        </w:tc>
        <w:tc>
          <w:tcPr>
            <w:tcW w:w="7896" w:type="dxa"/>
          </w:tcPr>
          <w:p w14:paraId="2EB1D619" w14:textId="6A435F10" w:rsidR="003E5F1F" w:rsidRPr="00BB0143" w:rsidRDefault="003E5F1F" w:rsidP="003E5F1F">
            <w:pPr>
              <w:spacing w:line="256" w:lineRule="auto"/>
              <w:contextualSpacing/>
              <w:jc w:val="both"/>
              <w:rPr>
                <w:rFonts w:eastAsia="Aptos"/>
                <w:kern w:val="2"/>
                <w:sz w:val="22"/>
                <w:szCs w:val="22"/>
                <w:lang w:val="lt-LT" w:eastAsia="en-US"/>
                <w14:ligatures w14:val="standardContextual"/>
              </w:rPr>
            </w:pPr>
            <w:r>
              <w:rPr>
                <w:rFonts w:eastAsia="Aptos"/>
                <w:kern w:val="2"/>
                <w:sz w:val="22"/>
                <w:szCs w:val="22"/>
                <w:lang w:val="lt-LT"/>
                <w14:ligatures w14:val="standardContextual"/>
              </w:rPr>
              <w:t xml:space="preserve">Dėl 6.2.7. p. </w:t>
            </w:r>
            <w:r w:rsidRPr="00BB0143">
              <w:rPr>
                <w:rFonts w:eastAsia="Aptos"/>
                <w:kern w:val="2"/>
                <w:sz w:val="22"/>
                <w:szCs w:val="22"/>
                <w:lang w:val="lt-LT"/>
                <w14:ligatures w14:val="standardContextual"/>
              </w:rPr>
              <w:t xml:space="preserve">Prašome reikalavimą nurodyti kaip „Pageidautina“. </w:t>
            </w:r>
          </w:p>
          <w:p w14:paraId="776F40BD" w14:textId="77777777" w:rsidR="003E5F1F" w:rsidRPr="00BB0143" w:rsidRDefault="003E5F1F" w:rsidP="003E5F1F">
            <w:pPr>
              <w:tabs>
                <w:tab w:val="left" w:pos="436"/>
              </w:tabs>
              <w:spacing w:line="256" w:lineRule="auto"/>
              <w:ind w:right="130"/>
              <w:jc w:val="both"/>
              <w:rPr>
                <w:rFonts w:eastAsia="Aptos"/>
                <w:kern w:val="2"/>
                <w:sz w:val="22"/>
                <w:szCs w:val="22"/>
                <w:lang w:val="lt-LT" w:eastAsia="en-US"/>
                <w14:ligatures w14:val="standardContextual"/>
              </w:rPr>
            </w:pPr>
            <w:r w:rsidRPr="00BB0143">
              <w:rPr>
                <w:rFonts w:eastAsia="Aptos"/>
                <w:kern w:val="2"/>
                <w:sz w:val="22"/>
                <w:szCs w:val="22"/>
                <w:lang w:val="lt-LT"/>
                <w14:ligatures w14:val="standardContextual"/>
              </w:rPr>
              <w:t>Jei Perkančioji organizacija nuspręstu nekoreguoti techninio parametro prašome:</w:t>
            </w:r>
          </w:p>
          <w:p w14:paraId="021393B1" w14:textId="77777777" w:rsidR="003E5F1F" w:rsidRPr="00BB0143" w:rsidRDefault="003E5F1F" w:rsidP="003E5F1F">
            <w:pPr>
              <w:numPr>
                <w:ilvl w:val="0"/>
                <w:numId w:val="1"/>
              </w:numPr>
              <w:tabs>
                <w:tab w:val="left" w:pos="436"/>
              </w:tabs>
              <w:spacing w:line="256" w:lineRule="auto"/>
              <w:ind w:left="0" w:firstLine="0"/>
              <w:contextualSpacing/>
              <w:jc w:val="both"/>
              <w:rPr>
                <w:rFonts w:eastAsia="Calibri"/>
                <w:kern w:val="2"/>
                <w:sz w:val="22"/>
                <w:szCs w:val="22"/>
                <w:lang w:val="lt-LT" w:eastAsia="en-US"/>
                <w14:ligatures w14:val="standardContextual"/>
              </w:rPr>
            </w:pPr>
            <w:r w:rsidRPr="00BB0143">
              <w:rPr>
                <w:rFonts w:eastAsia="Aptos"/>
                <w:kern w:val="2"/>
                <w:sz w:val="22"/>
                <w:szCs w:val="22"/>
                <w:lang w:val="lt-LT"/>
                <w14:ligatures w14:val="standardContextual"/>
              </w:rPr>
              <w:t xml:space="preserve">leisti siūlyti lygiavertį sprendimą, siūlant analizatorių su papildoma programine įranga, kuri per laboratorijos informacinės sistemos (LIS) įrankius automatiškai atliks CRB rezultatų korekciją pagal žinomas paciento hematokrito, amžiaus, lyties reikšmes, užtikrindama tikslų ir patikimą tyrimo rezultatą. </w:t>
            </w:r>
            <w:r w:rsidRPr="00BB0143">
              <w:rPr>
                <w:rFonts w:eastAsia="Calibri"/>
                <w:kern w:val="2"/>
                <w:sz w:val="22"/>
                <w:szCs w:val="22"/>
                <w:lang w:val="lt-LT"/>
                <w14:ligatures w14:val="standardContextual"/>
              </w:rPr>
              <w:t>Koreguoti CRB tyrimo rezultatai bus automatiškai išsaugomi ir bus prieinami per LIS ar kitą pasirinktą duomenų valdymo platformą. Koreguoti duomenys bus pateikiami realiu laiku, taip užtikrinant greitą ir efektyvų tyrimų rezultatų interpretavimą.</w:t>
            </w:r>
          </w:p>
          <w:p w14:paraId="144631E0" w14:textId="77777777" w:rsidR="003E5F1F" w:rsidRPr="00BB0143" w:rsidRDefault="003E5F1F" w:rsidP="003E5F1F">
            <w:pPr>
              <w:tabs>
                <w:tab w:val="left" w:pos="436"/>
              </w:tabs>
              <w:spacing w:line="256" w:lineRule="auto"/>
              <w:ind w:right="130"/>
              <w:jc w:val="both"/>
              <w:rPr>
                <w:rFonts w:eastAsia="Aptos"/>
                <w:kern w:val="2"/>
                <w:sz w:val="22"/>
                <w:szCs w:val="22"/>
                <w:lang w:val="lt-LT" w:eastAsia="en-US"/>
                <w14:ligatures w14:val="standardContextual"/>
              </w:rPr>
            </w:pPr>
            <w:r w:rsidRPr="00BB0143">
              <w:rPr>
                <w:rFonts w:eastAsia="Aptos"/>
                <w:kern w:val="2"/>
                <w:sz w:val="22"/>
                <w:szCs w:val="22"/>
                <w:lang w:val="lt-LT"/>
                <w14:ligatures w14:val="standardContextual"/>
              </w:rPr>
              <w:t>ir/arba</w:t>
            </w:r>
          </w:p>
          <w:p w14:paraId="63F41AC4" w14:textId="77777777" w:rsidR="003E5F1F" w:rsidRPr="00BB0143" w:rsidRDefault="003E5F1F" w:rsidP="003E5F1F">
            <w:pPr>
              <w:jc w:val="both"/>
              <w:rPr>
                <w:rFonts w:eastAsia="Calibri"/>
                <w:kern w:val="2"/>
                <w:sz w:val="22"/>
                <w:szCs w:val="22"/>
                <w:lang w:val="lt-LT" w:eastAsia="en-US"/>
                <w14:ligatures w14:val="standardContextual"/>
              </w:rPr>
            </w:pPr>
            <w:r w:rsidRPr="00BB0143">
              <w:rPr>
                <w:rFonts w:eastAsia="Calibri"/>
                <w:kern w:val="2"/>
                <w:sz w:val="22"/>
                <w:szCs w:val="22"/>
                <w:lang w:val="lt-LT"/>
                <w14:ligatures w14:val="standardContextual"/>
              </w:rPr>
              <w:t>įtraukti kaip kokybės vertinimo kriterijų, pagal kurį būtų skiriami ekonominio naudingumo balai, tačiau jis nebūtų privalomas</w:t>
            </w:r>
            <w:r w:rsidRPr="00BB0143">
              <w:rPr>
                <w:rFonts w:eastAsia="Calibri"/>
                <w:kern w:val="2"/>
                <w:sz w:val="22"/>
                <w:szCs w:val="22"/>
                <w:lang w:val="lt-LT" w:eastAsia="en-US"/>
                <w14:ligatures w14:val="standardContextual"/>
              </w:rPr>
              <w:t>.</w:t>
            </w:r>
          </w:p>
          <w:p w14:paraId="26B3BA7B" w14:textId="77777777" w:rsidR="003E5F1F" w:rsidRPr="00BB0143" w:rsidRDefault="003E5F1F" w:rsidP="003E5F1F">
            <w:pPr>
              <w:jc w:val="both"/>
              <w:rPr>
                <w:rFonts w:eastAsia="Calibri"/>
                <w:kern w:val="2"/>
                <w:sz w:val="22"/>
                <w:szCs w:val="22"/>
                <w:lang w:val="lt-LT" w:eastAsia="en-US"/>
                <w14:ligatures w14:val="standardContextual"/>
              </w:rPr>
            </w:pPr>
          </w:p>
          <w:p w14:paraId="5805BC07" w14:textId="77777777" w:rsidR="003E5F1F" w:rsidRPr="007B3CC6" w:rsidRDefault="003E5F1F" w:rsidP="003E5F1F">
            <w:pPr>
              <w:jc w:val="both"/>
              <w:rPr>
                <w:rStyle w:val="Grietas"/>
                <w:rFonts w:eastAsiaTheme="majorEastAsia"/>
                <w:b w:val="0"/>
                <w:bCs w:val="0"/>
                <w:sz w:val="22"/>
                <w:szCs w:val="22"/>
                <w:u w:val="single"/>
                <w:lang w:val="lt-LT"/>
              </w:rPr>
            </w:pPr>
            <w:r w:rsidRPr="007B3CC6">
              <w:rPr>
                <w:sz w:val="22"/>
                <w:szCs w:val="22"/>
                <w:lang w:val="lt-LT"/>
              </w:rPr>
              <w:t xml:space="preserve">Šis reikalavimas yra </w:t>
            </w:r>
            <w:r w:rsidRPr="007B3CC6">
              <w:rPr>
                <w:rStyle w:val="Grietas"/>
                <w:rFonts w:eastAsiaTheme="majorEastAsia"/>
                <w:sz w:val="22"/>
                <w:szCs w:val="22"/>
                <w:lang w:val="lt-LT"/>
              </w:rPr>
              <w:t>nepagrįstas mediciniškai ir ribojantis konkurenciją</w:t>
            </w:r>
            <w:r w:rsidRPr="007B3CC6">
              <w:rPr>
                <w:sz w:val="22"/>
                <w:szCs w:val="22"/>
                <w:lang w:val="lt-LT"/>
              </w:rPr>
              <w:t xml:space="preserve">. Jis galimai pritaikytas vienam konkrečiam tiekėjui (gamintojui) – </w:t>
            </w:r>
            <w:r w:rsidRPr="007B3CC6">
              <w:rPr>
                <w:sz w:val="22"/>
                <w:szCs w:val="22"/>
                <w:u w:val="single"/>
                <w:lang w:val="lt-LT"/>
              </w:rPr>
              <w:t xml:space="preserve">šiuo metu bent </w:t>
            </w:r>
            <w:r w:rsidRPr="007B3CC6">
              <w:rPr>
                <w:rStyle w:val="Grietas"/>
                <w:rFonts w:eastAsiaTheme="majorEastAsia"/>
                <w:sz w:val="22"/>
                <w:szCs w:val="22"/>
                <w:u w:val="single"/>
                <w:lang w:val="lt-LT"/>
              </w:rPr>
              <w:t>trijų realių gamintojų įranga neatitinka techninės specifikacijos visumos.</w:t>
            </w:r>
          </w:p>
          <w:p w14:paraId="6F0B2CFC" w14:textId="77777777" w:rsidR="003E5F1F" w:rsidRPr="007B3CC6" w:rsidRDefault="003E5F1F" w:rsidP="003E5F1F">
            <w:pPr>
              <w:jc w:val="both"/>
              <w:rPr>
                <w:sz w:val="22"/>
                <w:szCs w:val="22"/>
                <w:lang w:val="lt-LT"/>
              </w:rPr>
            </w:pPr>
            <w:r w:rsidRPr="007B3CC6">
              <w:rPr>
                <w:sz w:val="22"/>
                <w:szCs w:val="22"/>
                <w:lang w:val="lt-LT"/>
              </w:rPr>
              <w:t>Klinikinėje praktikoje didžioji dauguma pacientų hematokrito reikšmės svyruoja nuo 30 iki 50 %. Vertės žemiau ar virš  būdingos sunkios būklės pacientams, kuriems greitasis CRB testas nebėra pakankamas diagnostinis metodas, o reikalingas išplėstinis laboratorinis ištyrimas. Todėl reikalauti, kad analizatorius koreguotų rezultatą visame 15–75 % HCT intervale, yra perteklinis ir neadekvatus šio tipo tyrimo paskirčiai.</w:t>
            </w:r>
          </w:p>
          <w:p w14:paraId="1AC9B496" w14:textId="77777777" w:rsidR="003E5F1F" w:rsidRPr="007B3CC6" w:rsidRDefault="003E5F1F" w:rsidP="003E5F1F">
            <w:pPr>
              <w:jc w:val="both"/>
              <w:rPr>
                <w:sz w:val="22"/>
                <w:szCs w:val="22"/>
                <w:lang w:val="lt-LT"/>
              </w:rPr>
            </w:pPr>
            <w:r w:rsidRPr="007B3CC6">
              <w:rPr>
                <w:sz w:val="22"/>
                <w:szCs w:val="22"/>
                <w:lang w:val="lt-LT"/>
              </w:rPr>
              <w:t xml:space="preserve">Mūsų siūlomas analizatorius koreguoja pagal 40 % HCT – tai pagrįstas sprendimas, nes analizatorius kalibruotas pagal statistiškai pagrįstą suaugusiojo HCT vidurkį (apie 40 %), kuris atitinka tiek profilaktinio, tiek bendrojo pirminio ištyrimo poreikius. Esant </w:t>
            </w:r>
            <w:r w:rsidRPr="007B3CC6">
              <w:rPr>
                <w:sz w:val="22"/>
                <w:szCs w:val="22"/>
                <w:lang w:val="lt-LT"/>
              </w:rPr>
              <w:lastRenderedPageBreak/>
              <w:t xml:space="preserve">poreikiui, korekcija gali būti atlikta per LIS sistemą pagal paciento HCT reikšmę ar kitus duomenis. Šis sprendimas užtikrina kliniškai pakankamą tikslumą, ypač atsižvelgiant į tai, kad analizatoriaus matavimo ribos </w:t>
            </w:r>
            <w:r w:rsidRPr="007B3CC6">
              <w:rPr>
                <w:b/>
                <w:bCs/>
                <w:sz w:val="22"/>
                <w:szCs w:val="22"/>
                <w:lang w:val="lt-LT"/>
              </w:rPr>
              <w:t>yra tik 5–200 mg/L,</w:t>
            </w:r>
            <w:r w:rsidRPr="007B3CC6">
              <w:rPr>
                <w:sz w:val="22"/>
                <w:szCs w:val="22"/>
                <w:lang w:val="lt-LT"/>
              </w:rPr>
              <w:t xml:space="preserve"> o esant reikšmingam HCT nukrypimui, rezultatai vis tiek reikalauja papildomos laboratorinės analizės, o automatinė korekcija nebeužtikrina informatyvumo.</w:t>
            </w:r>
          </w:p>
          <w:p w14:paraId="04F6C302" w14:textId="77777777" w:rsidR="003E5F1F" w:rsidRPr="007B3CC6" w:rsidRDefault="003E5F1F" w:rsidP="003E5F1F">
            <w:pPr>
              <w:jc w:val="both"/>
              <w:rPr>
                <w:sz w:val="22"/>
                <w:szCs w:val="22"/>
                <w:lang w:val="lt-LT"/>
              </w:rPr>
            </w:pPr>
            <w:r w:rsidRPr="007B3CC6">
              <w:rPr>
                <w:sz w:val="22"/>
                <w:szCs w:val="22"/>
                <w:lang w:val="lt-LT"/>
              </w:rPr>
              <w:t>Perkamas CRB testas nėra galutinė diagnostinė priemonė</w:t>
            </w:r>
            <w:r w:rsidRPr="007B3CC6">
              <w:rPr>
                <w:sz w:val="22"/>
                <w:szCs w:val="22"/>
                <w:lang w:val="lt-LT"/>
              </w:rPr>
              <w:br/>
              <w:t>Šie tyrimai skirti pirminiam ištyrimui, orientaciniam vertinimui. Jei gydytojas įtaria reikšmingą HCT nukrypimą (pvz., vaikams, pagyvenusiems, onkologiniams pacientams), jis visada papildomai paskiria bendrą kraujo tyrimą su HCT, pakartotinį CRB vertinimą laboratorijoje ar kitus papildomus tyrimus pagal kliniką. Todėl tokiais atvejais net ir turint automatinę korekciją, klinikinė sprendimų priėmimo eiga nesikeičia – tai negali būti lemiamas kriterijus.</w:t>
            </w:r>
          </w:p>
          <w:p w14:paraId="09A3C79F" w14:textId="77777777" w:rsidR="003E5F1F" w:rsidRPr="00BB0143" w:rsidRDefault="003E5F1F" w:rsidP="003E5F1F">
            <w:pPr>
              <w:jc w:val="both"/>
              <w:rPr>
                <w:sz w:val="22"/>
                <w:szCs w:val="22"/>
                <w:lang w:val="lt-LT"/>
              </w:rPr>
            </w:pPr>
            <w:r w:rsidRPr="00BB0143">
              <w:rPr>
                <w:sz w:val="22"/>
                <w:szCs w:val="22"/>
                <w:lang w:val="lt-LT"/>
              </w:rPr>
              <w:t>Jei perkančioji organizacija visgi nuspręstų nekeisti parametro, tuomet prašome numatyti šias alternatyvas:</w:t>
            </w:r>
          </w:p>
          <w:p w14:paraId="6B2DD276" w14:textId="77777777" w:rsidR="003E5F1F" w:rsidRPr="00BB0143" w:rsidRDefault="003E5F1F" w:rsidP="003E5F1F">
            <w:pPr>
              <w:jc w:val="both"/>
              <w:rPr>
                <w:sz w:val="22"/>
                <w:szCs w:val="22"/>
                <w:lang w:val="lt-LT"/>
              </w:rPr>
            </w:pPr>
            <w:r w:rsidRPr="00BB0143">
              <w:rPr>
                <w:sz w:val="22"/>
                <w:szCs w:val="22"/>
                <w:lang w:val="lt-LT"/>
              </w:rPr>
              <w:t>Leisti siūlyti lygiavertį sprendimą – analizatorių, kuris koreguoja pagal vidutinę HCT reikšmę (apie 40 %) ir/arba turi LIS sąsają, leidžiančią atlikti korekciją pagal žinomą paciento HCT, amžių, lytį. Koreguoti rezultatai būtų automatiškai išsaugomi, pateikiami realiu laiku, užtikrinant kokybišką interpretavimą.</w:t>
            </w:r>
          </w:p>
          <w:p w14:paraId="57EFDF71" w14:textId="77777777" w:rsidR="003E5F1F" w:rsidRPr="00BB0143" w:rsidRDefault="003E5F1F" w:rsidP="003E5F1F">
            <w:pPr>
              <w:jc w:val="both"/>
              <w:rPr>
                <w:sz w:val="22"/>
                <w:szCs w:val="22"/>
                <w:lang w:val="lt-LT"/>
              </w:rPr>
            </w:pPr>
            <w:r w:rsidRPr="00BB0143">
              <w:rPr>
                <w:sz w:val="22"/>
                <w:szCs w:val="22"/>
                <w:lang w:val="lt-LT"/>
              </w:rPr>
              <w:t>Perkelti reikalavimą į ekonominio naudingumo vertinimo kriterijus, už kurį skiriami papildomi balai, tačiau kuris nebūtų privalomas. Tai užtikrintų objektyvų ir proporcingą tiekėjų vertinimą.</w:t>
            </w:r>
          </w:p>
          <w:p w14:paraId="43680A28" w14:textId="285BE584" w:rsidR="003E5F1F" w:rsidRPr="00BB0143" w:rsidRDefault="003E5F1F" w:rsidP="003E5F1F">
            <w:pPr>
              <w:pStyle w:val="Pagrindinistekstas"/>
              <w:spacing w:after="0"/>
              <w:jc w:val="both"/>
              <w:rPr>
                <w:rFonts w:eastAsia="Calibri"/>
                <w:sz w:val="22"/>
                <w:szCs w:val="22"/>
                <w:lang w:val="lt-LT" w:eastAsia="ja-JP" w:bidi="lt-LT"/>
              </w:rPr>
            </w:pPr>
            <w:r w:rsidRPr="00BB0143">
              <w:rPr>
                <w:sz w:val="22"/>
                <w:szCs w:val="22"/>
                <w:lang w:val="lt-LT"/>
              </w:rPr>
              <w:br/>
            </w:r>
            <w:r w:rsidRPr="007B3CC6">
              <w:rPr>
                <w:sz w:val="22"/>
                <w:szCs w:val="22"/>
                <w:lang w:val="lt-LT"/>
              </w:rPr>
              <w:t>Prašome išlaikyti techninės specifikacijos lankstumą ir atitikti VPĮ reikalavimus, kad nebūtų nepagrįstai ribojama konkurencija ir būtų leista dalyvauti daugiau tiekėjų, siūlančių kliniškai tinkamus sprendimus.</w:t>
            </w:r>
          </w:p>
        </w:tc>
        <w:tc>
          <w:tcPr>
            <w:tcW w:w="4298" w:type="dxa"/>
          </w:tcPr>
          <w:p w14:paraId="01AA908E" w14:textId="442A4EBA" w:rsidR="003E5F1F" w:rsidRPr="00BB0143" w:rsidRDefault="003E5F1F" w:rsidP="003E5F1F">
            <w:pPr>
              <w:rPr>
                <w:i/>
                <w:iCs/>
                <w:sz w:val="22"/>
                <w:szCs w:val="22"/>
                <w:lang w:val="lt-LT"/>
              </w:rPr>
            </w:pPr>
            <w:r w:rsidRPr="00BB0143">
              <w:rPr>
                <w:i/>
                <w:iCs/>
                <w:sz w:val="22"/>
                <w:szCs w:val="22"/>
                <w:lang w:val="lt-LT"/>
              </w:rPr>
              <w:lastRenderedPageBreak/>
              <w:t>CRB tyrimų tikslumui hematokrito reikšmė turi esminę įtaką, ypač kai tyrimas atliekamas iš kraujo. HCT reikšmė tiesiogiai veikia plazmos tūrį, todėl netiksli korekcija gali lemti kliniškai reikšmingus nukrypimus. Kalibravimas pagal vidutinę HCT reikšmę (pvz., 40 %) neatitinka individualizuotos medicinos principų – jis leidžia daryti prielaidą apie „tipinį pacientą“, tačiau ignoruoja reikšmingus fiziologinius svyravimus vaikų, senyvo amžiaus ar onkologinių pacientų grupėse, todėl korekcija tik pagal vidutinę reikšmę (pvz., 40 %) nelaikoma lygiaverte.</w:t>
            </w:r>
            <w:r w:rsidRPr="00BB0143">
              <w:rPr>
                <w:i/>
                <w:iCs/>
                <w:sz w:val="22"/>
                <w:szCs w:val="22"/>
                <w:lang w:val="lt-LT"/>
              </w:rPr>
              <w:br/>
              <w:t>Korekcijos atlikimas LIS sistemoje nėra lygiavertis integruotai HCT korekcijai matavimo metu, nes CRB tyrimai atliekami ir be hematologinio tyrimo, todėl be HCT reikšmės CRB rezultato koreguoti</w:t>
            </w:r>
            <w:r>
              <w:rPr>
                <w:i/>
                <w:iCs/>
                <w:sz w:val="22"/>
                <w:szCs w:val="22"/>
                <w:lang w:val="lt-LT"/>
              </w:rPr>
              <w:t xml:space="preserve"> </w:t>
            </w:r>
            <w:r w:rsidRPr="00BB0143">
              <w:rPr>
                <w:i/>
                <w:iCs/>
                <w:sz w:val="22"/>
                <w:szCs w:val="22"/>
                <w:lang w:val="lt-LT"/>
              </w:rPr>
              <w:t xml:space="preserve">neįmanoma. Reikalavimas automatiškai taikyti korekciją yra objektyviai susijęs su pirkimo tikslu – užtikrinti kuo tikslesnį rezultatą visais atvejais, nepriklausomai nuo paciento būklės. Reikalavimas nėra </w:t>
            </w:r>
            <w:r w:rsidRPr="00BB0143">
              <w:rPr>
                <w:i/>
                <w:iCs/>
                <w:sz w:val="22"/>
                <w:szCs w:val="22"/>
                <w:lang w:val="lt-LT"/>
              </w:rPr>
              <w:lastRenderedPageBreak/>
              <w:t>perteklinis – perkančioji organizacija žino mažiausiai tris, CE ženklu pažymėtus analizatorius, atitinkančius IVDR, turinčius tokias galimybes, todėl jis nėra ribojantis konkurenciją, bet atspindi aukštesnės kokybės lygį.</w:t>
            </w:r>
          </w:p>
          <w:p w14:paraId="07785B1A" w14:textId="0B86E6AC" w:rsidR="003E5F1F" w:rsidRPr="00BB0143" w:rsidRDefault="003E5F1F" w:rsidP="003E5F1F">
            <w:pPr>
              <w:rPr>
                <w:i/>
                <w:iCs/>
                <w:sz w:val="22"/>
                <w:szCs w:val="22"/>
                <w:lang w:val="lt-LT"/>
              </w:rPr>
            </w:pPr>
            <w:r w:rsidRPr="00BB0143">
              <w:rPr>
                <w:i/>
                <w:iCs/>
                <w:sz w:val="22"/>
                <w:szCs w:val="22"/>
                <w:lang w:val="lt-LT"/>
              </w:rPr>
              <w:t xml:space="preserve">Perkančioji organizacija, atsižvelgdama į pirkimo tikslą – įsigyti sprendimą, kuris užtikrintų aukščiausią tyrimų tikslumą kuo įvairesnėmis klinikinėmis </w:t>
            </w:r>
            <w:r w:rsidRPr="00412A0C">
              <w:rPr>
                <w:i/>
                <w:iCs/>
                <w:sz w:val="22"/>
                <w:szCs w:val="22"/>
                <w:lang w:val="lt-LT"/>
              </w:rPr>
              <w:t xml:space="preserve">sąlygomis bei remdamasi rinkos informacija, kad yra 3 gamintojai atitinkantys šį reikalavimą, </w:t>
            </w:r>
            <w:r w:rsidRPr="00BB0143">
              <w:rPr>
                <w:i/>
                <w:iCs/>
                <w:sz w:val="22"/>
                <w:szCs w:val="22"/>
                <w:lang w:val="lt-LT"/>
              </w:rPr>
              <w:t>nusprendė, kad techninės specifikacijos reikalavimas dėl automatinės hematokrito korekcijos 15–75 % intervale lieka nepakeistas, ekonominio naudingumo kriterijumi šis reikalavimas perkeltas nebus, nes tai yra esminė funkcionalumo sąlyga.</w:t>
            </w:r>
          </w:p>
          <w:p w14:paraId="095A890F" w14:textId="77777777" w:rsidR="003E5F1F" w:rsidRPr="00BB0143" w:rsidRDefault="003E5F1F" w:rsidP="003E5F1F">
            <w:pPr>
              <w:pStyle w:val="Pagrindinistekstas"/>
              <w:spacing w:after="0"/>
              <w:jc w:val="both"/>
              <w:rPr>
                <w:rFonts w:eastAsia="Calibri"/>
                <w:sz w:val="22"/>
                <w:szCs w:val="22"/>
                <w:lang w:val="lt-LT" w:eastAsia="ja-JP" w:bidi="lt-LT"/>
              </w:rPr>
            </w:pPr>
          </w:p>
        </w:tc>
      </w:tr>
      <w:tr w:rsidR="003E5F1F" w:rsidRPr="00BB0143" w14:paraId="07A06D17" w14:textId="77777777" w:rsidTr="008D7DF6">
        <w:tc>
          <w:tcPr>
            <w:tcW w:w="756" w:type="dxa"/>
          </w:tcPr>
          <w:p w14:paraId="09AD8787" w14:textId="629711AD" w:rsidR="003E5F1F" w:rsidRPr="00BB0143" w:rsidRDefault="003E5F1F" w:rsidP="003E5F1F">
            <w:pPr>
              <w:pStyle w:val="Pagrindinistekstas"/>
              <w:spacing w:after="0"/>
              <w:jc w:val="both"/>
              <w:rPr>
                <w:rFonts w:eastAsia="Calibri"/>
                <w:sz w:val="22"/>
                <w:szCs w:val="22"/>
                <w:lang w:val="lt-LT" w:eastAsia="ja-JP" w:bidi="lt-LT"/>
              </w:rPr>
            </w:pPr>
            <w:r>
              <w:rPr>
                <w:rFonts w:eastAsia="Calibri"/>
                <w:sz w:val="22"/>
                <w:szCs w:val="22"/>
                <w:lang w:val="lt-LT" w:eastAsia="ja-JP" w:bidi="lt-LT"/>
              </w:rPr>
              <w:lastRenderedPageBreak/>
              <w:t>10.</w:t>
            </w:r>
          </w:p>
        </w:tc>
        <w:tc>
          <w:tcPr>
            <w:tcW w:w="7896" w:type="dxa"/>
          </w:tcPr>
          <w:p w14:paraId="61350342" w14:textId="29773704" w:rsidR="003E5F1F" w:rsidRPr="008559BE" w:rsidRDefault="003E5F1F" w:rsidP="003E5F1F">
            <w:pPr>
              <w:pStyle w:val="Pagrindinistekstas"/>
              <w:spacing w:after="0"/>
              <w:jc w:val="both"/>
              <w:rPr>
                <w:rFonts w:eastAsia="Calibri"/>
                <w:sz w:val="22"/>
                <w:szCs w:val="22"/>
                <w:lang w:val="lt-LT" w:eastAsia="ja-JP" w:bidi="lt-LT"/>
              </w:rPr>
            </w:pPr>
            <w:r w:rsidRPr="008559BE">
              <w:rPr>
                <w:rFonts w:eastAsia="Calibri"/>
                <w:sz w:val="22"/>
                <w:szCs w:val="22"/>
                <w:lang w:val="lt-LT" w:eastAsia="ja-JP" w:bidi="lt-LT"/>
              </w:rPr>
              <w:t xml:space="preserve">Dėl 8.2.2. p. </w:t>
            </w:r>
            <w:r w:rsidRPr="008559BE">
              <w:rPr>
                <w:sz w:val="22"/>
                <w:szCs w:val="22"/>
                <w:lang w:val="lt-LT"/>
              </w:rPr>
              <w:t>Siūlome iš šio reikalavimų punkto pašalinti PDW, PCT, P-LCR, P-LCC, LIC(#,%) parametrus remiantis 2021 spalio 18 d. Lietuvos Respublikos sveikatos apsaugos ministro įsakymu Nr. V-2341 Dėl klinikinių laboratorinių tyrimų nomenklatūros patvirtinimo, kuriame Bendro hematologinio tyrimo su leukocitų diferencijavimu parametrų sąraše šie parametrai nurodomi kaip papildomi (nebūtini).</w:t>
            </w:r>
          </w:p>
        </w:tc>
        <w:tc>
          <w:tcPr>
            <w:tcW w:w="4298" w:type="dxa"/>
          </w:tcPr>
          <w:p w14:paraId="49CAE42D" w14:textId="7331DA1A" w:rsidR="003E5F1F" w:rsidRPr="004351C8" w:rsidRDefault="003E5F1F" w:rsidP="003E5F1F">
            <w:pPr>
              <w:rPr>
                <w:i/>
                <w:iCs/>
                <w:sz w:val="22"/>
                <w:szCs w:val="22"/>
                <w:lang w:val="lt-LT"/>
              </w:rPr>
            </w:pPr>
            <w:r w:rsidRPr="00BB0143">
              <w:rPr>
                <w:i/>
                <w:iCs/>
                <w:sz w:val="22"/>
                <w:szCs w:val="22"/>
                <w:lang w:val="lt-LT"/>
              </w:rPr>
              <w:t>Reikalavimas nėra perteklinis –</w:t>
            </w:r>
            <w:r>
              <w:rPr>
                <w:i/>
                <w:iCs/>
                <w:sz w:val="22"/>
                <w:szCs w:val="22"/>
                <w:lang w:val="lt-LT"/>
              </w:rPr>
              <w:t xml:space="preserve"> reikalavimą atitinka 3 ir daugiau gamintojų</w:t>
            </w:r>
            <w:r w:rsidRPr="00BB0143">
              <w:rPr>
                <w:i/>
                <w:iCs/>
                <w:sz w:val="22"/>
                <w:szCs w:val="22"/>
                <w:lang w:val="lt-LT"/>
              </w:rPr>
              <w:t>, todėl jis nėra ribojantis konkurenciją</w:t>
            </w:r>
            <w:r>
              <w:rPr>
                <w:i/>
                <w:iCs/>
                <w:sz w:val="22"/>
                <w:szCs w:val="22"/>
                <w:lang w:val="lt-LT"/>
              </w:rPr>
              <w:t>. Gydymo įstaiga pasirenka matuoti tuos parametrus, kurių jai reikia.</w:t>
            </w:r>
          </w:p>
        </w:tc>
      </w:tr>
      <w:tr w:rsidR="003E5F1F" w:rsidRPr="00745551" w14:paraId="7FBA4407" w14:textId="77777777" w:rsidTr="008D7DF6">
        <w:tc>
          <w:tcPr>
            <w:tcW w:w="756" w:type="dxa"/>
          </w:tcPr>
          <w:p w14:paraId="15635D3B" w14:textId="5E3EADEE" w:rsidR="003E5F1F" w:rsidRPr="00BB0143" w:rsidRDefault="003E5F1F" w:rsidP="003E5F1F">
            <w:pPr>
              <w:pStyle w:val="Pagrindinistekstas"/>
              <w:spacing w:after="0"/>
              <w:jc w:val="both"/>
              <w:rPr>
                <w:rFonts w:eastAsia="Calibri"/>
                <w:sz w:val="22"/>
                <w:szCs w:val="22"/>
                <w:lang w:val="lt-LT" w:eastAsia="ja-JP" w:bidi="lt-LT"/>
              </w:rPr>
            </w:pPr>
            <w:r>
              <w:rPr>
                <w:rFonts w:eastAsia="Calibri"/>
                <w:sz w:val="22"/>
                <w:szCs w:val="22"/>
                <w:lang w:val="lt-LT" w:eastAsia="ja-JP" w:bidi="lt-LT"/>
              </w:rPr>
              <w:t>11.</w:t>
            </w:r>
          </w:p>
        </w:tc>
        <w:tc>
          <w:tcPr>
            <w:tcW w:w="7896" w:type="dxa"/>
          </w:tcPr>
          <w:p w14:paraId="1FFC6B11" w14:textId="42AF27E5" w:rsidR="003E5F1F" w:rsidRPr="008559BE" w:rsidRDefault="003E5F1F" w:rsidP="003E5F1F">
            <w:pPr>
              <w:pStyle w:val="Pagrindinistekstas"/>
              <w:spacing w:after="0"/>
              <w:jc w:val="both"/>
              <w:rPr>
                <w:rFonts w:eastAsia="Calibri"/>
                <w:sz w:val="22"/>
                <w:szCs w:val="22"/>
                <w:lang w:val="lt-LT" w:eastAsia="ja-JP" w:bidi="lt-LT"/>
              </w:rPr>
            </w:pPr>
            <w:r w:rsidRPr="008559BE">
              <w:rPr>
                <w:rFonts w:eastAsia="Calibri"/>
                <w:sz w:val="22"/>
                <w:szCs w:val="22"/>
                <w:lang w:val="lt-LT" w:eastAsia="ja-JP" w:bidi="lt-LT"/>
              </w:rPr>
              <w:t xml:space="preserve">Dėl 8.2.7. p. </w:t>
            </w:r>
            <w:r w:rsidRPr="008559BE">
              <w:rPr>
                <w:sz w:val="22"/>
                <w:szCs w:val="22"/>
                <w:lang w:val="lt-LT"/>
              </w:rPr>
              <w:t>Siūlome koreguoti šį reikalavimą ir formuluoti „Informacija apie reagentų likutį“. Reagentų likučio informacija padeda optimaliau planuoti laboratorijos personalo darbą (numatyti, pasiruošti konkretaus reagento keitimui), o informacija apie galimą atlikti tyrimų kiekį visuomet priklauso nuo mažiausio naudojamo reagento likučio.</w:t>
            </w:r>
          </w:p>
        </w:tc>
        <w:tc>
          <w:tcPr>
            <w:tcW w:w="4298" w:type="dxa"/>
          </w:tcPr>
          <w:p w14:paraId="31A41B5B" w14:textId="3798F016" w:rsidR="003E5F1F" w:rsidRPr="00231E79" w:rsidRDefault="003E5F1F" w:rsidP="003E5F1F">
            <w:pPr>
              <w:rPr>
                <w:color w:val="EE0000"/>
                <w:sz w:val="22"/>
                <w:szCs w:val="22"/>
                <w:lang w:val="lt-LT"/>
              </w:rPr>
            </w:pPr>
            <w:r w:rsidRPr="00231E79">
              <w:rPr>
                <w:i/>
                <w:iCs/>
                <w:sz w:val="22"/>
                <w:szCs w:val="22"/>
                <w:lang w:val="lt-LT"/>
              </w:rPr>
              <w:t>Atliktų tyrimų skaičius iš reagentų pakuotės suteikia daugiau informacijos laboratorijos darbuotojui nei informacija apie reagentų likutį, todėl abu reikalavimai yra privalomi.</w:t>
            </w:r>
            <w:r w:rsidRPr="00BB0143">
              <w:rPr>
                <w:i/>
                <w:iCs/>
                <w:sz w:val="22"/>
                <w:szCs w:val="22"/>
                <w:lang w:val="lt-LT"/>
              </w:rPr>
              <w:t xml:space="preserve"> Perkančioji organizacija, įvertinusi siūlomus </w:t>
            </w:r>
            <w:r w:rsidRPr="00BB0143">
              <w:rPr>
                <w:i/>
                <w:iCs/>
                <w:sz w:val="22"/>
                <w:szCs w:val="22"/>
                <w:lang w:val="lt-LT"/>
              </w:rPr>
              <w:lastRenderedPageBreak/>
              <w:t>pakeitimus, nusprendė, kad techninės specifikacijos reikalavimas</w:t>
            </w:r>
            <w:r>
              <w:rPr>
                <w:i/>
                <w:iCs/>
                <w:sz w:val="22"/>
                <w:szCs w:val="22"/>
                <w:lang w:val="lt-LT"/>
              </w:rPr>
              <w:t xml:space="preserve"> nebus keičiamas.</w:t>
            </w:r>
          </w:p>
        </w:tc>
      </w:tr>
      <w:tr w:rsidR="003E5F1F" w:rsidRPr="00745551" w14:paraId="64A72DD6" w14:textId="77777777" w:rsidTr="008D7DF6">
        <w:tc>
          <w:tcPr>
            <w:tcW w:w="756" w:type="dxa"/>
          </w:tcPr>
          <w:p w14:paraId="35B994A4" w14:textId="00D44596" w:rsidR="003E5F1F" w:rsidRPr="00BB0143" w:rsidRDefault="003E5F1F" w:rsidP="003E5F1F">
            <w:pPr>
              <w:pStyle w:val="Pagrindinistekstas"/>
              <w:spacing w:after="0"/>
              <w:jc w:val="both"/>
              <w:rPr>
                <w:rFonts w:eastAsia="Calibri"/>
                <w:sz w:val="22"/>
                <w:szCs w:val="22"/>
                <w:lang w:val="lt-LT" w:eastAsia="ja-JP" w:bidi="lt-LT"/>
              </w:rPr>
            </w:pPr>
            <w:r>
              <w:rPr>
                <w:rFonts w:eastAsia="Calibri"/>
                <w:sz w:val="22"/>
                <w:szCs w:val="22"/>
                <w:lang w:val="lt-LT" w:eastAsia="ja-JP" w:bidi="lt-LT"/>
              </w:rPr>
              <w:lastRenderedPageBreak/>
              <w:t>12.</w:t>
            </w:r>
          </w:p>
        </w:tc>
        <w:tc>
          <w:tcPr>
            <w:tcW w:w="7896" w:type="dxa"/>
          </w:tcPr>
          <w:p w14:paraId="2B882F65" w14:textId="2A495D66" w:rsidR="003E5F1F" w:rsidRPr="008559BE" w:rsidRDefault="003E5F1F" w:rsidP="003E5F1F">
            <w:pPr>
              <w:pStyle w:val="Pagrindinistekstas"/>
              <w:spacing w:after="0"/>
              <w:jc w:val="both"/>
              <w:rPr>
                <w:rFonts w:eastAsia="Calibri"/>
                <w:sz w:val="22"/>
                <w:szCs w:val="22"/>
                <w:lang w:val="lt-LT" w:eastAsia="ja-JP" w:bidi="lt-LT"/>
              </w:rPr>
            </w:pPr>
            <w:r w:rsidRPr="008559BE">
              <w:rPr>
                <w:rFonts w:eastAsia="Calibri"/>
                <w:sz w:val="22"/>
                <w:szCs w:val="22"/>
                <w:lang w:val="lt-LT" w:eastAsia="ja-JP" w:bidi="lt-LT"/>
              </w:rPr>
              <w:t xml:space="preserve">Dėl 8.2.9. p. </w:t>
            </w:r>
            <w:r w:rsidRPr="008559BE">
              <w:rPr>
                <w:sz w:val="22"/>
                <w:szCs w:val="22"/>
                <w:lang w:val="lt-LT"/>
              </w:rPr>
              <w:t>Siūlome šį reikalavimą keisti į „Pageidaujama“. Pagal bendrą reikalaujamą techninę specifikaciją, dažnu atveju šio tipo analizatoriai turi atvirą mėginių paėmimo adatą, kuri neturi funkcijos pradurti mėgintuvėlių kamštelių.</w:t>
            </w:r>
          </w:p>
        </w:tc>
        <w:tc>
          <w:tcPr>
            <w:tcW w:w="4298" w:type="dxa"/>
            <w:vMerge w:val="restart"/>
          </w:tcPr>
          <w:p w14:paraId="74BB8A55" w14:textId="639D6A99" w:rsidR="003E5F1F" w:rsidRPr="00231E79" w:rsidRDefault="003E5F1F" w:rsidP="003E5F1F">
            <w:pPr>
              <w:spacing w:line="0" w:lineRule="atLeast"/>
              <w:rPr>
                <w:i/>
                <w:iCs/>
                <w:sz w:val="22"/>
                <w:szCs w:val="22"/>
                <w:lang w:val="lt-LT"/>
              </w:rPr>
            </w:pPr>
            <w:r>
              <w:rPr>
                <w:i/>
                <w:iCs/>
                <w:sz w:val="22"/>
                <w:szCs w:val="22"/>
                <w:lang w:val="lt-LT"/>
              </w:rPr>
              <w:t>Perkančioji organizacija a</w:t>
            </w:r>
            <w:r w:rsidRPr="00BB0143">
              <w:rPr>
                <w:i/>
                <w:iCs/>
                <w:sz w:val="22"/>
                <w:szCs w:val="22"/>
                <w:lang w:val="lt-LT"/>
              </w:rPr>
              <w:t>tsižvelgdam</w:t>
            </w:r>
            <w:r>
              <w:rPr>
                <w:i/>
                <w:iCs/>
                <w:sz w:val="22"/>
                <w:szCs w:val="22"/>
                <w:lang w:val="lt-LT"/>
              </w:rPr>
              <w:t>a</w:t>
            </w:r>
            <w:r w:rsidRPr="00BB0143">
              <w:rPr>
                <w:i/>
                <w:iCs/>
                <w:sz w:val="22"/>
                <w:szCs w:val="22"/>
                <w:lang w:val="lt-LT"/>
              </w:rPr>
              <w:t xml:space="preserve"> į pateiktą pasiūlymą ir siekdama neužkirsti kelio galim</w:t>
            </w:r>
            <w:r>
              <w:rPr>
                <w:i/>
                <w:iCs/>
                <w:sz w:val="22"/>
                <w:szCs w:val="22"/>
                <w:lang w:val="lt-LT"/>
              </w:rPr>
              <w:t>iems</w:t>
            </w:r>
            <w:r w:rsidRPr="00BB0143">
              <w:rPr>
                <w:i/>
                <w:iCs/>
                <w:sz w:val="22"/>
                <w:szCs w:val="22"/>
                <w:lang w:val="lt-LT"/>
              </w:rPr>
              <w:t xml:space="preserve"> lygiaverčių sprendimų pasiūlymams, sutinka koreguoti techninės specifikacijos reikalavimą ir jį formuluoti taip:</w:t>
            </w:r>
          </w:p>
          <w:p w14:paraId="228F0B09" w14:textId="261AFC14" w:rsidR="003E5F1F" w:rsidRPr="00E13ADD" w:rsidRDefault="003E5F1F" w:rsidP="003E5F1F">
            <w:pPr>
              <w:rPr>
                <w:i/>
                <w:iCs/>
                <w:sz w:val="22"/>
                <w:szCs w:val="22"/>
                <w:lang w:val="lt-LT"/>
              </w:rPr>
            </w:pPr>
            <w:r>
              <w:rPr>
                <w:i/>
                <w:iCs/>
                <w:sz w:val="22"/>
                <w:szCs w:val="22"/>
                <w:lang w:val="lt-LT"/>
              </w:rPr>
              <w:t>„</w:t>
            </w:r>
            <w:r w:rsidRPr="00231E79">
              <w:rPr>
                <w:i/>
                <w:iCs/>
                <w:sz w:val="22"/>
                <w:szCs w:val="22"/>
                <w:lang w:val="lt-LT"/>
              </w:rPr>
              <w:t>Kontrolinio kraujo matavimas atliekamas iš uždarų arba atvirų mėgintuvėlių.</w:t>
            </w:r>
            <w:r>
              <w:rPr>
                <w:i/>
                <w:iCs/>
                <w:sz w:val="22"/>
                <w:szCs w:val="22"/>
                <w:lang w:val="lt-LT"/>
              </w:rPr>
              <w:t>“.</w:t>
            </w:r>
          </w:p>
        </w:tc>
      </w:tr>
      <w:tr w:rsidR="003E5F1F" w:rsidRPr="00745551" w14:paraId="389A8F22" w14:textId="77777777" w:rsidTr="008D7DF6">
        <w:tc>
          <w:tcPr>
            <w:tcW w:w="756" w:type="dxa"/>
          </w:tcPr>
          <w:p w14:paraId="415F7799" w14:textId="2BD81B42" w:rsidR="003E5F1F" w:rsidRPr="00BB0143" w:rsidRDefault="003E5F1F" w:rsidP="003E5F1F">
            <w:pPr>
              <w:pStyle w:val="Pagrindinistekstas"/>
              <w:spacing w:after="0"/>
              <w:jc w:val="both"/>
              <w:rPr>
                <w:rFonts w:eastAsia="Calibri"/>
                <w:sz w:val="22"/>
                <w:szCs w:val="22"/>
                <w:lang w:val="lt-LT" w:eastAsia="ja-JP" w:bidi="lt-LT"/>
              </w:rPr>
            </w:pPr>
            <w:r>
              <w:rPr>
                <w:rFonts w:eastAsia="Calibri"/>
                <w:sz w:val="22"/>
                <w:szCs w:val="22"/>
                <w:lang w:val="lt-LT" w:eastAsia="ja-JP" w:bidi="lt-LT"/>
              </w:rPr>
              <w:t>13.</w:t>
            </w:r>
          </w:p>
        </w:tc>
        <w:tc>
          <w:tcPr>
            <w:tcW w:w="7896" w:type="dxa"/>
          </w:tcPr>
          <w:p w14:paraId="067BF516" w14:textId="7445622E" w:rsidR="003E5F1F" w:rsidRPr="00E13ADD" w:rsidRDefault="003E5F1F" w:rsidP="003E5F1F">
            <w:pPr>
              <w:jc w:val="both"/>
              <w:rPr>
                <w:color w:val="EE0000"/>
                <w:sz w:val="24"/>
                <w:szCs w:val="24"/>
                <w:lang w:val="lt-LT"/>
              </w:rPr>
            </w:pPr>
            <w:r w:rsidRPr="008559BE">
              <w:rPr>
                <w:rFonts w:eastAsia="Calibri"/>
                <w:sz w:val="22"/>
                <w:szCs w:val="22"/>
                <w:lang w:val="lt-LT" w:eastAsia="ja-JP" w:bidi="lt-LT"/>
              </w:rPr>
              <w:t xml:space="preserve">Dėl 8.2.9. </w:t>
            </w:r>
            <w:r w:rsidRPr="007B3CC6">
              <w:rPr>
                <w:rFonts w:eastAsia="Calibri"/>
                <w:sz w:val="22"/>
                <w:szCs w:val="22"/>
                <w:lang w:val="lt-LT" w:eastAsia="ja-JP" w:bidi="lt-LT"/>
              </w:rPr>
              <w:t xml:space="preserve">p. </w:t>
            </w:r>
            <w:r w:rsidRPr="007B3CC6">
              <w:rPr>
                <w:sz w:val="24"/>
                <w:szCs w:val="24"/>
                <w:lang w:val="lt-LT"/>
              </w:rPr>
              <w:t xml:space="preserve">Kontrolinis kraujas atliekamas iš uždarų mėgintuvėlių”, nurodytą punktą prašome naikinti, kadangi manome, kad toks punktas yra perteklinis ir ribojantis konkurenciją tarp tiekėjų. Taip pat Lietuvoje </w:t>
            </w:r>
            <w:r w:rsidRPr="007B3CC6">
              <w:rPr>
                <w:b/>
                <w:sz w:val="24"/>
                <w:szCs w:val="24"/>
                <w:lang w:val="lt-LT"/>
              </w:rPr>
              <w:t xml:space="preserve">Nėra teisinio reikalavimo naudoti tik uždarus mėgintuvėlius. </w:t>
            </w:r>
            <w:r w:rsidRPr="007B3CC6">
              <w:rPr>
                <w:sz w:val="24"/>
                <w:szCs w:val="24"/>
                <w:lang w:val="lt-LT"/>
              </w:rPr>
              <w:t xml:space="preserve">Nei Lietuvos higienos norma (pvz., HN 47:2020), nei ES reglamentai (pvz., IVDR – In Vitro Diagnostic Regulation (EU) 2017/746), </w:t>
            </w:r>
            <w:r w:rsidRPr="007B3CC6">
              <w:rPr>
                <w:b/>
                <w:sz w:val="24"/>
                <w:szCs w:val="24"/>
                <w:lang w:val="lt-LT"/>
              </w:rPr>
              <w:t>nereikalauja, kad visiems CRB tyrimams būtų naudojami uždari mėgintuvėliai</w:t>
            </w:r>
            <w:r w:rsidRPr="007B3CC6">
              <w:rPr>
                <w:sz w:val="24"/>
                <w:szCs w:val="24"/>
                <w:lang w:val="lt-LT"/>
              </w:rPr>
              <w:t>, jei užtikrinamas mėginio ir aplinkos saugumas.</w:t>
            </w:r>
          </w:p>
        </w:tc>
        <w:tc>
          <w:tcPr>
            <w:tcW w:w="4298" w:type="dxa"/>
            <w:vMerge/>
          </w:tcPr>
          <w:p w14:paraId="5C7611ED" w14:textId="77777777" w:rsidR="003E5F1F" w:rsidRDefault="003E5F1F" w:rsidP="003E5F1F">
            <w:pPr>
              <w:spacing w:line="0" w:lineRule="atLeast"/>
              <w:rPr>
                <w:i/>
                <w:iCs/>
                <w:sz w:val="22"/>
                <w:szCs w:val="22"/>
                <w:lang w:val="lt-LT"/>
              </w:rPr>
            </w:pPr>
          </w:p>
        </w:tc>
      </w:tr>
      <w:tr w:rsidR="003E5F1F" w:rsidRPr="00745551" w14:paraId="2455025C" w14:textId="77777777" w:rsidTr="008D7DF6">
        <w:tc>
          <w:tcPr>
            <w:tcW w:w="756" w:type="dxa"/>
          </w:tcPr>
          <w:p w14:paraId="3A98D607" w14:textId="31B0B5A4" w:rsidR="003E5F1F" w:rsidRPr="00BB0143" w:rsidRDefault="003E5F1F" w:rsidP="003E5F1F">
            <w:pPr>
              <w:pStyle w:val="Pagrindinistekstas"/>
              <w:spacing w:after="0"/>
              <w:jc w:val="both"/>
              <w:rPr>
                <w:rFonts w:eastAsia="Calibri"/>
                <w:sz w:val="22"/>
                <w:szCs w:val="22"/>
                <w:lang w:val="lt-LT" w:eastAsia="ja-JP" w:bidi="lt-LT"/>
              </w:rPr>
            </w:pPr>
            <w:bookmarkStart w:id="0" w:name="_Hlk203641256"/>
            <w:r>
              <w:rPr>
                <w:rFonts w:eastAsia="Calibri"/>
                <w:sz w:val="22"/>
                <w:szCs w:val="22"/>
                <w:lang w:val="lt-LT" w:eastAsia="ja-JP" w:bidi="lt-LT"/>
              </w:rPr>
              <w:t>14.</w:t>
            </w:r>
          </w:p>
        </w:tc>
        <w:tc>
          <w:tcPr>
            <w:tcW w:w="7896" w:type="dxa"/>
          </w:tcPr>
          <w:p w14:paraId="2D0ADA5B" w14:textId="77777777" w:rsidR="003E5F1F" w:rsidRPr="008559BE" w:rsidRDefault="003E5F1F" w:rsidP="003E5F1F">
            <w:pPr>
              <w:rPr>
                <w:sz w:val="22"/>
                <w:szCs w:val="22"/>
                <w:lang w:val="lt-LT"/>
              </w:rPr>
            </w:pPr>
            <w:r w:rsidRPr="008559BE">
              <w:rPr>
                <w:rFonts w:eastAsia="Calibri"/>
                <w:sz w:val="22"/>
                <w:szCs w:val="22"/>
                <w:lang w:val="lt-LT" w:eastAsia="ja-JP" w:bidi="lt-LT"/>
              </w:rPr>
              <w:t xml:space="preserve">Dėl 8.2.14. p. </w:t>
            </w:r>
            <w:r w:rsidRPr="008559BE">
              <w:rPr>
                <w:sz w:val="22"/>
                <w:szCs w:val="22"/>
                <w:lang w:val="lt-LT"/>
              </w:rPr>
              <w:t>Siūlome koreguoti šį reikalavimą ir formuluoti:</w:t>
            </w:r>
          </w:p>
          <w:p w14:paraId="14679127" w14:textId="77777777" w:rsidR="003E5F1F" w:rsidRPr="008559BE" w:rsidRDefault="003E5F1F" w:rsidP="003E5F1F">
            <w:pPr>
              <w:rPr>
                <w:sz w:val="22"/>
                <w:szCs w:val="22"/>
                <w:lang w:val="lt-LT"/>
              </w:rPr>
            </w:pPr>
            <w:r w:rsidRPr="008559BE">
              <w:rPr>
                <w:sz w:val="22"/>
                <w:szCs w:val="22"/>
                <w:lang w:val="lt-LT"/>
              </w:rPr>
              <w:t>WBC 0.2-100 x 10</w:t>
            </w:r>
            <w:r w:rsidRPr="008559BE">
              <w:rPr>
                <w:sz w:val="22"/>
                <w:szCs w:val="22"/>
                <w:vertAlign w:val="superscript"/>
                <w:lang w:val="lt-LT"/>
              </w:rPr>
              <w:t>9</w:t>
            </w:r>
            <w:r w:rsidRPr="008559BE">
              <w:rPr>
                <w:sz w:val="22"/>
                <w:szCs w:val="22"/>
                <w:lang w:val="lt-LT"/>
              </w:rPr>
              <w:t>/L</w:t>
            </w:r>
          </w:p>
          <w:p w14:paraId="64385291" w14:textId="77777777" w:rsidR="003E5F1F" w:rsidRPr="008559BE" w:rsidRDefault="003E5F1F" w:rsidP="003E5F1F">
            <w:pPr>
              <w:rPr>
                <w:sz w:val="22"/>
                <w:szCs w:val="22"/>
                <w:lang w:val="lt-LT"/>
              </w:rPr>
            </w:pPr>
            <w:r w:rsidRPr="008559BE">
              <w:rPr>
                <w:sz w:val="22"/>
                <w:szCs w:val="22"/>
                <w:lang w:val="lt-LT"/>
              </w:rPr>
              <w:t>RBC 0,3-8,0 x 10</w:t>
            </w:r>
            <w:r w:rsidRPr="008559BE">
              <w:rPr>
                <w:sz w:val="22"/>
                <w:szCs w:val="22"/>
                <w:vertAlign w:val="superscript"/>
                <w:lang w:val="lt-LT"/>
              </w:rPr>
              <w:t>12</w:t>
            </w:r>
            <w:r w:rsidRPr="008559BE">
              <w:rPr>
                <w:sz w:val="22"/>
                <w:szCs w:val="22"/>
                <w:lang w:val="lt-LT"/>
              </w:rPr>
              <w:t>/L</w:t>
            </w:r>
          </w:p>
          <w:p w14:paraId="5FC476DD" w14:textId="77777777" w:rsidR="003E5F1F" w:rsidRPr="008559BE" w:rsidRDefault="003E5F1F" w:rsidP="003E5F1F">
            <w:pPr>
              <w:rPr>
                <w:sz w:val="22"/>
                <w:szCs w:val="22"/>
                <w:lang w:val="lt-LT"/>
              </w:rPr>
            </w:pPr>
            <w:r w:rsidRPr="008559BE">
              <w:rPr>
                <w:sz w:val="22"/>
                <w:szCs w:val="22"/>
                <w:lang w:val="lt-LT"/>
              </w:rPr>
              <w:t>Hgb 1-250 g/L</w:t>
            </w:r>
          </w:p>
          <w:p w14:paraId="0F10F599" w14:textId="77777777" w:rsidR="003E5F1F" w:rsidRPr="008559BE" w:rsidRDefault="003E5F1F" w:rsidP="003E5F1F">
            <w:pPr>
              <w:rPr>
                <w:sz w:val="22"/>
                <w:szCs w:val="22"/>
                <w:lang w:val="lt-LT"/>
              </w:rPr>
            </w:pPr>
            <w:r w:rsidRPr="008559BE">
              <w:rPr>
                <w:sz w:val="22"/>
                <w:szCs w:val="22"/>
                <w:lang w:val="lt-LT"/>
              </w:rPr>
              <w:t>PLT 10-2000 x 10</w:t>
            </w:r>
            <w:r w:rsidRPr="008559BE">
              <w:rPr>
                <w:sz w:val="22"/>
                <w:szCs w:val="22"/>
                <w:vertAlign w:val="superscript"/>
                <w:lang w:val="lt-LT"/>
              </w:rPr>
              <w:t>9</w:t>
            </w:r>
            <w:r w:rsidRPr="008559BE">
              <w:rPr>
                <w:sz w:val="22"/>
                <w:szCs w:val="22"/>
                <w:lang w:val="lt-LT"/>
              </w:rPr>
              <w:t>/L</w:t>
            </w:r>
          </w:p>
          <w:p w14:paraId="18AAA4FC" w14:textId="77777777" w:rsidR="003E5F1F" w:rsidRPr="008559BE" w:rsidRDefault="003E5F1F" w:rsidP="003E5F1F">
            <w:pPr>
              <w:rPr>
                <w:sz w:val="22"/>
                <w:szCs w:val="22"/>
                <w:lang w:val="lt-LT"/>
              </w:rPr>
            </w:pPr>
          </w:p>
          <w:p w14:paraId="145790D4" w14:textId="5A891ED7" w:rsidR="003E5F1F" w:rsidRPr="004351C8" w:rsidRDefault="003E5F1F" w:rsidP="003E5F1F">
            <w:pPr>
              <w:rPr>
                <w:sz w:val="22"/>
                <w:szCs w:val="22"/>
                <w:lang w:val="lt-LT"/>
              </w:rPr>
            </w:pPr>
            <w:r w:rsidRPr="008559BE">
              <w:rPr>
                <w:sz w:val="22"/>
                <w:szCs w:val="22"/>
                <w:lang w:val="lt-LT"/>
              </w:rPr>
              <w:t>Tokių matavimo ribų pilnai pakanka bendrojoje klinikinėje diagnostikoje ir tai leis praplėsti galimų tiekėjų ratą.</w:t>
            </w:r>
          </w:p>
        </w:tc>
        <w:tc>
          <w:tcPr>
            <w:tcW w:w="4298" w:type="dxa"/>
          </w:tcPr>
          <w:p w14:paraId="0D67743F" w14:textId="3BEBFBBF" w:rsidR="003E5F1F" w:rsidRPr="00BB0143" w:rsidRDefault="003E5F1F" w:rsidP="003E5F1F">
            <w:pPr>
              <w:rPr>
                <w:i/>
                <w:iCs/>
                <w:sz w:val="22"/>
                <w:szCs w:val="22"/>
                <w:lang w:val="lt-LT"/>
              </w:rPr>
            </w:pPr>
            <w:r w:rsidRPr="00BB0143">
              <w:rPr>
                <w:i/>
                <w:iCs/>
                <w:sz w:val="22"/>
                <w:szCs w:val="22"/>
                <w:lang w:val="lt-LT"/>
              </w:rPr>
              <w:t>Reikalavimas nėra perteklinis –</w:t>
            </w:r>
            <w:r>
              <w:rPr>
                <w:i/>
                <w:iCs/>
                <w:sz w:val="22"/>
                <w:szCs w:val="22"/>
                <w:lang w:val="lt-LT"/>
              </w:rPr>
              <w:t xml:space="preserve"> reikalavimą atitinka 3 ir daugiau gamintojų</w:t>
            </w:r>
            <w:r w:rsidRPr="00BB0143">
              <w:rPr>
                <w:i/>
                <w:iCs/>
                <w:sz w:val="22"/>
                <w:szCs w:val="22"/>
                <w:lang w:val="lt-LT"/>
              </w:rPr>
              <w:t>, todėl jis nėra ribojantis konkurenciją</w:t>
            </w:r>
            <w:r>
              <w:rPr>
                <w:i/>
                <w:iCs/>
                <w:sz w:val="22"/>
                <w:szCs w:val="22"/>
                <w:lang w:val="lt-LT"/>
              </w:rPr>
              <w:t>.</w:t>
            </w:r>
          </w:p>
          <w:p w14:paraId="0F9766B2" w14:textId="121738E8" w:rsidR="003E5F1F" w:rsidRPr="007D530C" w:rsidRDefault="003E5F1F" w:rsidP="003E5F1F">
            <w:pPr>
              <w:rPr>
                <w:i/>
                <w:iCs/>
                <w:sz w:val="22"/>
                <w:szCs w:val="22"/>
                <w:lang w:val="lt-LT"/>
              </w:rPr>
            </w:pPr>
            <w:r w:rsidRPr="007D530C">
              <w:rPr>
                <w:i/>
                <w:iCs/>
                <w:sz w:val="22"/>
                <w:szCs w:val="22"/>
                <w:lang w:val="lt-LT"/>
              </w:rPr>
              <w:t>Platesnės matavimo ribos padidina diagnostinę vertę, nes leidžia tiksliau vertinti tiek normalius, tiek ribinius ar patologinius rodmenis.</w:t>
            </w:r>
          </w:p>
          <w:p w14:paraId="7E5BD706" w14:textId="6725957E" w:rsidR="003E5F1F" w:rsidRPr="00BB0143" w:rsidRDefault="003E5F1F" w:rsidP="003E5F1F">
            <w:pPr>
              <w:pStyle w:val="Pagrindinistekstas"/>
              <w:spacing w:after="0"/>
              <w:jc w:val="both"/>
              <w:rPr>
                <w:rFonts w:eastAsia="Calibri"/>
                <w:sz w:val="22"/>
                <w:szCs w:val="22"/>
                <w:lang w:val="lt-LT" w:eastAsia="ja-JP" w:bidi="lt-LT"/>
              </w:rPr>
            </w:pPr>
            <w:r w:rsidRPr="00BB0143">
              <w:rPr>
                <w:i/>
                <w:iCs/>
                <w:sz w:val="22"/>
                <w:szCs w:val="22"/>
                <w:lang w:val="lt-LT"/>
              </w:rPr>
              <w:t>Perkančioji organizacija, įvertinusi siūlomus pakeitimus, nusprendė, kad techninės specifikacijos reikalavimas</w:t>
            </w:r>
            <w:r>
              <w:rPr>
                <w:i/>
                <w:iCs/>
                <w:sz w:val="22"/>
                <w:szCs w:val="22"/>
                <w:lang w:val="lt-LT"/>
              </w:rPr>
              <w:t xml:space="preserve"> nebus keičiamas.</w:t>
            </w:r>
          </w:p>
        </w:tc>
      </w:tr>
      <w:tr w:rsidR="003E5F1F" w:rsidRPr="00745551" w14:paraId="0F3EC939" w14:textId="77777777" w:rsidTr="008D7DF6">
        <w:tc>
          <w:tcPr>
            <w:tcW w:w="756" w:type="dxa"/>
          </w:tcPr>
          <w:p w14:paraId="6240E9D0" w14:textId="44F92330" w:rsidR="003E5F1F" w:rsidRPr="00BB0143" w:rsidRDefault="003E5F1F" w:rsidP="003E5F1F">
            <w:pPr>
              <w:pStyle w:val="Pagrindinistekstas"/>
              <w:spacing w:after="0"/>
              <w:jc w:val="both"/>
              <w:rPr>
                <w:rFonts w:eastAsia="Calibri"/>
                <w:sz w:val="22"/>
                <w:szCs w:val="22"/>
                <w:lang w:val="lt-LT" w:eastAsia="ja-JP" w:bidi="lt-LT"/>
              </w:rPr>
            </w:pPr>
            <w:bookmarkStart w:id="1" w:name="_Hlk203639681"/>
            <w:bookmarkEnd w:id="0"/>
            <w:r>
              <w:rPr>
                <w:rFonts w:eastAsia="Calibri"/>
                <w:sz w:val="22"/>
                <w:szCs w:val="22"/>
                <w:lang w:val="lt-LT" w:eastAsia="ja-JP" w:bidi="lt-LT"/>
              </w:rPr>
              <w:t>15.</w:t>
            </w:r>
          </w:p>
        </w:tc>
        <w:tc>
          <w:tcPr>
            <w:tcW w:w="7896" w:type="dxa"/>
          </w:tcPr>
          <w:p w14:paraId="26CDEBFD" w14:textId="77777777" w:rsidR="003E5F1F" w:rsidRPr="00BA2168" w:rsidRDefault="003E5F1F" w:rsidP="003E5F1F">
            <w:pPr>
              <w:jc w:val="both"/>
              <w:rPr>
                <w:sz w:val="24"/>
                <w:szCs w:val="24"/>
                <w:u w:val="single"/>
                <w:lang w:val="lt-LT"/>
              </w:rPr>
            </w:pPr>
            <w:r w:rsidRPr="00BA2168">
              <w:rPr>
                <w:sz w:val="24"/>
                <w:szCs w:val="24"/>
                <w:lang w:val="lt-LT"/>
              </w:rPr>
              <w:t xml:space="preserve">Prašome pakeisti “Bendrųjų reikalavimų </w:t>
            </w:r>
            <w:hyperlink r:id="rId7">
              <w:r w:rsidRPr="00BA2168">
                <w:rPr>
                  <w:color w:val="1155CC"/>
                  <w:sz w:val="24"/>
                  <w:szCs w:val="24"/>
                  <w:u w:val="single"/>
                  <w:lang w:val="lt-LT"/>
                </w:rPr>
                <w:t>p.nr</w:t>
              </w:r>
            </w:hyperlink>
            <w:r w:rsidRPr="00BA2168">
              <w:rPr>
                <w:sz w:val="24"/>
                <w:szCs w:val="24"/>
                <w:lang w:val="lt-LT"/>
              </w:rPr>
              <w:t xml:space="preserve">.5” “Analizatoriaus pristatymo terminai: tiekėjas per 30 kalendorinių dienų nuo pirkimo sutarties įsigaliojimo dienos savo sąskaita pristato analizatorių perkančiajai organizacijai.” </w:t>
            </w:r>
            <w:r w:rsidRPr="00BA2168">
              <w:rPr>
                <w:sz w:val="24"/>
                <w:szCs w:val="24"/>
                <w:u w:val="single"/>
                <w:lang w:val="lt-LT"/>
              </w:rPr>
              <w:t>Minėtą punktą prašome pakeisti sekančiai:</w:t>
            </w:r>
          </w:p>
          <w:p w14:paraId="6F56C17A" w14:textId="24D47387" w:rsidR="003E5F1F" w:rsidRPr="00E13ADD" w:rsidRDefault="003E5F1F" w:rsidP="003E5F1F">
            <w:pPr>
              <w:jc w:val="both"/>
              <w:rPr>
                <w:color w:val="EE0000"/>
                <w:sz w:val="24"/>
                <w:szCs w:val="24"/>
                <w:lang w:val="lt-LT"/>
              </w:rPr>
            </w:pPr>
            <w:r w:rsidRPr="00BA2168">
              <w:rPr>
                <w:sz w:val="24"/>
                <w:szCs w:val="24"/>
                <w:lang w:val="lt-LT"/>
              </w:rPr>
              <w:t>“</w:t>
            </w:r>
            <w:r w:rsidRPr="00BA2168">
              <w:rPr>
                <w:i/>
                <w:sz w:val="24"/>
                <w:szCs w:val="24"/>
                <w:lang w:val="lt-LT"/>
              </w:rPr>
              <w:t>Analizatoriaus pristatymo terminai: tiekėjas per 60 kalendorinių dienų nuo pirkimo sutarties įsigaliojimo dienos savo sąskaita pristato analizatorių perkanči</w:t>
            </w:r>
            <w:r w:rsidRPr="007B3CC6">
              <w:rPr>
                <w:i/>
                <w:sz w:val="24"/>
                <w:szCs w:val="24"/>
                <w:lang w:val="lt-LT"/>
              </w:rPr>
              <w:t>ajai organizacijai.</w:t>
            </w:r>
            <w:r w:rsidRPr="007B3CC6">
              <w:rPr>
                <w:sz w:val="24"/>
                <w:szCs w:val="24"/>
                <w:lang w:val="lt-LT"/>
              </w:rPr>
              <w:t xml:space="preserve">” savo prašymą motyvuojame tuo, kad 30 dienų terminas neadekvačiai trumpas, kadangi nauji analizatoriai yra gaminami pagal užsakymą o ne sandėliuojami. ermino prailginimas iki </w:t>
            </w:r>
            <w:r w:rsidRPr="007B3CC6">
              <w:rPr>
                <w:b/>
                <w:sz w:val="24"/>
                <w:szCs w:val="24"/>
                <w:lang w:val="lt-LT"/>
              </w:rPr>
              <w:t>60 kalendorinių dienų</w:t>
            </w:r>
            <w:r w:rsidRPr="007B3CC6">
              <w:rPr>
                <w:sz w:val="24"/>
                <w:szCs w:val="24"/>
                <w:lang w:val="lt-LT"/>
              </w:rPr>
              <w:t xml:space="preserve"> sudarys galimybes dalyvauti konkurse </w:t>
            </w:r>
            <w:r w:rsidRPr="007B3CC6">
              <w:rPr>
                <w:b/>
                <w:sz w:val="24"/>
                <w:szCs w:val="24"/>
                <w:lang w:val="lt-LT"/>
              </w:rPr>
              <w:t>platesniam ratui tiekėjų</w:t>
            </w:r>
            <w:r w:rsidRPr="007B3CC6">
              <w:rPr>
                <w:sz w:val="24"/>
                <w:szCs w:val="24"/>
                <w:lang w:val="lt-LT"/>
              </w:rPr>
              <w:t xml:space="preserve">, įskaitant tuos, kurie tiekia aukštos kokybės, bet individualiai konfigūruojamus ar specialiai </w:t>
            </w:r>
            <w:r w:rsidRPr="007B3CC6">
              <w:rPr>
                <w:sz w:val="24"/>
                <w:szCs w:val="24"/>
                <w:lang w:val="lt-LT"/>
              </w:rPr>
              <w:lastRenderedPageBreak/>
              <w:t xml:space="preserve">užsakymui gaminamus analizatorius. Tai prisideda prie konkurencijos didinimo ir gali lemti palankesnes sąlygas perkančiajai organizacijai – tiek kainos, tiek techninių sprendimų prasme. Daugelyje ES šalių viešųjų pirkimų dokumentuose medicinos įrangos pristatymo terminai dažnai svyruoja tarp </w:t>
            </w:r>
            <w:r w:rsidRPr="007B3CC6">
              <w:rPr>
                <w:b/>
                <w:sz w:val="24"/>
                <w:szCs w:val="24"/>
                <w:lang w:val="lt-LT"/>
              </w:rPr>
              <w:t>45–90 dienų</w:t>
            </w:r>
            <w:r w:rsidRPr="007B3CC6">
              <w:rPr>
                <w:sz w:val="24"/>
                <w:szCs w:val="24"/>
                <w:lang w:val="lt-LT"/>
              </w:rPr>
              <w:t xml:space="preserve">, priklausomai nuo produkto sudėtingumo ir individualizavimo. Tad 60 dienų terminas yra </w:t>
            </w:r>
            <w:r w:rsidRPr="007B3CC6">
              <w:rPr>
                <w:b/>
                <w:sz w:val="24"/>
                <w:szCs w:val="24"/>
                <w:lang w:val="lt-LT"/>
              </w:rPr>
              <w:t>proporcingas, pagrįstas ir atitinkantis europinę praktiką</w:t>
            </w:r>
            <w:r w:rsidRPr="007B3CC6">
              <w:rPr>
                <w:sz w:val="24"/>
                <w:szCs w:val="24"/>
                <w:lang w:val="lt-LT"/>
              </w:rPr>
              <w:t>.</w:t>
            </w:r>
          </w:p>
        </w:tc>
        <w:tc>
          <w:tcPr>
            <w:tcW w:w="4298" w:type="dxa"/>
          </w:tcPr>
          <w:p w14:paraId="355C6914" w14:textId="4FE2C5EF" w:rsidR="003E5F1F" w:rsidRPr="00437ECD" w:rsidRDefault="003E5F1F" w:rsidP="003E5F1F">
            <w:pPr>
              <w:pStyle w:val="Pagrindinistekstas"/>
              <w:rPr>
                <w:rFonts w:eastAsia="Calibri"/>
                <w:i/>
                <w:iCs/>
                <w:sz w:val="22"/>
                <w:szCs w:val="22"/>
                <w:lang w:val="lt-LT" w:eastAsia="ja-JP" w:bidi="lt-LT"/>
              </w:rPr>
            </w:pPr>
            <w:r w:rsidRPr="00437ECD">
              <w:rPr>
                <w:rFonts w:eastAsia="Calibri"/>
                <w:i/>
                <w:iCs/>
                <w:sz w:val="22"/>
                <w:szCs w:val="22"/>
                <w:lang w:val="lt-LT" w:eastAsia="ja-JP" w:bidi="lt-LT"/>
              </w:rPr>
              <w:lastRenderedPageBreak/>
              <w:t>Perkančioji organizacija planuoja pirkimus atsižvelgdama į sudarytas sutartis (reagentų tiekimo, analizatorių panaudos ir tech</w:t>
            </w:r>
            <w:r w:rsidR="00796459">
              <w:rPr>
                <w:rFonts w:eastAsia="Calibri"/>
                <w:i/>
                <w:iCs/>
                <w:sz w:val="22"/>
                <w:szCs w:val="22"/>
                <w:lang w:val="lt-LT" w:eastAsia="ja-JP" w:bidi="lt-LT"/>
              </w:rPr>
              <w:t>ninės</w:t>
            </w:r>
            <w:r w:rsidR="00404FDF">
              <w:rPr>
                <w:rFonts w:eastAsia="Calibri"/>
                <w:i/>
                <w:iCs/>
                <w:sz w:val="22"/>
                <w:szCs w:val="22"/>
                <w:lang w:val="lt-LT" w:eastAsia="ja-JP" w:bidi="lt-LT"/>
              </w:rPr>
              <w:t xml:space="preserve"> </w:t>
            </w:r>
            <w:r w:rsidRPr="00437ECD">
              <w:rPr>
                <w:rFonts w:eastAsia="Calibri"/>
                <w:i/>
                <w:iCs/>
                <w:sz w:val="22"/>
                <w:szCs w:val="22"/>
                <w:lang w:val="lt-LT" w:eastAsia="ja-JP" w:bidi="lt-LT"/>
              </w:rPr>
              <w:t>priežiūros, bei LIS admin.), kurių galiojimas eina į pabaigą. Šių sutarčių pratęsimas ne tik reikalautų papildomų išteklių, bet ir naujų pirkimų ar apklausų paskelbimo, tai reikštų papildomas administracines bei teisines procedūras ir kas savo ruožtu užtruktų dėl įstatyme nustatytų terminų.</w:t>
            </w:r>
          </w:p>
          <w:p w14:paraId="3537EAED" w14:textId="672FA7B2" w:rsidR="003E5F1F" w:rsidRPr="00437ECD" w:rsidRDefault="003E5F1F" w:rsidP="003E5F1F">
            <w:pPr>
              <w:pStyle w:val="Pagrindinistekstas"/>
              <w:rPr>
                <w:rFonts w:eastAsia="Calibri"/>
                <w:i/>
                <w:iCs/>
                <w:sz w:val="22"/>
                <w:szCs w:val="22"/>
                <w:lang w:val="lt-LT" w:eastAsia="ja-JP" w:bidi="lt-LT"/>
              </w:rPr>
            </w:pPr>
            <w:r w:rsidRPr="00437ECD">
              <w:rPr>
                <w:rFonts w:eastAsia="Calibri"/>
                <w:i/>
                <w:iCs/>
                <w:sz w:val="22"/>
                <w:szCs w:val="22"/>
                <w:lang w:val="lt-LT" w:eastAsia="ja-JP" w:bidi="lt-LT"/>
              </w:rPr>
              <w:t xml:space="preserve">Rinkoje yra tiekėjų, galinčių pasiūlyti reikalavimus atitinkančius analizatorius per </w:t>
            </w:r>
            <w:r w:rsidRPr="00437ECD">
              <w:rPr>
                <w:rFonts w:eastAsia="Calibri"/>
                <w:i/>
                <w:iCs/>
                <w:sz w:val="22"/>
                <w:szCs w:val="22"/>
                <w:lang w:val="lt-LT" w:eastAsia="ja-JP" w:bidi="lt-LT"/>
              </w:rPr>
              <w:lastRenderedPageBreak/>
              <w:t>numatytą 30 dienų terminą. Tai leidžia užtikrinti pakankamą konkurenciją net ir taikant 30</w:t>
            </w:r>
            <w:r w:rsidR="009C5043">
              <w:rPr>
                <w:rFonts w:eastAsia="Calibri"/>
                <w:i/>
                <w:iCs/>
                <w:sz w:val="22"/>
                <w:szCs w:val="22"/>
                <w:lang w:val="lt-LT" w:eastAsia="ja-JP" w:bidi="lt-LT"/>
              </w:rPr>
              <w:t xml:space="preserve"> </w:t>
            </w:r>
            <w:r w:rsidRPr="00437ECD">
              <w:rPr>
                <w:rFonts w:eastAsia="Calibri"/>
                <w:i/>
                <w:iCs/>
                <w:sz w:val="22"/>
                <w:szCs w:val="22"/>
                <w:lang w:val="lt-LT" w:eastAsia="ja-JP" w:bidi="lt-LT"/>
              </w:rPr>
              <w:t>d. pristatymo laikotarpį.</w:t>
            </w:r>
          </w:p>
          <w:p w14:paraId="3D3C4497" w14:textId="7F702DCA" w:rsidR="003E5F1F" w:rsidRPr="00437ECD" w:rsidRDefault="003E5F1F" w:rsidP="003E5F1F">
            <w:pPr>
              <w:pStyle w:val="Pagrindinistekstas"/>
              <w:rPr>
                <w:rFonts w:eastAsia="Calibri"/>
                <w:i/>
                <w:iCs/>
                <w:sz w:val="22"/>
                <w:szCs w:val="22"/>
                <w:lang w:val="lt-LT" w:eastAsia="ja-JP" w:bidi="lt-LT"/>
              </w:rPr>
            </w:pPr>
            <w:r w:rsidRPr="00437ECD">
              <w:rPr>
                <w:rFonts w:eastAsia="Calibri"/>
                <w:i/>
                <w:iCs/>
                <w:sz w:val="22"/>
                <w:szCs w:val="22"/>
                <w:lang w:val="lt-LT" w:eastAsia="ja-JP" w:bidi="lt-LT"/>
              </w:rPr>
              <w:t xml:space="preserve">Nesutinkame su siūlomu pakeitimu, todėl Bendrųjų reikalavimų p. </w:t>
            </w:r>
            <w:r w:rsidR="00437ECD">
              <w:rPr>
                <w:rFonts w:eastAsia="Calibri"/>
                <w:i/>
                <w:iCs/>
                <w:sz w:val="22"/>
                <w:szCs w:val="22"/>
                <w:lang w:val="lt-LT" w:eastAsia="ja-JP" w:bidi="lt-LT"/>
              </w:rPr>
              <w:t>N</w:t>
            </w:r>
            <w:r w:rsidRPr="00437ECD">
              <w:rPr>
                <w:rFonts w:eastAsia="Calibri"/>
                <w:i/>
                <w:iCs/>
                <w:sz w:val="22"/>
                <w:szCs w:val="22"/>
                <w:lang w:val="lt-LT" w:eastAsia="ja-JP" w:bidi="lt-LT"/>
              </w:rPr>
              <w:t>r. 5 nekeičiamas.</w:t>
            </w:r>
          </w:p>
          <w:p w14:paraId="6E495B41" w14:textId="494C7949" w:rsidR="003E5F1F" w:rsidRPr="0082160E" w:rsidRDefault="003E5F1F" w:rsidP="003E5F1F">
            <w:pPr>
              <w:pStyle w:val="Pagrindinistekstas"/>
              <w:spacing w:after="0"/>
              <w:rPr>
                <w:rFonts w:eastAsia="Calibri"/>
                <w:i/>
                <w:iCs/>
                <w:strike/>
                <w:sz w:val="22"/>
                <w:szCs w:val="22"/>
                <w:lang w:val="lt-LT" w:eastAsia="ja-JP" w:bidi="lt-LT"/>
              </w:rPr>
            </w:pPr>
          </w:p>
        </w:tc>
      </w:tr>
      <w:bookmarkEnd w:id="1"/>
    </w:tbl>
    <w:p w14:paraId="0FC88450" w14:textId="77777777" w:rsidR="00FE50E7" w:rsidRPr="00BB0143" w:rsidRDefault="00FE50E7" w:rsidP="00266846">
      <w:pPr>
        <w:pStyle w:val="Pagrindinistekstas"/>
        <w:spacing w:after="0"/>
        <w:ind w:firstLine="709"/>
        <w:jc w:val="both"/>
        <w:rPr>
          <w:rFonts w:eastAsia="Calibri"/>
          <w:sz w:val="24"/>
          <w:szCs w:val="24"/>
          <w:lang w:val="lt-LT" w:eastAsia="ja-JP" w:bidi="lt-LT"/>
        </w:rPr>
      </w:pPr>
    </w:p>
    <w:p w14:paraId="6E342D59" w14:textId="77777777" w:rsidR="00E734A1" w:rsidRPr="00BB0143" w:rsidRDefault="00E734A1" w:rsidP="00266846">
      <w:pPr>
        <w:rPr>
          <w:lang w:val="lt-LT"/>
        </w:rPr>
      </w:pPr>
    </w:p>
    <w:sectPr w:rsidR="00E734A1" w:rsidRPr="00BB0143" w:rsidSect="00033ED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714C0"/>
    <w:multiLevelType w:val="hybridMultilevel"/>
    <w:tmpl w:val="C804FC60"/>
    <w:lvl w:ilvl="0" w:tplc="F0F6C25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17851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7D1"/>
    <w:rsid w:val="00004334"/>
    <w:rsid w:val="00033ED0"/>
    <w:rsid w:val="000418EF"/>
    <w:rsid w:val="000900FD"/>
    <w:rsid w:val="00231E79"/>
    <w:rsid w:val="00266846"/>
    <w:rsid w:val="00275A82"/>
    <w:rsid w:val="002E5B34"/>
    <w:rsid w:val="0032070A"/>
    <w:rsid w:val="0033695B"/>
    <w:rsid w:val="0037557F"/>
    <w:rsid w:val="003D7242"/>
    <w:rsid w:val="003E5F1F"/>
    <w:rsid w:val="00404FDF"/>
    <w:rsid w:val="00407011"/>
    <w:rsid w:val="00412A0C"/>
    <w:rsid w:val="004351C8"/>
    <w:rsid w:val="00437ECD"/>
    <w:rsid w:val="004678C4"/>
    <w:rsid w:val="00473F32"/>
    <w:rsid w:val="004C5F04"/>
    <w:rsid w:val="004F70AC"/>
    <w:rsid w:val="00533CF2"/>
    <w:rsid w:val="00550F1D"/>
    <w:rsid w:val="006F24C3"/>
    <w:rsid w:val="00706305"/>
    <w:rsid w:val="00745551"/>
    <w:rsid w:val="00784829"/>
    <w:rsid w:val="00796459"/>
    <w:rsid w:val="007B3CC6"/>
    <w:rsid w:val="007D530C"/>
    <w:rsid w:val="00816B9C"/>
    <w:rsid w:val="0082160E"/>
    <w:rsid w:val="00842BFD"/>
    <w:rsid w:val="008559BE"/>
    <w:rsid w:val="00857A09"/>
    <w:rsid w:val="00866F5D"/>
    <w:rsid w:val="008D7DF6"/>
    <w:rsid w:val="00923FDE"/>
    <w:rsid w:val="00964DF8"/>
    <w:rsid w:val="009C5043"/>
    <w:rsid w:val="00A15495"/>
    <w:rsid w:val="00A33348"/>
    <w:rsid w:val="00A851F5"/>
    <w:rsid w:val="00AC4755"/>
    <w:rsid w:val="00B17274"/>
    <w:rsid w:val="00B65BE0"/>
    <w:rsid w:val="00B7656E"/>
    <w:rsid w:val="00BA2168"/>
    <w:rsid w:val="00BB0143"/>
    <w:rsid w:val="00BB77D1"/>
    <w:rsid w:val="00C127FF"/>
    <w:rsid w:val="00CC08B7"/>
    <w:rsid w:val="00E13ADD"/>
    <w:rsid w:val="00E41632"/>
    <w:rsid w:val="00E734A1"/>
    <w:rsid w:val="00E8717E"/>
    <w:rsid w:val="00EE100A"/>
    <w:rsid w:val="00F93697"/>
    <w:rsid w:val="00FB370C"/>
    <w:rsid w:val="00FE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09B65"/>
  <w15:chartTrackingRefBased/>
  <w15:docId w15:val="{2B110B27-860A-441E-A0DA-0F16280E3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3ED0"/>
    <w:pPr>
      <w:spacing w:after="0" w:line="240" w:lineRule="auto"/>
    </w:pPr>
    <w:rPr>
      <w:rFonts w:ascii="Times New Roman" w:eastAsia="Times New Roman" w:hAnsi="Times New Roman" w:cs="Times New Roman"/>
      <w:kern w:val="0"/>
      <w:sz w:val="20"/>
      <w:szCs w:val="20"/>
      <w:lang w:eastAsia="lt-LT"/>
      <w14:ligatures w14:val="none"/>
    </w:rPr>
  </w:style>
  <w:style w:type="paragraph" w:styleId="Antrat1">
    <w:name w:val="heading 1"/>
    <w:basedOn w:val="prastasis"/>
    <w:next w:val="prastasis"/>
    <w:link w:val="Antrat1Diagrama"/>
    <w:uiPriority w:val="9"/>
    <w:qFormat/>
    <w:rsid w:val="00BB77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B77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B77D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B77D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B77D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B77D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B77D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B77D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B77D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B77D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B77D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B77D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B77D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B77D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B77D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B77D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B77D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B77D1"/>
    <w:rPr>
      <w:rFonts w:eastAsiaTheme="majorEastAsia" w:cstheme="majorBidi"/>
      <w:color w:val="272727" w:themeColor="text1" w:themeTint="D8"/>
    </w:rPr>
  </w:style>
  <w:style w:type="paragraph" w:styleId="Pavadinimas">
    <w:name w:val="Title"/>
    <w:basedOn w:val="prastasis"/>
    <w:next w:val="prastasis"/>
    <w:link w:val="PavadinimasDiagrama"/>
    <w:qFormat/>
    <w:rsid w:val="00BB77D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BB77D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B77D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B77D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B77D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B77D1"/>
    <w:rPr>
      <w:i/>
      <w:iCs/>
      <w:color w:val="404040" w:themeColor="text1" w:themeTint="BF"/>
    </w:rPr>
  </w:style>
  <w:style w:type="paragraph" w:styleId="Sraopastraipa">
    <w:name w:val="List Paragraph"/>
    <w:basedOn w:val="prastasis"/>
    <w:uiPriority w:val="34"/>
    <w:qFormat/>
    <w:rsid w:val="00BB77D1"/>
    <w:pPr>
      <w:ind w:left="720"/>
      <w:contextualSpacing/>
    </w:pPr>
  </w:style>
  <w:style w:type="character" w:styleId="Rykuspabraukimas">
    <w:name w:val="Intense Emphasis"/>
    <w:basedOn w:val="Numatytasispastraiposriftas"/>
    <w:uiPriority w:val="21"/>
    <w:qFormat/>
    <w:rsid w:val="00BB77D1"/>
    <w:rPr>
      <w:i/>
      <w:iCs/>
      <w:color w:val="2F5496" w:themeColor="accent1" w:themeShade="BF"/>
    </w:rPr>
  </w:style>
  <w:style w:type="paragraph" w:styleId="Iskirtacitata">
    <w:name w:val="Intense Quote"/>
    <w:basedOn w:val="prastasis"/>
    <w:next w:val="prastasis"/>
    <w:link w:val="IskirtacitataDiagrama"/>
    <w:uiPriority w:val="30"/>
    <w:qFormat/>
    <w:rsid w:val="00BB77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B77D1"/>
    <w:rPr>
      <w:i/>
      <w:iCs/>
      <w:color w:val="2F5496" w:themeColor="accent1" w:themeShade="BF"/>
    </w:rPr>
  </w:style>
  <w:style w:type="character" w:styleId="Rykinuoroda">
    <w:name w:val="Intense Reference"/>
    <w:basedOn w:val="Numatytasispastraiposriftas"/>
    <w:uiPriority w:val="32"/>
    <w:qFormat/>
    <w:rsid w:val="00BB77D1"/>
    <w:rPr>
      <w:b/>
      <w:bCs/>
      <w:smallCaps/>
      <w:color w:val="2F5496" w:themeColor="accent1" w:themeShade="BF"/>
      <w:spacing w:val="5"/>
    </w:rPr>
  </w:style>
  <w:style w:type="character" w:customStyle="1" w:styleId="CharStyle7">
    <w:name w:val="CharStyle7"/>
    <w:basedOn w:val="Numatytasispastraiposriftas"/>
    <w:qFormat/>
    <w:rsid w:val="00033ED0"/>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paragraph" w:customStyle="1" w:styleId="Antrat10">
    <w:name w:val="Antraštė1"/>
    <w:basedOn w:val="prastasis"/>
    <w:next w:val="Pagrindinistekstas"/>
    <w:qFormat/>
    <w:rsid w:val="00033ED0"/>
    <w:pPr>
      <w:keepNext/>
      <w:widowControl w:val="0"/>
      <w:suppressAutoHyphens/>
      <w:overflowPunct w:val="0"/>
      <w:spacing w:before="240" w:after="120"/>
    </w:pPr>
    <w:rPr>
      <w:rFonts w:ascii="Liberation Sans" w:eastAsia="MS Gothic" w:hAnsi="Liberation Sans" w:cs="Tahoma"/>
      <w:color w:val="000000"/>
      <w:sz w:val="28"/>
      <w:szCs w:val="28"/>
      <w:lang w:val="lt-LT" w:bidi="lt-LT"/>
    </w:rPr>
  </w:style>
  <w:style w:type="paragraph" w:styleId="Pagrindinistekstas">
    <w:name w:val="Body Text"/>
    <w:basedOn w:val="prastasis"/>
    <w:link w:val="PagrindinistekstasDiagrama"/>
    <w:uiPriority w:val="99"/>
    <w:semiHidden/>
    <w:unhideWhenUsed/>
    <w:rsid w:val="00033ED0"/>
    <w:pPr>
      <w:spacing w:after="120"/>
    </w:pPr>
  </w:style>
  <w:style w:type="character" w:customStyle="1" w:styleId="PagrindinistekstasDiagrama">
    <w:name w:val="Pagrindinis tekstas Diagrama"/>
    <w:basedOn w:val="Numatytasispastraiposriftas"/>
    <w:link w:val="Pagrindinistekstas"/>
    <w:uiPriority w:val="99"/>
    <w:semiHidden/>
    <w:rsid w:val="00033ED0"/>
    <w:rPr>
      <w:rFonts w:ascii="Times New Roman" w:eastAsia="Times New Roman" w:hAnsi="Times New Roman" w:cs="Times New Roman"/>
      <w:kern w:val="0"/>
      <w:sz w:val="20"/>
      <w:szCs w:val="20"/>
      <w:lang w:eastAsia="lt-LT"/>
      <w14:ligatures w14:val="none"/>
    </w:rPr>
  </w:style>
  <w:style w:type="table" w:styleId="Lentelstinklelis">
    <w:name w:val="Table Grid"/>
    <w:basedOn w:val="prastojilentel"/>
    <w:uiPriority w:val="39"/>
    <w:rsid w:val="00964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8D7D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27205">
      <w:bodyDiv w:val="1"/>
      <w:marLeft w:val="0"/>
      <w:marRight w:val="0"/>
      <w:marTop w:val="0"/>
      <w:marBottom w:val="0"/>
      <w:divBdr>
        <w:top w:val="none" w:sz="0" w:space="0" w:color="auto"/>
        <w:left w:val="none" w:sz="0" w:space="0" w:color="auto"/>
        <w:bottom w:val="none" w:sz="0" w:space="0" w:color="auto"/>
        <w:right w:val="none" w:sz="0" w:space="0" w:color="auto"/>
      </w:divBdr>
    </w:div>
    <w:div w:id="164836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n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842C2-FD3E-454D-B3AE-5F95E2A68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4540</Words>
  <Characters>25883</Characters>
  <Application>Microsoft Office Word</Application>
  <DocSecurity>0</DocSecurity>
  <Lines>215</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Viktorija</cp:lastModifiedBy>
  <cp:revision>13</cp:revision>
  <dcterms:created xsi:type="dcterms:W3CDTF">2025-07-17T08:56:00Z</dcterms:created>
  <dcterms:modified xsi:type="dcterms:W3CDTF">2025-07-22T05:29:00Z</dcterms:modified>
</cp:coreProperties>
</file>