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F4507" w:rsidRDefault="008970DF" w:rsidP="00FF23F6">
      <w:pPr>
        <w:rPr>
          <w:rFonts w:ascii="Arial" w:hAnsi="Arial" w:cs="Arial"/>
          <w:sz w:val="22"/>
          <w:szCs w:val="22"/>
          <w:lang w:val="lt-LT"/>
        </w:rPr>
      </w:pPr>
    </w:p>
    <w:p w14:paraId="3ADB1DEA" w14:textId="77777777" w:rsidR="00A8398D" w:rsidRPr="00EF4507" w:rsidRDefault="00A8398D" w:rsidP="00FF23F6">
      <w:pPr>
        <w:ind w:firstLine="720"/>
        <w:rPr>
          <w:rFonts w:ascii="Arial" w:hAnsi="Arial" w:cs="Arial"/>
          <w:sz w:val="22"/>
          <w:szCs w:val="22"/>
          <w:lang w:val="lt-LT"/>
        </w:rPr>
      </w:pPr>
    </w:p>
    <w:p w14:paraId="03177473" w14:textId="77777777" w:rsidR="00A8398D" w:rsidRPr="00EF4507" w:rsidRDefault="00A8398D" w:rsidP="00FF23F6">
      <w:pPr>
        <w:rPr>
          <w:rFonts w:ascii="Arial" w:hAnsi="Arial" w:cs="Arial"/>
          <w:sz w:val="22"/>
          <w:szCs w:val="22"/>
          <w:lang w:val="lt-LT"/>
        </w:rPr>
      </w:pPr>
    </w:p>
    <w:p w14:paraId="0A061968" w14:textId="1692B282" w:rsidR="00D40468" w:rsidRPr="00CF0C26" w:rsidRDefault="00896A4E" w:rsidP="00DE49B1">
      <w:pPr>
        <w:ind w:firstLine="567"/>
        <w:jc w:val="both"/>
        <w:rPr>
          <w:rFonts w:ascii="Arial" w:hAnsi="Arial" w:cs="Arial"/>
          <w:b/>
          <w:bCs/>
          <w:color w:val="000000" w:themeColor="text1"/>
          <w:sz w:val="22"/>
          <w:szCs w:val="22"/>
          <w:lang w:val="lt-LT"/>
        </w:rPr>
      </w:pPr>
      <w:r w:rsidRPr="00CF0C26">
        <w:rPr>
          <w:rFonts w:ascii="Arial" w:hAnsi="Arial" w:cs="Arial"/>
          <w:b/>
          <w:bCs/>
          <w:color w:val="000000" w:themeColor="text1"/>
          <w:sz w:val="22"/>
          <w:szCs w:val="22"/>
          <w:lang w:val="lt-LT"/>
        </w:rPr>
        <w:t xml:space="preserve">DĖL </w:t>
      </w:r>
      <w:sdt>
        <w:sdtPr>
          <w:rPr>
            <w:rFonts w:ascii="Arial" w:hAnsi="Arial" w:cs="Arial"/>
            <w:b/>
            <w:bCs/>
            <w:sz w:val="22"/>
            <w:szCs w:val="22"/>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9D1CF3" w:rsidRPr="00CF0C26">
            <w:rPr>
              <w:rFonts w:ascii="Arial" w:hAnsi="Arial" w:cs="Arial"/>
              <w:b/>
              <w:bCs/>
              <w:sz w:val="22"/>
              <w:szCs w:val="22"/>
              <w:lang w:val="lt-LT"/>
            </w:rPr>
            <w:t>ATSAKYMŲ Į TIEKĖJŲ KLAUSIMUS</w:t>
          </w:r>
        </w:sdtContent>
      </w:sdt>
    </w:p>
    <w:p w14:paraId="2CE7E1DC" w14:textId="4356F8ED" w:rsidR="00D40468" w:rsidRPr="00CF0C26" w:rsidRDefault="00D40468" w:rsidP="00DE49B1">
      <w:pPr>
        <w:ind w:firstLine="567"/>
        <w:jc w:val="both"/>
        <w:rPr>
          <w:rFonts w:ascii="Arial" w:hAnsi="Arial" w:cs="Arial"/>
          <w:color w:val="000000" w:themeColor="text1"/>
          <w:sz w:val="22"/>
          <w:szCs w:val="22"/>
          <w:lang w:val="lt-LT"/>
        </w:rPr>
      </w:pPr>
    </w:p>
    <w:p w14:paraId="531CC309" w14:textId="7A493027" w:rsidR="00AD4D4D" w:rsidRPr="00CF0C26" w:rsidRDefault="00AD4D4D" w:rsidP="00DE49B1">
      <w:pPr>
        <w:ind w:firstLine="567"/>
        <w:jc w:val="both"/>
        <w:rPr>
          <w:rFonts w:ascii="Arial" w:hAnsi="Arial" w:cs="Arial"/>
          <w:sz w:val="22"/>
          <w:szCs w:val="22"/>
          <w:lang w:val="lt-LT"/>
        </w:rPr>
      </w:pPr>
      <w:r w:rsidRPr="00CF0C26">
        <w:rPr>
          <w:rFonts w:ascii="Arial" w:hAnsi="Arial" w:cs="Arial"/>
          <w:color w:val="000000" w:themeColor="text1"/>
          <w:sz w:val="22"/>
          <w:szCs w:val="22"/>
          <w:lang w:val="lt-LT"/>
        </w:rPr>
        <w:t>Siunčiame</w:t>
      </w:r>
      <w:r w:rsidR="00EF629E" w:rsidRPr="00CF0C26">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9D1CF3" w:rsidRPr="00CF0C26">
            <w:rPr>
              <w:rFonts w:ascii="Arial" w:hAnsi="Arial" w:cs="Arial"/>
              <w:sz w:val="22"/>
              <w:szCs w:val="22"/>
              <w:lang w:val="lt-LT"/>
            </w:rPr>
            <w:t>atsakymus į tiekėjų klausimus</w:t>
          </w:r>
        </w:sdtContent>
      </w:sdt>
      <w:r w:rsidR="00896A4E" w:rsidRPr="00CF0C26">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9D1CF3" w:rsidRPr="00CF0C26">
            <w:rPr>
              <w:rFonts w:ascii="Arial" w:hAnsi="Arial" w:cs="Arial"/>
              <w:bCs/>
              <w:sz w:val="22"/>
              <w:szCs w:val="22"/>
              <w:lang w:val="lt-LT"/>
            </w:rPr>
            <w:t>(2025-ESO-649) Apskaitos prietaisų rodmenų nurašymo paslaugų</w:t>
          </w:r>
        </w:sdtContent>
      </w:sdt>
      <w:r w:rsidR="009D1CF3" w:rsidRPr="00CF0C26">
        <w:rPr>
          <w:rFonts w:ascii="Arial" w:hAnsi="Arial" w:cs="Arial"/>
          <w:bCs/>
          <w:sz w:val="22"/>
          <w:szCs w:val="22"/>
          <w:lang w:val="lt-LT"/>
        </w:rPr>
        <w:t xml:space="preserve"> (</w:t>
      </w:r>
      <w:r w:rsidR="00A53DB1" w:rsidRPr="00CF0C26">
        <w:rPr>
          <w:rFonts w:ascii="Arial" w:hAnsi="Arial" w:cs="Arial"/>
          <w:bCs/>
          <w:sz w:val="22"/>
          <w:szCs w:val="22"/>
          <w:lang w:val="lt-LT"/>
        </w:rPr>
        <w:t>ID 3070566</w:t>
      </w:r>
      <w:r w:rsidR="009D1CF3" w:rsidRPr="00CF0C26">
        <w:rPr>
          <w:rFonts w:ascii="Arial" w:hAnsi="Arial" w:cs="Arial"/>
          <w:bCs/>
          <w:sz w:val="22"/>
          <w:szCs w:val="22"/>
          <w:lang w:val="lt-LT"/>
        </w:rPr>
        <w:t>)</w:t>
      </w:r>
      <w:r w:rsidR="003C4D05" w:rsidRPr="00CF0C26">
        <w:rPr>
          <w:rStyle w:val="normaltextrun"/>
          <w:rFonts w:ascii="Arial" w:hAnsi="Arial" w:cs="Arial"/>
          <w:i/>
          <w:iCs/>
          <w:color w:val="FF0000"/>
          <w:sz w:val="22"/>
          <w:szCs w:val="22"/>
          <w:u w:val="single"/>
          <w:shd w:val="clear" w:color="auto" w:fill="FFFFFF"/>
          <w:lang w:val="lt-LT"/>
        </w:rPr>
        <w:t xml:space="preserve"> </w:t>
      </w:r>
      <w:r w:rsidR="003C4D05" w:rsidRPr="00CF0C26">
        <w:rPr>
          <w:rStyle w:val="normaltextrun"/>
          <w:rFonts w:ascii="Arial" w:hAnsi="Arial" w:cs="Arial"/>
          <w:sz w:val="22"/>
          <w:szCs w:val="22"/>
          <w:u w:val="single"/>
          <w:shd w:val="clear" w:color="auto" w:fill="FFFFFF"/>
          <w:lang w:val="lt-LT"/>
        </w:rPr>
        <w:t>pirkime.</w:t>
      </w:r>
    </w:p>
    <w:p w14:paraId="11731F77" w14:textId="1148DAEB" w:rsidR="00AD4D4D" w:rsidRPr="00EF4507" w:rsidRDefault="00AD4D4D" w:rsidP="00DE49B1">
      <w:pPr>
        <w:ind w:firstLine="567"/>
        <w:jc w:val="both"/>
        <w:rPr>
          <w:rFonts w:ascii="Arial" w:hAnsi="Arial" w:cs="Arial"/>
          <w:i/>
          <w:color w:val="FF0000"/>
          <w:sz w:val="22"/>
          <w:szCs w:val="22"/>
          <w:lang w:val="lt-LT"/>
        </w:rPr>
      </w:pPr>
      <w:bookmarkStart w:id="0" w:name="_Hlk25240925"/>
      <w:r w:rsidRPr="00CF0C26">
        <w:rPr>
          <w:rFonts w:ascii="Arial" w:hAnsi="Arial" w:cs="Arial"/>
          <w:sz w:val="22"/>
          <w:szCs w:val="22"/>
          <w:lang w:val="lt-LT"/>
        </w:rPr>
        <w:t xml:space="preserve">Siekdami išvengti turinio interpretacijų, tiekėjų klausimus cituojame tiksliai taip, kaip buvo pateikti </w:t>
      </w:r>
      <w:r w:rsidR="008579D8" w:rsidRPr="00CF0C26">
        <w:rPr>
          <w:rFonts w:ascii="Arial" w:hAnsi="Arial" w:cs="Arial"/>
          <w:sz w:val="22"/>
          <w:szCs w:val="22"/>
          <w:lang w:val="lt-LT"/>
        </w:rPr>
        <w:t xml:space="preserve">Centrinės viešųjų pirkimų informacinės sistemos (toliau – </w:t>
      </w:r>
      <w:r w:rsidRPr="00CF0C26">
        <w:rPr>
          <w:rFonts w:ascii="Arial" w:hAnsi="Arial" w:cs="Arial"/>
          <w:sz w:val="22"/>
          <w:szCs w:val="22"/>
          <w:lang w:val="lt-LT"/>
        </w:rPr>
        <w:t>CVP IS</w:t>
      </w:r>
      <w:r w:rsidR="008579D8" w:rsidRPr="00CF0C26">
        <w:rPr>
          <w:rFonts w:ascii="Arial" w:hAnsi="Arial" w:cs="Arial"/>
          <w:sz w:val="22"/>
          <w:szCs w:val="22"/>
          <w:lang w:val="lt-LT"/>
        </w:rPr>
        <w:t>)</w:t>
      </w:r>
      <w:r w:rsidRPr="00CF0C26">
        <w:rPr>
          <w:rFonts w:ascii="Arial" w:hAnsi="Arial" w:cs="Arial"/>
          <w:sz w:val="22"/>
          <w:szCs w:val="22"/>
          <w:lang w:val="lt-LT"/>
        </w:rPr>
        <w:t xml:space="preserve"> priemonėmis (tekstas neredaguotas).</w:t>
      </w:r>
      <w:bookmarkEnd w:id="0"/>
    </w:p>
    <w:p w14:paraId="19B06EA3" w14:textId="6E286FE8" w:rsidR="00BD6B85" w:rsidRPr="00EF4507" w:rsidRDefault="00BD6B85" w:rsidP="00DE49B1">
      <w:pPr>
        <w:ind w:firstLine="567"/>
        <w:jc w:val="both"/>
        <w:rPr>
          <w:rFonts w:ascii="Arial" w:hAnsi="Arial" w:cs="Arial"/>
          <w:color w:val="FF0000"/>
          <w:sz w:val="22"/>
          <w:szCs w:val="22"/>
          <w:lang w:val="lt-LT"/>
        </w:rPr>
      </w:pPr>
    </w:p>
    <w:tbl>
      <w:tblPr>
        <w:tblStyle w:val="Lentelstinklelis"/>
        <w:tblW w:w="5000" w:type="pct"/>
        <w:tblLayout w:type="fixed"/>
        <w:tblLook w:val="04A0" w:firstRow="1" w:lastRow="0" w:firstColumn="1" w:lastColumn="0" w:noHBand="0" w:noVBand="1"/>
      </w:tblPr>
      <w:tblGrid>
        <w:gridCol w:w="546"/>
        <w:gridCol w:w="6254"/>
        <w:gridCol w:w="8612"/>
      </w:tblGrid>
      <w:tr w:rsidR="008929D6" w:rsidRPr="00EF4507" w14:paraId="709AB859" w14:textId="63F98D4B" w:rsidTr="008929D6">
        <w:tc>
          <w:tcPr>
            <w:tcW w:w="177" w:type="pct"/>
            <w:shd w:val="clear" w:color="auto" w:fill="DBE5F1"/>
            <w:vAlign w:val="center"/>
          </w:tcPr>
          <w:p w14:paraId="5FCB7AFA" w14:textId="77777777" w:rsidR="00282EE0" w:rsidRPr="00EF4507" w:rsidRDefault="00282EE0" w:rsidP="00FF23F6">
            <w:pPr>
              <w:jc w:val="center"/>
              <w:rPr>
                <w:rFonts w:ascii="Arial" w:hAnsi="Arial" w:cs="Arial"/>
                <w:b/>
                <w:bCs/>
              </w:rPr>
            </w:pPr>
            <w:r w:rsidRPr="00EF4507">
              <w:rPr>
                <w:rFonts w:ascii="Arial" w:hAnsi="Arial" w:cs="Arial"/>
                <w:b/>
                <w:bCs/>
              </w:rPr>
              <w:t>Eil. Nr.</w:t>
            </w:r>
          </w:p>
        </w:tc>
        <w:tc>
          <w:tcPr>
            <w:tcW w:w="2029" w:type="pct"/>
            <w:shd w:val="clear" w:color="auto" w:fill="DBE5F1"/>
            <w:vAlign w:val="center"/>
          </w:tcPr>
          <w:p w14:paraId="1C39BD09" w14:textId="5AEBA200" w:rsidR="00282EE0" w:rsidRPr="00EF4507" w:rsidRDefault="00282EE0" w:rsidP="00FF23F6">
            <w:pPr>
              <w:jc w:val="center"/>
              <w:rPr>
                <w:rFonts w:ascii="Arial" w:hAnsi="Arial" w:cs="Arial"/>
                <w:b/>
                <w:bCs/>
              </w:rPr>
            </w:pPr>
            <w:r w:rsidRPr="00EF4507">
              <w:rPr>
                <w:rFonts w:ascii="Arial" w:hAnsi="Arial" w:cs="Arial"/>
                <w:b/>
                <w:bCs/>
              </w:rPr>
              <w:t>Nuoroda į pirkimo dokumentų punktą</w:t>
            </w:r>
          </w:p>
        </w:tc>
        <w:tc>
          <w:tcPr>
            <w:tcW w:w="2794" w:type="pct"/>
            <w:shd w:val="clear" w:color="auto" w:fill="DBE5F1"/>
            <w:vAlign w:val="center"/>
          </w:tcPr>
          <w:p w14:paraId="77AE5900" w14:textId="4451288D" w:rsidR="00282EE0" w:rsidRPr="00EF4507" w:rsidRDefault="00282EE0" w:rsidP="00FF23F6">
            <w:pPr>
              <w:jc w:val="center"/>
              <w:rPr>
                <w:rFonts w:ascii="Arial" w:hAnsi="Arial" w:cs="Arial"/>
                <w:b/>
                <w:bCs/>
              </w:rPr>
            </w:pPr>
            <w:r w:rsidRPr="00EF4507">
              <w:rPr>
                <w:rFonts w:ascii="Arial" w:hAnsi="Arial" w:cs="Arial"/>
                <w:b/>
                <w:bCs/>
              </w:rPr>
              <w:t>Atsakymas į klausimą/ Informacija apie pirkimo dokumentų tikslinimą</w:t>
            </w:r>
          </w:p>
        </w:tc>
      </w:tr>
      <w:tr w:rsidR="00282EE0" w:rsidRPr="00EF4507" w14:paraId="1C3762EB" w14:textId="6DC4241A" w:rsidTr="00CF0C26">
        <w:tc>
          <w:tcPr>
            <w:tcW w:w="177" w:type="pct"/>
          </w:tcPr>
          <w:p w14:paraId="3E4DE398" w14:textId="35D77FC1" w:rsidR="00282EE0" w:rsidRPr="00EF4507" w:rsidRDefault="00282EE0" w:rsidP="00DE49B1">
            <w:pPr>
              <w:jc w:val="both"/>
              <w:rPr>
                <w:rFonts w:ascii="Arial" w:hAnsi="Arial" w:cs="Arial"/>
              </w:rPr>
            </w:pPr>
            <w:r w:rsidRPr="00EF4507">
              <w:rPr>
                <w:rFonts w:ascii="Arial" w:hAnsi="Arial" w:cs="Arial"/>
              </w:rPr>
              <w:t>1.</w:t>
            </w:r>
          </w:p>
        </w:tc>
        <w:tc>
          <w:tcPr>
            <w:tcW w:w="2029" w:type="pct"/>
          </w:tcPr>
          <w:p w14:paraId="7C6E5755" w14:textId="77777777" w:rsidR="00282EE0" w:rsidRPr="00EF4507" w:rsidRDefault="00282EE0" w:rsidP="00282EE0">
            <w:pPr>
              <w:jc w:val="both"/>
              <w:rPr>
                <w:rFonts w:ascii="Arial" w:hAnsi="Arial" w:cs="Arial"/>
              </w:rPr>
            </w:pPr>
            <w:r w:rsidRPr="00EF4507">
              <w:rPr>
                <w:rFonts w:ascii="Arial" w:hAnsi="Arial" w:cs="Arial"/>
              </w:rPr>
              <w:t>Atsižvelgiant į Valstybinės energetikos reguliavimo tarybos nutarimą dėl vartojimo ginčo Nr. R3-1450 (pridedama), ar teisingai suprantame, kad susidarius analogiškai situacijai, kai Tiekėjo darbuotojas neteisingai nurašo elektros apskaitos prietaiso rodmenis (pvz., vietoje 19 450 nurašoma 1 945), visa dėl to atsiradusi finansinė žala (jei ji įtvirtinama VERT sprendimu ESO naudai) be išlygų tenka paslaugas teikiančiam rangovui, net ir tuo atveju, kai faktinė energija yra sunaudota paties vartotojo, bet pastarasis jos neapmoka?</w:t>
            </w:r>
          </w:p>
          <w:p w14:paraId="4D210301" w14:textId="301940A1" w:rsidR="00282EE0" w:rsidRPr="00EF4507" w:rsidRDefault="00282EE0" w:rsidP="00282EE0">
            <w:pPr>
              <w:jc w:val="both"/>
              <w:rPr>
                <w:rFonts w:ascii="Arial" w:hAnsi="Arial" w:cs="Arial"/>
              </w:rPr>
            </w:pPr>
            <w:r w:rsidRPr="00EF4507">
              <w:rPr>
                <w:rFonts w:ascii="Arial" w:hAnsi="Arial" w:cs="Arial"/>
              </w:rPr>
              <w:t>Taip pat ar teisingai suprantame, kad remiantis suformuota VERT sprendimų praktika, tokios žalos apimtis vienu atveju gali siekti net iki 3 000 Eur, priklausomai nuo VERT nustatyto kompensuotino kiekio (kWh), ir kad rangovui ši atsakomybė gali būti taikoma dar trejus metus po sutarties pabaigos, vadovaujantis CK 1.125 str.?</w:t>
            </w:r>
          </w:p>
        </w:tc>
        <w:tc>
          <w:tcPr>
            <w:tcW w:w="2794" w:type="pct"/>
          </w:tcPr>
          <w:p w14:paraId="18A9F169" w14:textId="4DFC5E4A" w:rsidR="00282EE0" w:rsidRPr="00EF4507" w:rsidRDefault="00C474C5" w:rsidP="00DE49B1">
            <w:pPr>
              <w:jc w:val="both"/>
              <w:rPr>
                <w:rFonts w:ascii="Arial" w:hAnsi="Arial" w:cs="Arial"/>
              </w:rPr>
            </w:pPr>
            <w:r w:rsidRPr="00EF4507">
              <w:rPr>
                <w:rFonts w:ascii="Arial" w:hAnsi="Arial" w:cs="Arial"/>
                <w:color w:val="242424"/>
                <w:bdr w:val="none" w:sz="0" w:space="0" w:color="auto" w:frame="1"/>
                <w:shd w:val="clear" w:color="auto" w:fill="FFFFFF"/>
              </w:rPr>
              <w:t>Techninėje specifikacijoje nurodyta, kad jei paslaugų teikėjas pateikia klaidingus rodmenis, kurie nebuvo identifikuoti kaip klaidingi ir ištaisyti, jis privalo sumokėti 15 € baudą už kiekvieną atvejį ir atlyginti visus tiesioginius nuostolius. Jei VERT sprendimu žala priteisiama ESO naudai, ji tenka rangovui, net jei energiją faktiškai sunaudojo vartotojas. Atsakomybė gali būti taikoma ir po sutarties pabaigos, vadovaujantis CK 1.125 str.</w:t>
            </w:r>
          </w:p>
        </w:tc>
      </w:tr>
      <w:tr w:rsidR="00282EE0" w:rsidRPr="00EF4507" w14:paraId="4C6650BE" w14:textId="2BD6BF6E" w:rsidTr="00CF0C26">
        <w:tc>
          <w:tcPr>
            <w:tcW w:w="177" w:type="pct"/>
          </w:tcPr>
          <w:p w14:paraId="13DA9542" w14:textId="49E2A939" w:rsidR="00282EE0" w:rsidRPr="00EF4507" w:rsidRDefault="00282EE0" w:rsidP="00DE49B1">
            <w:pPr>
              <w:jc w:val="both"/>
              <w:rPr>
                <w:rFonts w:ascii="Arial" w:hAnsi="Arial" w:cs="Arial"/>
              </w:rPr>
            </w:pPr>
            <w:r w:rsidRPr="00EF4507">
              <w:rPr>
                <w:rFonts w:ascii="Arial" w:hAnsi="Arial" w:cs="Arial"/>
              </w:rPr>
              <w:t>2.</w:t>
            </w:r>
          </w:p>
        </w:tc>
        <w:tc>
          <w:tcPr>
            <w:tcW w:w="2029" w:type="pct"/>
          </w:tcPr>
          <w:p w14:paraId="36B71F65" w14:textId="3E65C849" w:rsidR="00722366" w:rsidRPr="00EF4507" w:rsidRDefault="00722366" w:rsidP="00722366">
            <w:pPr>
              <w:jc w:val="both"/>
              <w:rPr>
                <w:rFonts w:ascii="Arial" w:hAnsi="Arial" w:cs="Arial"/>
              </w:rPr>
            </w:pPr>
            <w:r w:rsidRPr="00EF4507">
              <w:rPr>
                <w:rFonts w:ascii="Arial" w:hAnsi="Arial" w:cs="Arial"/>
              </w:rPr>
              <w:t xml:space="preserve">Atsižvelgiant į tai, kad techninėje specifikacijoje nurodyta, jog užduotys Tiekėjui bus pateikiamos Excel formatu, ar teisingai suprantame, kad Perkančioji organizacija nenumato suteikti centralizuotos duomenų valdymo sistemos, kurioje Tiekėjas galėtų automatiškai įkelti užduotis, jas paskirstyti konkretiems darbuotojams, sinchronizuoti duomenis su ESO klientų deklaruotais suvartojimo rodmenimis bei administruoti nuolat besikeičiančius sąrašus? </w:t>
            </w:r>
          </w:p>
          <w:p w14:paraId="439CCE2E" w14:textId="2A3C2B3A" w:rsidR="00282EE0" w:rsidRPr="00EF4507" w:rsidRDefault="00722366" w:rsidP="00722366">
            <w:pPr>
              <w:jc w:val="both"/>
              <w:rPr>
                <w:rFonts w:ascii="Arial" w:hAnsi="Arial" w:cs="Arial"/>
              </w:rPr>
            </w:pPr>
            <w:r w:rsidRPr="00EF4507">
              <w:rPr>
                <w:rFonts w:ascii="Arial" w:hAnsi="Arial" w:cs="Arial"/>
              </w:rPr>
              <w:lastRenderedPageBreak/>
              <w:t>Jeigu tokia sistema ar programinė sąsaja nebus suteikta, ar galima laikyti, kad Tiekėjas įsipareigoja savo lėšomis iki faktinio darbų pradžios užtikrinti funkcionalų sprendimą, leidžiantį sklandžiai vykdyti operatyvinį duomenų valdymą bei komunikaciją su Perkančiosios organizacijos nurodytu portalu?</w:t>
            </w:r>
          </w:p>
        </w:tc>
        <w:tc>
          <w:tcPr>
            <w:tcW w:w="2794" w:type="pct"/>
          </w:tcPr>
          <w:p w14:paraId="2C7C7702" w14:textId="39D4FB87" w:rsidR="005803E8" w:rsidRPr="00EF4507" w:rsidRDefault="005803E8" w:rsidP="005803E8">
            <w:pPr>
              <w:rPr>
                <w:rFonts w:ascii="Arial" w:hAnsi="Arial" w:cs="Arial"/>
              </w:rPr>
            </w:pPr>
            <w:r w:rsidRPr="00EF4507">
              <w:rPr>
                <w:rFonts w:ascii="Arial" w:hAnsi="Arial" w:cs="Arial"/>
              </w:rPr>
              <w:lastRenderedPageBreak/>
              <w:t>Techninėje specifikacijoje ir Pried</w:t>
            </w:r>
            <w:r w:rsidR="007706FC" w:rsidRPr="00EF4507">
              <w:rPr>
                <w:rFonts w:ascii="Arial" w:hAnsi="Arial" w:cs="Arial"/>
              </w:rPr>
              <w:t>e</w:t>
            </w:r>
            <w:r w:rsidRPr="00EF4507">
              <w:rPr>
                <w:rFonts w:ascii="Arial" w:hAnsi="Arial" w:cs="Arial"/>
              </w:rPr>
              <w:t xml:space="preserve"> Nr. 1  nurodyta, kad užduotys pateikiamos per Portalą arba Excel failais. Apie centralizuotą valdymo sistemą neužsimenama, todėl tiekėjas turi savo lėšomis užtikrinti funkcionalų sprendimą, leidžiantį efektyviai valdyti duomenis ir komunikaciją su Portalu.</w:t>
            </w:r>
          </w:p>
          <w:p w14:paraId="687AAED5" w14:textId="77777777" w:rsidR="00282EE0" w:rsidRPr="00EF4507" w:rsidRDefault="00282EE0" w:rsidP="00DE49B1">
            <w:pPr>
              <w:jc w:val="both"/>
              <w:rPr>
                <w:rFonts w:ascii="Arial" w:hAnsi="Arial" w:cs="Arial"/>
              </w:rPr>
            </w:pPr>
          </w:p>
        </w:tc>
      </w:tr>
      <w:tr w:rsidR="00282EE0" w:rsidRPr="00EF4507" w14:paraId="43D41106" w14:textId="774454A2" w:rsidTr="00CF0C26">
        <w:tc>
          <w:tcPr>
            <w:tcW w:w="177" w:type="pct"/>
          </w:tcPr>
          <w:p w14:paraId="0C346A5C" w14:textId="3EEED946" w:rsidR="00282EE0" w:rsidRPr="00EF4507" w:rsidRDefault="00EF4845" w:rsidP="00DE49B1">
            <w:pPr>
              <w:jc w:val="both"/>
              <w:rPr>
                <w:rFonts w:ascii="Arial" w:hAnsi="Arial" w:cs="Arial"/>
              </w:rPr>
            </w:pPr>
            <w:r w:rsidRPr="00EF4507">
              <w:rPr>
                <w:rFonts w:ascii="Arial" w:hAnsi="Arial" w:cs="Arial"/>
              </w:rPr>
              <w:t>3.</w:t>
            </w:r>
          </w:p>
        </w:tc>
        <w:tc>
          <w:tcPr>
            <w:tcW w:w="2029" w:type="pct"/>
          </w:tcPr>
          <w:p w14:paraId="2AAEEAFE" w14:textId="11B9C685" w:rsidR="00AA3719" w:rsidRPr="00EF4507" w:rsidRDefault="00AA3719" w:rsidP="00AA3719">
            <w:pPr>
              <w:jc w:val="both"/>
              <w:rPr>
                <w:rFonts w:ascii="Arial" w:hAnsi="Arial" w:cs="Arial"/>
              </w:rPr>
            </w:pPr>
            <w:r w:rsidRPr="00EF4507">
              <w:rPr>
                <w:rFonts w:ascii="Arial" w:hAnsi="Arial" w:cs="Arial"/>
              </w:rPr>
              <w:t xml:space="preserve">Atsižvelgiant į techninės specifikacijos 6.7 punkte nurodytą didelį galimų užduočių kiekio svyravimą (nuo 1 700 iki 7 000 per mėnesį), ar teisingai suprantame, kad Perkančioji organizacija numato galimybę, jog konkretų mėnesį užduotys gali būti koncentruotos viename geografiškai atokiau esančiame regione (pvz., Klaipėdoje), o kitą – visiškai kitame regione (pvz., Vilniuje ar Panevėžyje), be išankstinio teritorinio ar kiekybinio paskirstymo plano? Atsižvelgiant į tokius reikšmingus kiekio ir teritorinio pasiskirstymo svyravimus, ar teisingai suprantame, kad Tiekėjas turi nuolat užtikrinti pakankamus žmogiškuosius ir logistinius išteklius visam maksimaliam apimties scenarijui visoje teritorijoje, net jei realiai užduočių per mėnesį pateikiama minimaliai? Ar Perkančioji organizacija svarsto galimybę kartu su Tiekėju iš anksto suderinti metinį poreikio paskirstymo planą, kurio vėliau nebūtų galima reikšmingai keisti? </w:t>
            </w:r>
          </w:p>
          <w:p w14:paraId="51E0FD06" w14:textId="77777777" w:rsidR="00282EE0" w:rsidRPr="00EF4507" w:rsidRDefault="00282EE0" w:rsidP="00DE49B1">
            <w:pPr>
              <w:jc w:val="both"/>
              <w:rPr>
                <w:rFonts w:ascii="Arial" w:hAnsi="Arial" w:cs="Arial"/>
              </w:rPr>
            </w:pPr>
          </w:p>
        </w:tc>
        <w:tc>
          <w:tcPr>
            <w:tcW w:w="2794" w:type="pct"/>
          </w:tcPr>
          <w:p w14:paraId="794730BE" w14:textId="136FE9CD" w:rsidR="005529BC" w:rsidRPr="00EF4507" w:rsidRDefault="005529BC" w:rsidP="005529BC">
            <w:pPr>
              <w:rPr>
                <w:rFonts w:ascii="Arial" w:hAnsi="Arial" w:cs="Arial"/>
              </w:rPr>
            </w:pPr>
            <w:r w:rsidRPr="00EF4507">
              <w:rPr>
                <w:rFonts w:ascii="Arial" w:hAnsi="Arial" w:cs="Arial"/>
              </w:rPr>
              <w:t>Techninės specifikacijos 6.7 punktas nurodo, kad užduočių kiekis gali svyruoti nuo 1 700 iki 7 000 per mėnesį, o paslaugos teikiamos visoje Lietuvoje. Nėra numatyto išankstinio teritorinio plano, todėl tiekėjas turi būti pasiruošęs maksimaliai apimčiai bet kuriame regione.</w:t>
            </w:r>
          </w:p>
          <w:p w14:paraId="136FC4FD" w14:textId="77777777" w:rsidR="00282EE0" w:rsidRPr="00EF4507" w:rsidRDefault="00282EE0" w:rsidP="00DE49B1">
            <w:pPr>
              <w:jc w:val="both"/>
              <w:rPr>
                <w:rFonts w:ascii="Arial" w:hAnsi="Arial" w:cs="Arial"/>
              </w:rPr>
            </w:pPr>
          </w:p>
        </w:tc>
      </w:tr>
      <w:tr w:rsidR="00282EE0" w:rsidRPr="00EF4507" w14:paraId="6E86B93E" w14:textId="77777777" w:rsidTr="00CF0C26">
        <w:tc>
          <w:tcPr>
            <w:tcW w:w="177" w:type="pct"/>
          </w:tcPr>
          <w:p w14:paraId="4DD62199" w14:textId="0FA3AB77" w:rsidR="00282EE0" w:rsidRPr="00EF4507" w:rsidRDefault="00EF4845" w:rsidP="00DE49B1">
            <w:pPr>
              <w:jc w:val="both"/>
              <w:rPr>
                <w:rFonts w:ascii="Arial" w:hAnsi="Arial" w:cs="Arial"/>
              </w:rPr>
            </w:pPr>
            <w:r w:rsidRPr="00EF4507">
              <w:rPr>
                <w:rFonts w:ascii="Arial" w:hAnsi="Arial" w:cs="Arial"/>
              </w:rPr>
              <w:t>4.</w:t>
            </w:r>
          </w:p>
        </w:tc>
        <w:tc>
          <w:tcPr>
            <w:tcW w:w="2029" w:type="pct"/>
          </w:tcPr>
          <w:p w14:paraId="2AD3C240" w14:textId="05E48541" w:rsidR="00282EE0" w:rsidRPr="00EF4507" w:rsidRDefault="00770E8B" w:rsidP="00770E8B">
            <w:pPr>
              <w:jc w:val="both"/>
              <w:rPr>
                <w:rFonts w:ascii="Arial" w:hAnsi="Arial" w:cs="Arial"/>
              </w:rPr>
            </w:pPr>
            <w:r w:rsidRPr="00EF4507">
              <w:rPr>
                <w:rFonts w:ascii="Arial" w:hAnsi="Arial" w:cs="Arial"/>
              </w:rPr>
              <w:t>Atsižvelgiant į Sutarties bendrosios dalies 17.2 punktą, kuriame numatyta, kad Klientas turi teisę vienašališkai nutraukti sutartį, įspėjęs prieš 60 kalendorinių dienų, ar teisingai suprantame, kad tokio nutraukimo atveju Tiekėjui nebus atlyginamos jokios su sutarties vykdymu susijusios išlaidos, įskaitant, bet neapsiribojant: darbų valdymo sistemos kūrimu ar adaptavimu, specializuotų priemonių įsigijimu, darbo priemonių nuoma, darbuotojų atleidimo ar išlaikymo kaštais, bei kitos ilgalaikės investicijos, padarytos vadovaujantis sutarties trukme?</w:t>
            </w:r>
          </w:p>
        </w:tc>
        <w:tc>
          <w:tcPr>
            <w:tcW w:w="2794" w:type="pct"/>
          </w:tcPr>
          <w:p w14:paraId="70FAD003" w14:textId="77777777" w:rsidR="00247F0D" w:rsidRPr="00EF4507" w:rsidRDefault="00247F0D" w:rsidP="00247F0D">
            <w:pPr>
              <w:rPr>
                <w:rFonts w:ascii="Arial" w:hAnsi="Arial" w:cs="Arial"/>
              </w:rPr>
            </w:pPr>
            <w:r w:rsidRPr="00EF4507">
              <w:rPr>
                <w:rFonts w:ascii="Arial" w:hAnsi="Arial" w:cs="Arial"/>
              </w:rPr>
              <w:t>Jei Klientas nutraukia sutartį vienašališkai (įspėjęs prieš 60 dienų), tiekėjui nekompensuojamos jokios su tuo susijusios išlaidos, įskaitant investicijas į sistemas, įrangą ar personalą. Tai numatyta Sutarties bendrosios dalies 17.2 punkte.</w:t>
            </w:r>
          </w:p>
          <w:p w14:paraId="33235BD5" w14:textId="77777777" w:rsidR="00282EE0" w:rsidRPr="00EF4507" w:rsidRDefault="00282EE0" w:rsidP="00DE49B1">
            <w:pPr>
              <w:jc w:val="both"/>
              <w:rPr>
                <w:rFonts w:ascii="Arial" w:hAnsi="Arial" w:cs="Arial"/>
              </w:rPr>
            </w:pPr>
          </w:p>
        </w:tc>
      </w:tr>
      <w:tr w:rsidR="00282EE0" w:rsidRPr="00EF4507" w14:paraId="4A4D5C69" w14:textId="77777777" w:rsidTr="00CF0C26">
        <w:tc>
          <w:tcPr>
            <w:tcW w:w="177" w:type="pct"/>
          </w:tcPr>
          <w:p w14:paraId="54B4A89A" w14:textId="32827625" w:rsidR="00282EE0" w:rsidRPr="00EF4507" w:rsidRDefault="00EF4845" w:rsidP="00DE49B1">
            <w:pPr>
              <w:jc w:val="both"/>
              <w:rPr>
                <w:rFonts w:ascii="Arial" w:hAnsi="Arial" w:cs="Arial"/>
              </w:rPr>
            </w:pPr>
            <w:r w:rsidRPr="00EF4507">
              <w:rPr>
                <w:rFonts w:ascii="Arial" w:hAnsi="Arial" w:cs="Arial"/>
              </w:rPr>
              <w:t>5.</w:t>
            </w:r>
          </w:p>
        </w:tc>
        <w:tc>
          <w:tcPr>
            <w:tcW w:w="2029" w:type="pct"/>
          </w:tcPr>
          <w:p w14:paraId="25A0A9E2" w14:textId="07F17755" w:rsidR="00052755" w:rsidRPr="00EF4507" w:rsidRDefault="00052755" w:rsidP="00052755">
            <w:pPr>
              <w:jc w:val="both"/>
              <w:rPr>
                <w:rFonts w:ascii="Arial" w:hAnsi="Arial" w:cs="Arial"/>
              </w:rPr>
            </w:pPr>
            <w:r w:rsidRPr="00EF4507">
              <w:rPr>
                <w:rFonts w:ascii="Arial" w:hAnsi="Arial" w:cs="Arial"/>
              </w:rPr>
              <w:t xml:space="preserve">Atsižvelgiant į Techninės specifikacijos priedo Nr. 4 nuostatą, kurioje nurodyta, kad esant mažesniam nei 95 proc. paslaugų įvykdymui taikomi sumažinti koeficientai, ar teisingai suprantame, kad: </w:t>
            </w:r>
          </w:p>
          <w:p w14:paraId="31B4EC92" w14:textId="1FA20F9B" w:rsidR="00282EE0" w:rsidRPr="00EF4507" w:rsidRDefault="00052755" w:rsidP="00052755">
            <w:pPr>
              <w:jc w:val="both"/>
              <w:rPr>
                <w:rFonts w:ascii="Arial" w:hAnsi="Arial" w:cs="Arial"/>
              </w:rPr>
            </w:pPr>
            <w:r w:rsidRPr="00EF4507">
              <w:rPr>
                <w:rFonts w:ascii="Arial" w:hAnsi="Arial" w:cs="Arial"/>
              </w:rPr>
              <w:lastRenderedPageBreak/>
              <w:t>– jeigu įvykdoma 94 % užduočių, bendras įkainis mažinamas 10 %, – jeigu įvykdoma 79 % užduočių, įkainis mažinamas 25 %?</w:t>
            </w:r>
          </w:p>
        </w:tc>
        <w:tc>
          <w:tcPr>
            <w:tcW w:w="2794" w:type="pct"/>
          </w:tcPr>
          <w:p w14:paraId="19BB8797" w14:textId="3A68ECF1" w:rsidR="00282EE0" w:rsidRPr="00EF4507" w:rsidRDefault="00F46E03" w:rsidP="00DE49B1">
            <w:pPr>
              <w:jc w:val="both"/>
              <w:rPr>
                <w:rFonts w:ascii="Arial" w:hAnsi="Arial" w:cs="Arial"/>
              </w:rPr>
            </w:pPr>
            <w:r w:rsidRPr="00EF4507">
              <w:rPr>
                <w:rFonts w:ascii="Arial" w:hAnsi="Arial" w:cs="Arial"/>
                <w:color w:val="242424"/>
                <w:shd w:val="clear" w:color="auto" w:fill="FFFFFF"/>
              </w:rPr>
              <w:lastRenderedPageBreak/>
              <w:t>Remiantis Priedo Nr. 4 (Paslaugų apmokėjimo metodika) 3.1 punktu:</w:t>
            </w:r>
            <w:r w:rsidRPr="00EF4507">
              <w:rPr>
                <w:rFonts w:ascii="Arial" w:hAnsi="Arial" w:cs="Arial"/>
                <w:color w:val="242424"/>
              </w:rPr>
              <w:br/>
            </w:r>
            <w:r w:rsidRPr="00EF4507">
              <w:rPr>
                <w:rFonts w:ascii="Arial" w:hAnsi="Arial" w:cs="Arial"/>
                <w:color w:val="242424"/>
                <w:shd w:val="clear" w:color="auto" w:fill="FFFFFF"/>
              </w:rPr>
              <w:t>- Jei įvykdoma 94 % užduočių – įkainis mažinamas 10 %.</w:t>
            </w:r>
            <w:r w:rsidRPr="00EF4507">
              <w:rPr>
                <w:rFonts w:ascii="Arial" w:hAnsi="Arial" w:cs="Arial"/>
                <w:color w:val="242424"/>
              </w:rPr>
              <w:br/>
            </w:r>
            <w:r w:rsidRPr="00EF4507">
              <w:rPr>
                <w:rFonts w:ascii="Arial" w:hAnsi="Arial" w:cs="Arial"/>
                <w:color w:val="242424"/>
                <w:shd w:val="clear" w:color="auto" w:fill="FFFFFF"/>
              </w:rPr>
              <w:t>- Jei įvykdoma 79 % užduočių – įkainis mažinamas 25 %.</w:t>
            </w:r>
          </w:p>
        </w:tc>
      </w:tr>
      <w:tr w:rsidR="00BB409E" w:rsidRPr="00EF4507" w14:paraId="33B03C57" w14:textId="77777777" w:rsidTr="00CF0C26">
        <w:tc>
          <w:tcPr>
            <w:tcW w:w="177" w:type="pct"/>
          </w:tcPr>
          <w:p w14:paraId="6F5B84A1" w14:textId="306AA628" w:rsidR="00BB409E" w:rsidRPr="00EF4507" w:rsidRDefault="00BB409E" w:rsidP="00BB409E">
            <w:pPr>
              <w:jc w:val="both"/>
              <w:rPr>
                <w:rFonts w:ascii="Arial" w:hAnsi="Arial" w:cs="Arial"/>
              </w:rPr>
            </w:pPr>
            <w:r w:rsidRPr="00EF4507">
              <w:rPr>
                <w:rFonts w:ascii="Arial" w:hAnsi="Arial" w:cs="Arial"/>
              </w:rPr>
              <w:t>6.</w:t>
            </w:r>
          </w:p>
        </w:tc>
        <w:tc>
          <w:tcPr>
            <w:tcW w:w="2029" w:type="pct"/>
          </w:tcPr>
          <w:p w14:paraId="07EF007A" w14:textId="7A6E4B85" w:rsidR="00BB409E" w:rsidRPr="00EF4507" w:rsidRDefault="00BB409E" w:rsidP="00BB409E">
            <w:pPr>
              <w:jc w:val="both"/>
              <w:rPr>
                <w:rFonts w:ascii="Arial" w:hAnsi="Arial" w:cs="Arial"/>
              </w:rPr>
            </w:pPr>
            <w:r w:rsidRPr="00EF4507">
              <w:rPr>
                <w:rFonts w:ascii="Arial" w:hAnsi="Arial" w:cs="Arial"/>
              </w:rPr>
              <w:t xml:space="preserve">Atsižvelgiant į tai, kad pirkimo dokumentuose nurodyta preliminari maksimali pirkimo vertė, tačiau: </w:t>
            </w:r>
          </w:p>
          <w:p w14:paraId="19EA20B6" w14:textId="254711D4" w:rsidR="00BB409E" w:rsidRPr="00EF4507" w:rsidRDefault="00BB409E" w:rsidP="00BB409E">
            <w:pPr>
              <w:jc w:val="both"/>
              <w:rPr>
                <w:rFonts w:ascii="Arial" w:hAnsi="Arial" w:cs="Arial"/>
              </w:rPr>
            </w:pPr>
            <w:r w:rsidRPr="00EF4507">
              <w:rPr>
                <w:rFonts w:ascii="Arial" w:hAnsi="Arial" w:cs="Arial"/>
              </w:rPr>
              <w:t xml:space="preserve">– ankstesnių analogiškų pirkimų metu faktiškai suteiktų paslaugų apimtys buvo gerokai didesnės nei pirminiame plane; – pagrindinės sąnaudų dedamosios, tokios kaip darbo užmokestis, kuro išlaidos, administracinis sistemos palaikymas, išlieka fiksuotos ir nepriklauso nuo užduočių kiekio; – taip pat pastaruoju metu ženkliai išaugę infliacijos ir energetikos kaštai, prašome patikslinti šiuos aspektus: </w:t>
            </w:r>
          </w:p>
          <w:p w14:paraId="09591F91" w14:textId="77777777" w:rsidR="00BB409E" w:rsidRPr="00EF4507" w:rsidRDefault="00BB409E" w:rsidP="00BB409E">
            <w:pPr>
              <w:jc w:val="both"/>
              <w:rPr>
                <w:rFonts w:ascii="Arial" w:hAnsi="Arial" w:cs="Arial"/>
              </w:rPr>
            </w:pPr>
            <w:r w:rsidRPr="00EF4507">
              <w:rPr>
                <w:rFonts w:ascii="Arial" w:hAnsi="Arial" w:cs="Arial"/>
              </w:rPr>
              <w:t xml:space="preserve">- Ar tiekėjo pasiūlymas, kurio bendra vertė viršytų pirkimo dokumentuose nurodytą preliminarią maksimalią vertę, bus automatiškai atmestas, net jeigu siūlomas įkainis yra ekonomiškai pagrįstas pagal faktines rinkos sąlygas? </w:t>
            </w:r>
          </w:p>
          <w:p w14:paraId="24FC1751" w14:textId="02301318" w:rsidR="00BB409E" w:rsidRPr="00EF4507" w:rsidRDefault="00BB409E" w:rsidP="00BB409E">
            <w:pPr>
              <w:jc w:val="both"/>
              <w:rPr>
                <w:rFonts w:ascii="Arial" w:hAnsi="Arial" w:cs="Arial"/>
              </w:rPr>
            </w:pPr>
            <w:r w:rsidRPr="00EF4507">
              <w:rPr>
                <w:rFonts w:ascii="Arial" w:hAnsi="Arial" w:cs="Arial"/>
              </w:rPr>
              <w:t>- Ar Perkančioji organizacija numato galimybę, esant objektyviai būtinybei (pvz. dėl ženkliai padidėjusių faktinių paslaugų apimčių ar infliacinių sąlygų), peržiūrėti ir padidinti pirkimo vertę sutarties galiojimo metu ar iki pasiūlymų vertinimo pabaigos?</w:t>
            </w:r>
          </w:p>
        </w:tc>
        <w:tc>
          <w:tcPr>
            <w:tcW w:w="2794" w:type="pct"/>
          </w:tcPr>
          <w:p w14:paraId="4B67243C" w14:textId="1FBA4EE9" w:rsidR="00BB409E" w:rsidRPr="00EF4507" w:rsidRDefault="00BB409E" w:rsidP="00BB409E">
            <w:pPr>
              <w:jc w:val="both"/>
              <w:rPr>
                <w:rFonts w:ascii="Arial" w:hAnsi="Arial" w:cs="Arial"/>
                <w:bCs/>
              </w:rPr>
            </w:pPr>
            <w:r w:rsidRPr="00EF4507">
              <w:rPr>
                <w:rFonts w:ascii="Arial" w:hAnsi="Arial" w:cs="Arial"/>
                <w:bCs/>
              </w:rPr>
              <w:t>Per dideliu ir nepriimtinu įka</w:t>
            </w:r>
            <w:r w:rsidR="00645E97" w:rsidRPr="00EF4507">
              <w:rPr>
                <w:rFonts w:ascii="Arial" w:hAnsi="Arial" w:cs="Arial"/>
                <w:bCs/>
              </w:rPr>
              <w:t>iniu</w:t>
            </w:r>
            <w:r w:rsidR="005823BB" w:rsidRPr="00EF4507">
              <w:rPr>
                <w:rFonts w:ascii="Arial" w:hAnsi="Arial" w:cs="Arial"/>
                <w:bCs/>
              </w:rPr>
              <w:t xml:space="preserve"> </w:t>
            </w:r>
            <w:r w:rsidRPr="00EF4507">
              <w:rPr>
                <w:rFonts w:ascii="Arial" w:hAnsi="Arial" w:cs="Arial"/>
                <w:bCs/>
              </w:rPr>
              <w:t>bus laikomas įkainis</w:t>
            </w:r>
            <w:r w:rsidR="00645E97" w:rsidRPr="00EF4507">
              <w:rPr>
                <w:rFonts w:ascii="Arial" w:hAnsi="Arial" w:cs="Arial"/>
                <w:bCs/>
              </w:rPr>
              <w:t xml:space="preserve">, </w:t>
            </w:r>
            <w:r w:rsidRPr="00EF4507">
              <w:rPr>
                <w:rFonts w:ascii="Arial" w:hAnsi="Arial" w:cs="Arial"/>
                <w:bCs/>
              </w:rPr>
              <w:t xml:space="preserve">kuris viršys </w:t>
            </w:r>
            <w:r w:rsidRPr="00CF0C26">
              <w:rPr>
                <w:rFonts w:ascii="Arial" w:hAnsi="Arial" w:cs="Arial"/>
                <w:b/>
              </w:rPr>
              <w:t>pasiūlymo</w:t>
            </w:r>
            <w:r w:rsidRPr="00EF4507">
              <w:rPr>
                <w:rFonts w:ascii="Arial" w:hAnsi="Arial" w:cs="Arial"/>
                <w:bCs/>
              </w:rPr>
              <w:t xml:space="preserve"> </w:t>
            </w:r>
            <w:r w:rsidRPr="00CF0C26">
              <w:rPr>
                <w:rFonts w:ascii="Arial" w:hAnsi="Arial" w:cs="Arial"/>
                <w:b/>
              </w:rPr>
              <w:t>formoje nurodytą maksimalų priimtiną įkainį</w:t>
            </w:r>
            <w:r w:rsidR="004C011B">
              <w:rPr>
                <w:rFonts w:ascii="Arial" w:hAnsi="Arial" w:cs="Arial"/>
                <w:bCs/>
              </w:rPr>
              <w:t xml:space="preserve"> </w:t>
            </w:r>
            <w:r w:rsidR="004C011B" w:rsidRPr="004C011B">
              <w:rPr>
                <w:rFonts w:ascii="Arial" w:hAnsi="Arial" w:cs="Arial"/>
                <w:bCs/>
              </w:rPr>
              <w:t>(</w:t>
            </w:r>
            <w:r w:rsidR="004C011B">
              <w:rPr>
                <w:rFonts w:ascii="Arial" w:hAnsi="Arial" w:cs="Arial"/>
                <w:bCs/>
              </w:rPr>
              <w:t xml:space="preserve">žr. Pasiūlymo formos 4 priedas „2.6.2. </w:t>
            </w:r>
            <w:r w:rsidR="004C011B" w:rsidRPr="004C011B">
              <w:rPr>
                <w:rFonts w:ascii="Arial" w:hAnsi="Arial" w:cs="Arial"/>
                <w:bCs/>
              </w:rPr>
              <w:t>Pasiūlymo</w:t>
            </w:r>
            <w:r w:rsidR="004C011B">
              <w:rPr>
                <w:rFonts w:ascii="Arial" w:hAnsi="Arial" w:cs="Arial"/>
                <w:bCs/>
              </w:rPr>
              <w:t xml:space="preserve"> kaina)</w:t>
            </w:r>
            <w:r w:rsidR="00EF4507">
              <w:rPr>
                <w:rFonts w:ascii="Arial" w:hAnsi="Arial" w:cs="Arial"/>
                <w:bCs/>
              </w:rPr>
              <w:t>, bet ne Pirkimo dokumentuose (</w:t>
            </w:r>
            <w:r w:rsidR="004C011B">
              <w:rPr>
                <w:rFonts w:ascii="Arial" w:hAnsi="Arial" w:cs="Arial"/>
                <w:bCs/>
              </w:rPr>
              <w:t xml:space="preserve">žr. </w:t>
            </w:r>
            <w:r w:rsidR="00EF4507">
              <w:rPr>
                <w:rFonts w:ascii="Arial" w:hAnsi="Arial" w:cs="Arial"/>
                <w:bCs/>
              </w:rPr>
              <w:t xml:space="preserve">SPS 16 p.) nurodytą </w:t>
            </w:r>
            <w:r w:rsidR="00EF4507" w:rsidRPr="00CF0C26">
              <w:rPr>
                <w:rFonts w:ascii="Arial" w:hAnsi="Arial" w:cs="Arial"/>
                <w:bCs/>
                <w:sz w:val="24"/>
                <w:szCs w:val="24"/>
              </w:rPr>
              <w:t>maksimalią galimą Sutarties vertę</w:t>
            </w:r>
            <w:r w:rsidR="00EF4507">
              <w:rPr>
                <w:rFonts w:ascii="Arial" w:hAnsi="Arial" w:cs="Arial"/>
                <w:bCs/>
              </w:rPr>
              <w:t>,</w:t>
            </w:r>
            <w:r w:rsidRPr="00EF4507">
              <w:rPr>
                <w:rFonts w:ascii="Arial" w:hAnsi="Arial" w:cs="Arial"/>
                <w:bCs/>
              </w:rPr>
              <w:t xml:space="preserve"> </w:t>
            </w:r>
            <w:r w:rsidR="00DF2FC0" w:rsidRPr="00EF4507">
              <w:rPr>
                <w:rFonts w:ascii="Arial" w:hAnsi="Arial" w:cs="Arial"/>
                <w:bCs/>
              </w:rPr>
              <w:t>ir toks pasiūlymas bus atmestas.</w:t>
            </w:r>
          </w:p>
          <w:p w14:paraId="2922B616" w14:textId="38B0CD0B" w:rsidR="00F8159B" w:rsidRPr="00EF4507" w:rsidRDefault="00F8159B" w:rsidP="00BB409E">
            <w:pPr>
              <w:jc w:val="both"/>
              <w:rPr>
                <w:rFonts w:ascii="Arial" w:hAnsi="Arial" w:cs="Arial"/>
              </w:rPr>
            </w:pPr>
            <w:r w:rsidRPr="00EF4507">
              <w:rPr>
                <w:rFonts w:ascii="Arial" w:hAnsi="Arial" w:cs="Arial"/>
              </w:rPr>
              <w:t xml:space="preserve">Atkreipiame dėmesį, kad </w:t>
            </w:r>
            <w:r w:rsidR="00234D76" w:rsidRPr="00EF4507">
              <w:rPr>
                <w:rFonts w:ascii="Arial" w:hAnsi="Arial" w:cs="Arial"/>
              </w:rPr>
              <w:t>Paslaugų teikimo s</w:t>
            </w:r>
            <w:r w:rsidRPr="00EF4507">
              <w:rPr>
                <w:rFonts w:ascii="Arial" w:hAnsi="Arial" w:cs="Arial"/>
              </w:rPr>
              <w:t>utar</w:t>
            </w:r>
            <w:r w:rsidR="00234D76" w:rsidRPr="00EF4507">
              <w:rPr>
                <w:rFonts w:ascii="Arial" w:hAnsi="Arial" w:cs="Arial"/>
              </w:rPr>
              <w:t>t</w:t>
            </w:r>
            <w:r w:rsidRPr="00EF4507">
              <w:rPr>
                <w:rFonts w:ascii="Arial" w:hAnsi="Arial" w:cs="Arial"/>
              </w:rPr>
              <w:t xml:space="preserve">ies SD </w:t>
            </w:r>
            <w:r w:rsidR="00234D76" w:rsidRPr="00EF4507">
              <w:rPr>
                <w:rFonts w:ascii="Arial" w:hAnsi="Arial" w:cs="Arial"/>
              </w:rPr>
              <w:t>Priede Nr. 4 yra numatytos Įkainio perskaičiavimo sąlygos.</w:t>
            </w:r>
          </w:p>
        </w:tc>
      </w:tr>
      <w:tr w:rsidR="00BB409E" w:rsidRPr="00EF4507" w14:paraId="35CDE0E0" w14:textId="77777777" w:rsidTr="00CF0C26">
        <w:tc>
          <w:tcPr>
            <w:tcW w:w="177" w:type="pct"/>
          </w:tcPr>
          <w:p w14:paraId="2F983DB5" w14:textId="0277BB7F" w:rsidR="00BB409E" w:rsidRPr="00EF4507" w:rsidRDefault="00BB409E" w:rsidP="00BB409E">
            <w:pPr>
              <w:jc w:val="both"/>
              <w:rPr>
                <w:rFonts w:ascii="Arial" w:hAnsi="Arial" w:cs="Arial"/>
              </w:rPr>
            </w:pPr>
            <w:r w:rsidRPr="00EF4507">
              <w:rPr>
                <w:rFonts w:ascii="Arial" w:hAnsi="Arial" w:cs="Arial"/>
              </w:rPr>
              <w:t>7.</w:t>
            </w:r>
          </w:p>
        </w:tc>
        <w:tc>
          <w:tcPr>
            <w:tcW w:w="2029" w:type="pct"/>
          </w:tcPr>
          <w:p w14:paraId="7E84122E" w14:textId="50FBDF07" w:rsidR="00BB409E" w:rsidRPr="00EF4507" w:rsidRDefault="00BB409E" w:rsidP="00BB409E">
            <w:pPr>
              <w:jc w:val="both"/>
              <w:rPr>
                <w:rFonts w:ascii="Arial" w:hAnsi="Arial" w:cs="Arial"/>
              </w:rPr>
            </w:pPr>
            <w:r w:rsidRPr="00EF4507">
              <w:rPr>
                <w:rFonts w:ascii="Arial" w:hAnsi="Arial" w:cs="Arial"/>
              </w:rPr>
              <w:t xml:space="preserve">Ar subtiekėjai, kurių pajėgumais Tiekėjas nesiremia kvalifikacijos vertinimui, taip pat privalo pildyti Europos bendrąjį viešųjų pirkimų dokumentą (EBVPD)? Taip pat ar teisingai suprantame, kad tokiais atvejais, net jei subtiekėjo kvalifikacija nėra vertinama, vis tiek paskelbus Tiekėją laimėtoju, privaloma pateikti visus dokumentus, pagrindžiančius, kad šiems subtiekėjams netaikomi Viešųjų pirkimų įstatymo 46 straipsnyje nustatyti pašalinimo pagrindai? </w:t>
            </w:r>
          </w:p>
        </w:tc>
        <w:tc>
          <w:tcPr>
            <w:tcW w:w="2794" w:type="pct"/>
          </w:tcPr>
          <w:p w14:paraId="5ACAEC08" w14:textId="652D1B8C" w:rsidR="00BB409E" w:rsidRPr="00EF4507" w:rsidRDefault="00E80F56" w:rsidP="00BB409E">
            <w:pPr>
              <w:jc w:val="both"/>
              <w:rPr>
                <w:rFonts w:ascii="Arial" w:hAnsi="Arial" w:cs="Arial"/>
              </w:rPr>
            </w:pPr>
            <w:r>
              <w:rPr>
                <w:rFonts w:ascii="Arial" w:hAnsi="Arial" w:cs="Arial"/>
              </w:rPr>
              <w:t>Vadovaujantis Pirkimo dokumentuose nustatytais reikalavimais, su</w:t>
            </w:r>
            <w:r w:rsidR="00BB409E" w:rsidRPr="00EF4507">
              <w:rPr>
                <w:rFonts w:ascii="Arial" w:hAnsi="Arial" w:cs="Arial"/>
              </w:rPr>
              <w:t>btiekėjų, kurių pajėgumais remiatės Sutarčiai vykdyti, EBVPD pateikti nereikia ir jų pašalinimo pagrindai nėra tikrinami.</w:t>
            </w:r>
          </w:p>
        </w:tc>
      </w:tr>
      <w:tr w:rsidR="00BB409E" w:rsidRPr="00EF4507" w14:paraId="01F46298" w14:textId="77777777" w:rsidTr="00CF0C26">
        <w:tc>
          <w:tcPr>
            <w:tcW w:w="177" w:type="pct"/>
          </w:tcPr>
          <w:p w14:paraId="71445F95" w14:textId="05501CC8" w:rsidR="00BB409E" w:rsidRPr="00EF4507" w:rsidRDefault="00BB409E" w:rsidP="00BB409E">
            <w:pPr>
              <w:jc w:val="both"/>
              <w:rPr>
                <w:rFonts w:ascii="Arial" w:hAnsi="Arial" w:cs="Arial"/>
              </w:rPr>
            </w:pPr>
            <w:r w:rsidRPr="00EF4507">
              <w:rPr>
                <w:rFonts w:ascii="Arial" w:hAnsi="Arial" w:cs="Arial"/>
              </w:rPr>
              <w:t>8.</w:t>
            </w:r>
          </w:p>
        </w:tc>
        <w:tc>
          <w:tcPr>
            <w:tcW w:w="2029" w:type="pct"/>
          </w:tcPr>
          <w:p w14:paraId="7BEC84EE" w14:textId="53245CB5" w:rsidR="00BB409E" w:rsidRPr="00EF4507" w:rsidRDefault="00BB409E" w:rsidP="00BB409E">
            <w:pPr>
              <w:jc w:val="both"/>
              <w:rPr>
                <w:rFonts w:ascii="Arial" w:hAnsi="Arial" w:cs="Arial"/>
              </w:rPr>
            </w:pPr>
            <w:r w:rsidRPr="00EF4507">
              <w:rPr>
                <w:rFonts w:ascii="Arial" w:hAnsi="Arial" w:cs="Arial"/>
              </w:rPr>
              <w:t xml:space="preserve">Atsižvelgiant į techninės specifikacijos 6.8 punktą, pagal kurį Tiekėjas privalo per kiekvieną ataskaitinį laikotarpį įvykdyti ne mažiau kaip 80 % pavestų užduočių, ar teisingai suprantame, kad esant dviem iš eilės atvejams, kai šis rodiklis nepasiekiamas, Perkančioji organizacija turės pagrindą nutraukti sutartį dėl esminio Tiekėjo įsipareigojimų pažeidimo? </w:t>
            </w:r>
          </w:p>
          <w:p w14:paraId="6713CC51" w14:textId="3BB48DE1" w:rsidR="00BB409E" w:rsidRPr="00EF4507" w:rsidRDefault="00BB409E" w:rsidP="00BB409E">
            <w:pPr>
              <w:jc w:val="both"/>
              <w:rPr>
                <w:rFonts w:ascii="Arial" w:hAnsi="Arial" w:cs="Arial"/>
              </w:rPr>
            </w:pPr>
            <w:r w:rsidRPr="00EF4507">
              <w:rPr>
                <w:rFonts w:ascii="Arial" w:hAnsi="Arial" w:cs="Arial"/>
              </w:rPr>
              <w:lastRenderedPageBreak/>
              <w:t>Taip pat ar teisingai suprantame, kad tokio nutraukimo atveju Tiekėjas gali būti laikomas pažeidusiu Viešųjų pirkimų įstatymo 46 straipsnio nuostatas, o jo duomenys gali būti perduoti CVP IS tiekėjų patikimumo vertinimui, kas gali lemti jo įtraukimą į nepatikimų tiekėjų sąrašą?</w:t>
            </w:r>
          </w:p>
        </w:tc>
        <w:tc>
          <w:tcPr>
            <w:tcW w:w="2794" w:type="pct"/>
          </w:tcPr>
          <w:p w14:paraId="751FC51E" w14:textId="77777777" w:rsidR="009A28AF" w:rsidRPr="00EF4507" w:rsidRDefault="009A28AF" w:rsidP="009A28AF">
            <w:pPr>
              <w:rPr>
                <w:rFonts w:ascii="Arial" w:hAnsi="Arial" w:cs="Arial"/>
              </w:rPr>
            </w:pPr>
            <w:r w:rsidRPr="00EF4507">
              <w:rPr>
                <w:rFonts w:ascii="Arial" w:hAnsi="Arial" w:cs="Arial"/>
              </w:rPr>
              <w:lastRenderedPageBreak/>
              <w:t>Taip, jei tiekėjas du ataskaitinius laikotarpius iš eilės neįvykdo 80 % užduočių, Klientas turi teisę vienašališkai nutraukti sutartį. Tokiu atveju tiekėjas gali būti laikomas pažeidusiu VPĮ 46 str. nuostatas, o jo duomenys gali būti perduoti CVP IS patikimumo vertinimui.</w:t>
            </w:r>
          </w:p>
          <w:p w14:paraId="6C07CA9A" w14:textId="77777777" w:rsidR="00BB409E" w:rsidRPr="00EF4507" w:rsidRDefault="00BB409E" w:rsidP="00BB409E">
            <w:pPr>
              <w:jc w:val="both"/>
              <w:rPr>
                <w:rFonts w:ascii="Arial" w:hAnsi="Arial" w:cs="Arial"/>
              </w:rPr>
            </w:pPr>
          </w:p>
        </w:tc>
      </w:tr>
      <w:tr w:rsidR="00BB409E" w:rsidRPr="00EF4507" w14:paraId="2EBDA421" w14:textId="77777777" w:rsidTr="00CF0C26">
        <w:tc>
          <w:tcPr>
            <w:tcW w:w="177" w:type="pct"/>
          </w:tcPr>
          <w:p w14:paraId="26972883" w14:textId="056FADB9" w:rsidR="00BB409E" w:rsidRPr="00EF4507" w:rsidRDefault="00BB409E" w:rsidP="00BB409E">
            <w:pPr>
              <w:jc w:val="both"/>
              <w:rPr>
                <w:rFonts w:ascii="Arial" w:hAnsi="Arial" w:cs="Arial"/>
              </w:rPr>
            </w:pPr>
            <w:r w:rsidRPr="00EF4507">
              <w:rPr>
                <w:rFonts w:ascii="Arial" w:hAnsi="Arial" w:cs="Arial"/>
              </w:rPr>
              <w:t>9.</w:t>
            </w:r>
          </w:p>
        </w:tc>
        <w:tc>
          <w:tcPr>
            <w:tcW w:w="2029" w:type="pct"/>
          </w:tcPr>
          <w:p w14:paraId="0FF9EDA1" w14:textId="5FCE9F41" w:rsidR="00BB409E" w:rsidRPr="00EF4507" w:rsidRDefault="00BB409E" w:rsidP="00BB409E">
            <w:pPr>
              <w:jc w:val="both"/>
              <w:rPr>
                <w:rFonts w:ascii="Arial" w:hAnsi="Arial" w:cs="Arial"/>
              </w:rPr>
            </w:pPr>
            <w:r w:rsidRPr="00EF4507">
              <w:rPr>
                <w:rFonts w:ascii="Arial" w:hAnsi="Arial" w:cs="Arial"/>
              </w:rPr>
              <w:t>Pirkimo sąlygų 6.1 punkte nurodyta, kad už pasiūlymo galiojimo užtikrinimą numatyta 3 % bauda nuo pasiūlytos vertės be PVM, bet ne daugiau kaip 60 000 Eur. Ar teisingai suprantame, kad ši bauda būtų taikoma tuo atveju, jei dalyvis, pakviestas sudaryti sutartį, to atsisako?</w:t>
            </w:r>
          </w:p>
        </w:tc>
        <w:tc>
          <w:tcPr>
            <w:tcW w:w="2794" w:type="pct"/>
          </w:tcPr>
          <w:p w14:paraId="34A811BF" w14:textId="0E86A80C" w:rsidR="00BB409E" w:rsidRPr="00EF4507" w:rsidRDefault="00BB409E" w:rsidP="00BB409E">
            <w:pPr>
              <w:jc w:val="both"/>
              <w:rPr>
                <w:rFonts w:ascii="Arial" w:hAnsi="Arial" w:cs="Arial"/>
              </w:rPr>
            </w:pPr>
            <w:r w:rsidRPr="00EF4507">
              <w:rPr>
                <w:rFonts w:ascii="Arial" w:hAnsi="Arial" w:cs="Arial"/>
              </w:rPr>
              <w:t xml:space="preserve">Taip, jei dalyvis atsisako pasirašyti Sutartį, tuomet taikoma </w:t>
            </w:r>
            <w:r w:rsidR="003A1E0C" w:rsidRPr="00EF4507">
              <w:rPr>
                <w:rFonts w:ascii="Arial" w:hAnsi="Arial" w:cs="Arial"/>
              </w:rPr>
              <w:t>nurodyt</w:t>
            </w:r>
            <w:r w:rsidR="003A1E0C">
              <w:rPr>
                <w:rFonts w:ascii="Arial" w:hAnsi="Arial" w:cs="Arial"/>
              </w:rPr>
              <w:t>o dydžio</w:t>
            </w:r>
            <w:r w:rsidR="003A1E0C" w:rsidRPr="00EF4507">
              <w:rPr>
                <w:rFonts w:ascii="Arial" w:hAnsi="Arial" w:cs="Arial"/>
              </w:rPr>
              <w:t xml:space="preserve"> </w:t>
            </w:r>
            <w:r w:rsidRPr="00EF4507">
              <w:rPr>
                <w:rFonts w:ascii="Arial" w:hAnsi="Arial" w:cs="Arial"/>
              </w:rPr>
              <w:t>bauda.</w:t>
            </w:r>
          </w:p>
        </w:tc>
      </w:tr>
      <w:tr w:rsidR="00BB409E" w:rsidRPr="00EF4507" w14:paraId="3F16FC2A" w14:textId="77777777" w:rsidTr="00CF0C26">
        <w:tc>
          <w:tcPr>
            <w:tcW w:w="177" w:type="pct"/>
          </w:tcPr>
          <w:p w14:paraId="65AEF77E" w14:textId="0550EF48" w:rsidR="00BB409E" w:rsidRPr="00EF4507" w:rsidRDefault="00BB409E" w:rsidP="00BB409E">
            <w:pPr>
              <w:jc w:val="both"/>
              <w:rPr>
                <w:rFonts w:ascii="Arial" w:hAnsi="Arial" w:cs="Arial"/>
              </w:rPr>
            </w:pPr>
            <w:r w:rsidRPr="00EF4507">
              <w:rPr>
                <w:rFonts w:ascii="Arial" w:hAnsi="Arial" w:cs="Arial"/>
              </w:rPr>
              <w:t>10.</w:t>
            </w:r>
          </w:p>
        </w:tc>
        <w:tc>
          <w:tcPr>
            <w:tcW w:w="2029" w:type="pct"/>
          </w:tcPr>
          <w:p w14:paraId="20F95CB1" w14:textId="127C8D88" w:rsidR="00BB409E" w:rsidRPr="00EF4507" w:rsidRDefault="00BB409E" w:rsidP="00BB409E">
            <w:pPr>
              <w:jc w:val="both"/>
              <w:rPr>
                <w:rFonts w:ascii="Arial" w:hAnsi="Arial" w:cs="Arial"/>
              </w:rPr>
            </w:pPr>
            <w:r w:rsidRPr="00EF4507">
              <w:rPr>
                <w:rFonts w:ascii="Arial" w:hAnsi="Arial" w:cs="Arial"/>
              </w:rPr>
              <w:t xml:space="preserve">Atsižvelgiant į techninės specifikacijos 7.4 punktą, kuriame nurodyta, kad elektros energijos mėnesiniai planai koreguojami viso mėnesio laikotarpiu (kasdien), remiantis klientų deklaruotais faktiniais suvartojimo rodmenimis, ar teisingai suprantame, kad mėnesio pradžioje Tiekėjui gali būti priskirta, pavyzdžiui, 5 000 užduočių, tačiau kasdien teikiant atnaujintus sąrašus dalis užduočių gali būti eliminuojama? Ar tai reiškia, kad galutinis faktiškai įvykdytinų užduočių kiekis gali būti reikšmingai sumažintas mėnesio eigoje (pvz., nuo 5 000 iki 2 000), net jei Tiekėjas mėnesio pradžioje buvo objektyviai pasiruošęs įvykdyti žymiai didesnį apimtį, atitinkamai suplanavęs žmogiškuosius ir logistinius išteklius? </w:t>
            </w:r>
          </w:p>
          <w:p w14:paraId="0459872D" w14:textId="77777777" w:rsidR="00BB409E" w:rsidRPr="00EF4507" w:rsidRDefault="00BB409E" w:rsidP="00BB409E">
            <w:pPr>
              <w:jc w:val="both"/>
              <w:rPr>
                <w:rFonts w:ascii="Arial" w:hAnsi="Arial" w:cs="Arial"/>
              </w:rPr>
            </w:pPr>
          </w:p>
        </w:tc>
        <w:tc>
          <w:tcPr>
            <w:tcW w:w="2794" w:type="pct"/>
          </w:tcPr>
          <w:p w14:paraId="070B5D6E" w14:textId="574EB732" w:rsidR="00646A85" w:rsidRPr="00EF4507" w:rsidRDefault="00646A85" w:rsidP="00646A85">
            <w:pPr>
              <w:rPr>
                <w:rFonts w:ascii="Arial" w:hAnsi="Arial" w:cs="Arial"/>
              </w:rPr>
            </w:pPr>
            <w:r w:rsidRPr="00EF4507">
              <w:rPr>
                <w:rFonts w:ascii="Arial" w:hAnsi="Arial" w:cs="Arial"/>
              </w:rPr>
              <w:t>Techninės specifikacijos 7.4 punktas numato, kad planai koreguojami kasdien, todėl galutinis užduočių kiekis gali būti sumažintas. Tai reiškia, kad tiekėjas, net jei pasiruošė didesniam kiekiui, gali realiai įvykdyti mažiau užduočių.</w:t>
            </w:r>
          </w:p>
          <w:p w14:paraId="48DF71A1" w14:textId="77777777" w:rsidR="00BB409E" w:rsidRPr="00EF4507" w:rsidRDefault="00BB409E" w:rsidP="00BB409E">
            <w:pPr>
              <w:jc w:val="both"/>
              <w:rPr>
                <w:rFonts w:ascii="Arial" w:hAnsi="Arial" w:cs="Arial"/>
              </w:rPr>
            </w:pPr>
          </w:p>
        </w:tc>
      </w:tr>
      <w:tr w:rsidR="008929D6" w:rsidRPr="00EF4507" w14:paraId="7BB15FB7" w14:textId="77777777" w:rsidTr="00CF0C26">
        <w:tc>
          <w:tcPr>
            <w:tcW w:w="177" w:type="pct"/>
            <w:vMerge w:val="restart"/>
          </w:tcPr>
          <w:p w14:paraId="42444713" w14:textId="384A05D7" w:rsidR="008929D6" w:rsidRPr="00EF4507" w:rsidRDefault="008929D6" w:rsidP="0051503B">
            <w:pPr>
              <w:jc w:val="both"/>
              <w:rPr>
                <w:rFonts w:ascii="Arial" w:hAnsi="Arial" w:cs="Arial"/>
              </w:rPr>
            </w:pPr>
            <w:r w:rsidRPr="00EF4507">
              <w:rPr>
                <w:rFonts w:ascii="Arial" w:hAnsi="Arial" w:cs="Arial"/>
              </w:rPr>
              <w:t>11.</w:t>
            </w:r>
          </w:p>
        </w:tc>
        <w:tc>
          <w:tcPr>
            <w:tcW w:w="2029" w:type="pct"/>
          </w:tcPr>
          <w:p w14:paraId="50676F94" w14:textId="2E10916A" w:rsidR="008929D6" w:rsidRPr="00EF4507" w:rsidRDefault="008929D6" w:rsidP="0051503B">
            <w:pPr>
              <w:jc w:val="both"/>
              <w:rPr>
                <w:rFonts w:ascii="Arial" w:hAnsi="Arial" w:cs="Arial"/>
              </w:rPr>
            </w:pPr>
            <w:r w:rsidRPr="00EF4507">
              <w:rPr>
                <w:rFonts w:ascii="Arial" w:hAnsi="Arial" w:cs="Arial"/>
              </w:rPr>
              <w:t>Sąlygose yra išskirtas bendras Apskaitos prietaisų rodmenų nurašymo kiekis – 360 000 vnt. per 36 mėn. Taip pat yra išskirti 5 regionai – Vilniaus, Šiaulių, Panevėžio, Klaipėdos ir Kauno. Prašome nurodyti koks Apskaitos prietaisų rodmenų nurašymo kiekis yra numatytas kiekviename regione atskirai 2025, 2026, 2027 ir 2028 metais.</w:t>
            </w:r>
          </w:p>
        </w:tc>
        <w:tc>
          <w:tcPr>
            <w:tcW w:w="2794" w:type="pct"/>
          </w:tcPr>
          <w:p w14:paraId="3633AD66" w14:textId="5D49A8C6" w:rsidR="008929D6" w:rsidRPr="00EF4507" w:rsidRDefault="008929D6" w:rsidP="00204BEA">
            <w:pPr>
              <w:rPr>
                <w:rFonts w:ascii="Arial" w:hAnsi="Arial" w:cs="Arial"/>
                <w:lang w:eastAsia="lt-LT"/>
              </w:rPr>
            </w:pPr>
            <w:r>
              <w:rPr>
                <w:rFonts w:ascii="Arial" w:hAnsi="Arial" w:cs="Arial"/>
                <w:lang w:eastAsia="lt-LT"/>
              </w:rPr>
              <w:t xml:space="preserve">Pateikiame apskaitos prietaisų rodmenų nurašymo regionuose statistinius duomenis pamėnesiui. </w:t>
            </w:r>
            <w:r w:rsidRPr="00EF4507">
              <w:rPr>
                <w:rFonts w:ascii="Arial" w:hAnsi="Arial" w:cs="Arial"/>
                <w:lang w:eastAsia="lt-LT"/>
              </w:rPr>
              <w:t xml:space="preserve">Kiekių </w:t>
            </w:r>
            <w:r>
              <w:rPr>
                <w:rFonts w:ascii="Arial" w:hAnsi="Arial" w:cs="Arial"/>
                <w:lang w:eastAsia="lt-LT"/>
              </w:rPr>
              <w:t xml:space="preserve">pamečiui </w:t>
            </w:r>
            <w:r w:rsidRPr="00EF4507">
              <w:rPr>
                <w:rFonts w:ascii="Arial" w:hAnsi="Arial" w:cs="Arial"/>
                <w:lang w:eastAsia="lt-LT"/>
              </w:rPr>
              <w:t>nustatyti negalime, kadangi nežinoma, kokiame regione bus nedeklaruojantys vartotojai</w:t>
            </w:r>
            <w:r>
              <w:rPr>
                <w:rFonts w:ascii="Arial" w:hAnsi="Arial" w:cs="Arial"/>
                <w:lang w:eastAsia="lt-LT"/>
              </w:rPr>
              <w:t>.</w:t>
            </w:r>
          </w:p>
          <w:p w14:paraId="2B306C24" w14:textId="77777777" w:rsidR="008929D6" w:rsidRPr="00EF4507" w:rsidRDefault="008929D6" w:rsidP="00204BEA">
            <w:pPr>
              <w:shd w:val="clear" w:color="auto" w:fill="FFFFFF"/>
              <w:rPr>
                <w:rFonts w:ascii="Arial" w:hAnsi="Arial" w:cs="Arial"/>
              </w:rPr>
            </w:pPr>
          </w:p>
        </w:tc>
      </w:tr>
      <w:tr w:rsidR="008929D6" w:rsidRPr="00EF4507" w14:paraId="63D101BC" w14:textId="77777777" w:rsidTr="008929D6">
        <w:tc>
          <w:tcPr>
            <w:tcW w:w="177" w:type="pct"/>
            <w:vMerge/>
          </w:tcPr>
          <w:p w14:paraId="03260FB9" w14:textId="77777777" w:rsidR="008929D6" w:rsidRPr="00EF4507" w:rsidRDefault="008929D6" w:rsidP="0051503B">
            <w:pPr>
              <w:jc w:val="both"/>
              <w:rPr>
                <w:rFonts w:ascii="Arial" w:hAnsi="Arial" w:cs="Arial"/>
              </w:rPr>
            </w:pPr>
          </w:p>
        </w:tc>
        <w:tc>
          <w:tcPr>
            <w:tcW w:w="4823" w:type="pct"/>
            <w:gridSpan w:val="2"/>
          </w:tcPr>
          <w:tbl>
            <w:tblPr>
              <w:tblW w:w="13232" w:type="dxa"/>
              <w:tblLayout w:type="fixed"/>
              <w:tblCellMar>
                <w:left w:w="0" w:type="dxa"/>
                <w:right w:w="0" w:type="dxa"/>
              </w:tblCellMar>
              <w:tblLook w:val="04A0" w:firstRow="1" w:lastRow="0" w:firstColumn="1" w:lastColumn="0" w:noHBand="0" w:noVBand="1"/>
            </w:tblPr>
            <w:tblGrid>
              <w:gridCol w:w="1134"/>
              <w:gridCol w:w="900"/>
              <w:gridCol w:w="992"/>
              <w:gridCol w:w="850"/>
              <w:gridCol w:w="851"/>
              <w:gridCol w:w="850"/>
              <w:gridCol w:w="851"/>
              <w:gridCol w:w="850"/>
              <w:gridCol w:w="851"/>
              <w:gridCol w:w="992"/>
              <w:gridCol w:w="992"/>
              <w:gridCol w:w="851"/>
              <w:gridCol w:w="992"/>
              <w:gridCol w:w="1276"/>
            </w:tblGrid>
            <w:tr w:rsidR="008929D6" w:rsidRPr="00EF4507" w14:paraId="635C44C3" w14:textId="77777777" w:rsidTr="008929D6">
              <w:trPr>
                <w:trHeight w:val="300"/>
              </w:trPr>
              <w:tc>
                <w:tcPr>
                  <w:tcW w:w="1134" w:type="dxa"/>
                  <w:tcBorders>
                    <w:bottom w:val="single" w:sz="4" w:space="0" w:color="auto"/>
                  </w:tcBorders>
                  <w:tcMar>
                    <w:top w:w="0" w:type="dxa"/>
                    <w:left w:w="108" w:type="dxa"/>
                    <w:bottom w:w="0" w:type="dxa"/>
                    <w:right w:w="108" w:type="dxa"/>
                  </w:tcMar>
                  <w:vAlign w:val="bottom"/>
                  <w:hideMark/>
                </w:tcPr>
                <w:p w14:paraId="2EE82E54"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dujos / kiekiai vnt.</w:t>
                  </w:r>
                </w:p>
              </w:tc>
              <w:tc>
                <w:tcPr>
                  <w:tcW w:w="900" w:type="dxa"/>
                  <w:tcBorders>
                    <w:bottom w:val="single" w:sz="4" w:space="0" w:color="auto"/>
                  </w:tcBorders>
                  <w:tcMar>
                    <w:top w:w="0" w:type="dxa"/>
                    <w:left w:w="108" w:type="dxa"/>
                    <w:bottom w:w="0" w:type="dxa"/>
                    <w:right w:w="108" w:type="dxa"/>
                  </w:tcMar>
                  <w:vAlign w:val="bottom"/>
                  <w:hideMark/>
                </w:tcPr>
                <w:p w14:paraId="1C461DE4" w14:textId="77777777" w:rsidR="008929D6" w:rsidRPr="00EF4507" w:rsidRDefault="008929D6" w:rsidP="008929D6">
                  <w:pPr>
                    <w:rPr>
                      <w:rFonts w:ascii="Arial" w:hAnsi="Arial" w:cs="Arial"/>
                      <w:sz w:val="22"/>
                      <w:szCs w:val="22"/>
                      <w:lang w:val="lt-LT" w:eastAsia="lt-LT"/>
                    </w:rPr>
                  </w:pPr>
                </w:p>
              </w:tc>
              <w:tc>
                <w:tcPr>
                  <w:tcW w:w="992" w:type="dxa"/>
                  <w:tcBorders>
                    <w:bottom w:val="single" w:sz="4" w:space="0" w:color="auto"/>
                  </w:tcBorders>
                  <w:tcMar>
                    <w:top w:w="0" w:type="dxa"/>
                    <w:left w:w="108" w:type="dxa"/>
                    <w:bottom w:w="0" w:type="dxa"/>
                    <w:right w:w="108" w:type="dxa"/>
                  </w:tcMar>
                  <w:vAlign w:val="bottom"/>
                  <w:hideMark/>
                </w:tcPr>
                <w:p w14:paraId="48F57158" w14:textId="77777777" w:rsidR="008929D6" w:rsidRPr="00EF4507" w:rsidRDefault="008929D6" w:rsidP="008929D6">
                  <w:pPr>
                    <w:rPr>
                      <w:rFonts w:ascii="Arial" w:hAnsi="Arial" w:cs="Arial"/>
                      <w:sz w:val="22"/>
                      <w:szCs w:val="22"/>
                      <w:lang w:val="lt-LT" w:eastAsia="lt-LT"/>
                    </w:rPr>
                  </w:pPr>
                </w:p>
              </w:tc>
              <w:tc>
                <w:tcPr>
                  <w:tcW w:w="850" w:type="dxa"/>
                  <w:tcBorders>
                    <w:bottom w:val="single" w:sz="4" w:space="0" w:color="auto"/>
                  </w:tcBorders>
                  <w:tcMar>
                    <w:top w:w="0" w:type="dxa"/>
                    <w:left w:w="108" w:type="dxa"/>
                    <w:bottom w:w="0" w:type="dxa"/>
                    <w:right w:w="108" w:type="dxa"/>
                  </w:tcMar>
                  <w:vAlign w:val="bottom"/>
                  <w:hideMark/>
                </w:tcPr>
                <w:p w14:paraId="0B0A1BAF" w14:textId="77777777" w:rsidR="008929D6" w:rsidRPr="00EF4507" w:rsidRDefault="008929D6" w:rsidP="008929D6">
                  <w:pPr>
                    <w:rPr>
                      <w:rFonts w:ascii="Arial" w:hAnsi="Arial" w:cs="Arial"/>
                      <w:sz w:val="22"/>
                      <w:szCs w:val="22"/>
                      <w:lang w:val="lt-LT" w:eastAsia="lt-LT"/>
                    </w:rPr>
                  </w:pPr>
                </w:p>
              </w:tc>
              <w:tc>
                <w:tcPr>
                  <w:tcW w:w="851" w:type="dxa"/>
                  <w:tcBorders>
                    <w:bottom w:val="single" w:sz="4" w:space="0" w:color="auto"/>
                  </w:tcBorders>
                  <w:tcMar>
                    <w:top w:w="0" w:type="dxa"/>
                    <w:left w:w="108" w:type="dxa"/>
                    <w:bottom w:w="0" w:type="dxa"/>
                    <w:right w:w="108" w:type="dxa"/>
                  </w:tcMar>
                  <w:vAlign w:val="bottom"/>
                  <w:hideMark/>
                </w:tcPr>
                <w:p w14:paraId="1DD4AC78" w14:textId="77777777" w:rsidR="008929D6" w:rsidRPr="00EF4507" w:rsidRDefault="008929D6" w:rsidP="008929D6">
                  <w:pPr>
                    <w:rPr>
                      <w:rFonts w:ascii="Arial" w:hAnsi="Arial" w:cs="Arial"/>
                      <w:sz w:val="22"/>
                      <w:szCs w:val="22"/>
                      <w:lang w:val="lt-LT" w:eastAsia="lt-LT"/>
                    </w:rPr>
                  </w:pPr>
                </w:p>
              </w:tc>
              <w:tc>
                <w:tcPr>
                  <w:tcW w:w="850" w:type="dxa"/>
                  <w:tcBorders>
                    <w:bottom w:val="single" w:sz="4" w:space="0" w:color="auto"/>
                  </w:tcBorders>
                  <w:tcMar>
                    <w:top w:w="0" w:type="dxa"/>
                    <w:left w:w="108" w:type="dxa"/>
                    <w:bottom w:w="0" w:type="dxa"/>
                    <w:right w:w="108" w:type="dxa"/>
                  </w:tcMar>
                  <w:vAlign w:val="bottom"/>
                  <w:hideMark/>
                </w:tcPr>
                <w:p w14:paraId="02E92B4C" w14:textId="77777777" w:rsidR="008929D6" w:rsidRPr="00EF4507" w:rsidRDefault="008929D6" w:rsidP="008929D6">
                  <w:pPr>
                    <w:rPr>
                      <w:rFonts w:ascii="Arial" w:hAnsi="Arial" w:cs="Arial"/>
                      <w:sz w:val="22"/>
                      <w:szCs w:val="22"/>
                      <w:lang w:val="lt-LT" w:eastAsia="lt-LT"/>
                    </w:rPr>
                  </w:pPr>
                </w:p>
              </w:tc>
              <w:tc>
                <w:tcPr>
                  <w:tcW w:w="851" w:type="dxa"/>
                  <w:tcBorders>
                    <w:bottom w:val="single" w:sz="4" w:space="0" w:color="auto"/>
                  </w:tcBorders>
                  <w:tcMar>
                    <w:top w:w="0" w:type="dxa"/>
                    <w:left w:w="108" w:type="dxa"/>
                    <w:bottom w:w="0" w:type="dxa"/>
                    <w:right w:w="108" w:type="dxa"/>
                  </w:tcMar>
                  <w:vAlign w:val="bottom"/>
                  <w:hideMark/>
                </w:tcPr>
                <w:p w14:paraId="462EC2D3" w14:textId="77777777" w:rsidR="008929D6" w:rsidRPr="00EF4507" w:rsidRDefault="008929D6" w:rsidP="008929D6">
                  <w:pPr>
                    <w:rPr>
                      <w:rFonts w:ascii="Arial" w:hAnsi="Arial" w:cs="Arial"/>
                      <w:sz w:val="22"/>
                      <w:szCs w:val="22"/>
                      <w:lang w:val="lt-LT" w:eastAsia="lt-LT"/>
                    </w:rPr>
                  </w:pPr>
                </w:p>
              </w:tc>
              <w:tc>
                <w:tcPr>
                  <w:tcW w:w="850" w:type="dxa"/>
                  <w:tcBorders>
                    <w:bottom w:val="single" w:sz="4" w:space="0" w:color="auto"/>
                  </w:tcBorders>
                  <w:tcMar>
                    <w:top w:w="0" w:type="dxa"/>
                    <w:left w:w="108" w:type="dxa"/>
                    <w:bottom w:w="0" w:type="dxa"/>
                    <w:right w:w="108" w:type="dxa"/>
                  </w:tcMar>
                  <w:vAlign w:val="bottom"/>
                  <w:hideMark/>
                </w:tcPr>
                <w:p w14:paraId="0AF4E5AF" w14:textId="77777777" w:rsidR="008929D6" w:rsidRPr="00EF4507" w:rsidRDefault="008929D6" w:rsidP="008929D6">
                  <w:pPr>
                    <w:rPr>
                      <w:rFonts w:ascii="Arial" w:hAnsi="Arial" w:cs="Arial"/>
                      <w:sz w:val="22"/>
                      <w:szCs w:val="22"/>
                      <w:lang w:val="lt-LT" w:eastAsia="lt-LT"/>
                    </w:rPr>
                  </w:pPr>
                </w:p>
              </w:tc>
              <w:tc>
                <w:tcPr>
                  <w:tcW w:w="851" w:type="dxa"/>
                  <w:tcBorders>
                    <w:bottom w:val="single" w:sz="4" w:space="0" w:color="auto"/>
                  </w:tcBorders>
                  <w:tcMar>
                    <w:top w:w="0" w:type="dxa"/>
                    <w:left w:w="108" w:type="dxa"/>
                    <w:bottom w:w="0" w:type="dxa"/>
                    <w:right w:w="108" w:type="dxa"/>
                  </w:tcMar>
                  <w:vAlign w:val="bottom"/>
                  <w:hideMark/>
                </w:tcPr>
                <w:p w14:paraId="701C2A8F" w14:textId="77777777" w:rsidR="008929D6" w:rsidRPr="00EF4507" w:rsidRDefault="008929D6" w:rsidP="008929D6">
                  <w:pPr>
                    <w:rPr>
                      <w:rFonts w:ascii="Arial" w:hAnsi="Arial" w:cs="Arial"/>
                      <w:sz w:val="22"/>
                      <w:szCs w:val="22"/>
                      <w:lang w:val="lt-LT" w:eastAsia="lt-LT"/>
                    </w:rPr>
                  </w:pPr>
                </w:p>
              </w:tc>
              <w:tc>
                <w:tcPr>
                  <w:tcW w:w="992" w:type="dxa"/>
                  <w:tcBorders>
                    <w:bottom w:val="single" w:sz="4" w:space="0" w:color="auto"/>
                  </w:tcBorders>
                  <w:tcMar>
                    <w:top w:w="0" w:type="dxa"/>
                    <w:left w:w="108" w:type="dxa"/>
                    <w:bottom w:w="0" w:type="dxa"/>
                    <w:right w:w="108" w:type="dxa"/>
                  </w:tcMar>
                  <w:vAlign w:val="bottom"/>
                  <w:hideMark/>
                </w:tcPr>
                <w:p w14:paraId="0399B4CD" w14:textId="77777777" w:rsidR="008929D6" w:rsidRPr="00EF4507" w:rsidRDefault="008929D6" w:rsidP="008929D6">
                  <w:pPr>
                    <w:rPr>
                      <w:rFonts w:ascii="Arial" w:hAnsi="Arial" w:cs="Arial"/>
                      <w:sz w:val="22"/>
                      <w:szCs w:val="22"/>
                      <w:lang w:val="lt-LT" w:eastAsia="lt-LT"/>
                    </w:rPr>
                  </w:pPr>
                </w:p>
              </w:tc>
              <w:tc>
                <w:tcPr>
                  <w:tcW w:w="992" w:type="dxa"/>
                  <w:tcBorders>
                    <w:bottom w:val="single" w:sz="4" w:space="0" w:color="auto"/>
                  </w:tcBorders>
                  <w:tcMar>
                    <w:top w:w="0" w:type="dxa"/>
                    <w:left w:w="108" w:type="dxa"/>
                    <w:bottom w:w="0" w:type="dxa"/>
                    <w:right w:w="108" w:type="dxa"/>
                  </w:tcMar>
                  <w:vAlign w:val="bottom"/>
                  <w:hideMark/>
                </w:tcPr>
                <w:p w14:paraId="3AB9D1E6" w14:textId="77777777" w:rsidR="008929D6" w:rsidRPr="00EF4507" w:rsidRDefault="008929D6" w:rsidP="008929D6">
                  <w:pPr>
                    <w:rPr>
                      <w:rFonts w:ascii="Arial" w:hAnsi="Arial" w:cs="Arial"/>
                      <w:sz w:val="22"/>
                      <w:szCs w:val="22"/>
                      <w:lang w:val="lt-LT" w:eastAsia="lt-LT"/>
                    </w:rPr>
                  </w:pPr>
                </w:p>
              </w:tc>
              <w:tc>
                <w:tcPr>
                  <w:tcW w:w="851" w:type="dxa"/>
                  <w:tcBorders>
                    <w:bottom w:val="single" w:sz="4" w:space="0" w:color="auto"/>
                  </w:tcBorders>
                  <w:tcMar>
                    <w:top w:w="0" w:type="dxa"/>
                    <w:left w:w="108" w:type="dxa"/>
                    <w:bottom w:w="0" w:type="dxa"/>
                    <w:right w:w="108" w:type="dxa"/>
                  </w:tcMar>
                  <w:vAlign w:val="bottom"/>
                  <w:hideMark/>
                </w:tcPr>
                <w:p w14:paraId="05B62B97" w14:textId="77777777" w:rsidR="008929D6" w:rsidRPr="00EF4507" w:rsidRDefault="008929D6" w:rsidP="008929D6">
                  <w:pPr>
                    <w:rPr>
                      <w:rFonts w:ascii="Arial" w:hAnsi="Arial" w:cs="Arial"/>
                      <w:sz w:val="22"/>
                      <w:szCs w:val="22"/>
                      <w:lang w:val="lt-LT" w:eastAsia="lt-LT"/>
                    </w:rPr>
                  </w:pPr>
                </w:p>
              </w:tc>
              <w:tc>
                <w:tcPr>
                  <w:tcW w:w="992" w:type="dxa"/>
                  <w:tcBorders>
                    <w:bottom w:val="single" w:sz="4" w:space="0" w:color="auto"/>
                  </w:tcBorders>
                  <w:tcMar>
                    <w:top w:w="0" w:type="dxa"/>
                    <w:left w:w="108" w:type="dxa"/>
                    <w:bottom w:w="0" w:type="dxa"/>
                    <w:right w:w="108" w:type="dxa"/>
                  </w:tcMar>
                  <w:vAlign w:val="bottom"/>
                  <w:hideMark/>
                </w:tcPr>
                <w:p w14:paraId="38B2FAD3" w14:textId="77777777" w:rsidR="008929D6" w:rsidRPr="00EF4507" w:rsidRDefault="008929D6" w:rsidP="008929D6">
                  <w:pPr>
                    <w:rPr>
                      <w:rFonts w:ascii="Arial" w:hAnsi="Arial" w:cs="Arial"/>
                      <w:sz w:val="22"/>
                      <w:szCs w:val="22"/>
                      <w:lang w:val="lt-LT" w:eastAsia="lt-LT"/>
                    </w:rPr>
                  </w:pPr>
                </w:p>
              </w:tc>
              <w:tc>
                <w:tcPr>
                  <w:tcW w:w="1276" w:type="dxa"/>
                  <w:tcMar>
                    <w:top w:w="0" w:type="dxa"/>
                    <w:left w:w="108" w:type="dxa"/>
                    <w:bottom w:w="0" w:type="dxa"/>
                    <w:right w:w="108" w:type="dxa"/>
                  </w:tcMar>
                  <w:vAlign w:val="bottom"/>
                  <w:hideMark/>
                </w:tcPr>
                <w:p w14:paraId="454D489E" w14:textId="77777777" w:rsidR="008929D6" w:rsidRPr="00EF4507" w:rsidRDefault="008929D6" w:rsidP="008929D6">
                  <w:pPr>
                    <w:rPr>
                      <w:rFonts w:ascii="Arial" w:hAnsi="Arial" w:cs="Arial"/>
                      <w:sz w:val="22"/>
                      <w:szCs w:val="22"/>
                      <w:lang w:val="lt-LT" w:eastAsia="lt-LT"/>
                    </w:rPr>
                  </w:pPr>
                </w:p>
              </w:tc>
            </w:tr>
            <w:tr w:rsidR="008929D6" w:rsidRPr="00EF4507" w14:paraId="3651E470" w14:textId="77777777" w:rsidTr="00CF0C26">
              <w:trPr>
                <w:trHeight w:val="300"/>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A4B88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Regionai</w:t>
                  </w:r>
                </w:p>
              </w:tc>
              <w:tc>
                <w:tcPr>
                  <w:tcW w:w="10822"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484AFF" w14:textId="77777777" w:rsidR="008929D6" w:rsidRPr="00EF4507" w:rsidRDefault="008929D6" w:rsidP="008929D6">
                  <w:pPr>
                    <w:jc w:val="center"/>
                    <w:rPr>
                      <w:rFonts w:ascii="Arial" w:hAnsi="Arial" w:cs="Arial"/>
                      <w:sz w:val="22"/>
                      <w:szCs w:val="22"/>
                      <w:lang w:val="lt-LT" w:eastAsia="lt-LT"/>
                    </w:rPr>
                  </w:pPr>
                  <w:r>
                    <w:rPr>
                      <w:rFonts w:ascii="Arial" w:hAnsi="Arial" w:cs="Arial"/>
                      <w:sz w:val="22"/>
                      <w:szCs w:val="22"/>
                      <w:lang w:val="lt-LT" w:eastAsia="lt-LT"/>
                    </w:rPr>
                    <w:t>Mėnesiai</w:t>
                  </w:r>
                </w:p>
              </w:tc>
              <w:tc>
                <w:tcPr>
                  <w:tcW w:w="1276" w:type="dxa"/>
                  <w:tcBorders>
                    <w:left w:val="single" w:sz="4" w:space="0" w:color="auto"/>
                  </w:tcBorders>
                  <w:tcMar>
                    <w:top w:w="0" w:type="dxa"/>
                    <w:left w:w="108" w:type="dxa"/>
                    <w:bottom w:w="0" w:type="dxa"/>
                    <w:right w:w="108" w:type="dxa"/>
                  </w:tcMar>
                  <w:vAlign w:val="bottom"/>
                </w:tcPr>
                <w:p w14:paraId="0671C958" w14:textId="77777777" w:rsidR="008929D6" w:rsidRPr="00EF4507" w:rsidRDefault="008929D6" w:rsidP="008929D6">
                  <w:pPr>
                    <w:rPr>
                      <w:rFonts w:ascii="Arial" w:hAnsi="Arial" w:cs="Arial"/>
                      <w:sz w:val="22"/>
                      <w:szCs w:val="22"/>
                      <w:lang w:val="lt-LT" w:eastAsia="lt-LT"/>
                    </w:rPr>
                  </w:pPr>
                </w:p>
              </w:tc>
            </w:tr>
            <w:tr w:rsidR="006F1982" w:rsidRPr="00EF4507" w14:paraId="1AB271EB" w14:textId="77777777" w:rsidTr="008929D6">
              <w:trPr>
                <w:trHeight w:val="300"/>
              </w:trPr>
              <w:tc>
                <w:tcPr>
                  <w:tcW w:w="1134"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54EAB0" w14:textId="77777777" w:rsidR="008929D6" w:rsidRPr="00EF4507" w:rsidRDefault="008929D6" w:rsidP="008929D6">
                  <w:pPr>
                    <w:rPr>
                      <w:rFonts w:ascii="Arial" w:hAnsi="Arial" w:cs="Arial"/>
                      <w:sz w:val="22"/>
                      <w:szCs w:val="22"/>
                      <w:lang w:val="lt-LT" w:eastAsia="lt-LT"/>
                    </w:rPr>
                  </w:pPr>
                </w:p>
              </w:tc>
              <w:tc>
                <w:tcPr>
                  <w:tcW w:w="90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BC48A9"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w:t>
                  </w:r>
                </w:p>
              </w:tc>
              <w:tc>
                <w:tcPr>
                  <w:tcW w:w="992"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3C7CB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w:t>
                  </w:r>
                </w:p>
              </w:tc>
              <w:tc>
                <w:tcPr>
                  <w:tcW w:w="85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898C78"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w:t>
                  </w:r>
                </w:p>
              </w:tc>
              <w:tc>
                <w:tcPr>
                  <w:tcW w:w="851"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DE811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4</w:t>
                  </w:r>
                </w:p>
              </w:tc>
              <w:tc>
                <w:tcPr>
                  <w:tcW w:w="85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0BBFE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5</w:t>
                  </w:r>
                </w:p>
              </w:tc>
              <w:tc>
                <w:tcPr>
                  <w:tcW w:w="851"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CE40B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6</w:t>
                  </w:r>
                </w:p>
              </w:tc>
              <w:tc>
                <w:tcPr>
                  <w:tcW w:w="850"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94D62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7</w:t>
                  </w:r>
                </w:p>
              </w:tc>
              <w:tc>
                <w:tcPr>
                  <w:tcW w:w="851"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E8D98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8</w:t>
                  </w:r>
                </w:p>
              </w:tc>
              <w:tc>
                <w:tcPr>
                  <w:tcW w:w="992"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ED185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9</w:t>
                  </w:r>
                </w:p>
              </w:tc>
              <w:tc>
                <w:tcPr>
                  <w:tcW w:w="992"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CA5E7F"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10</w:t>
                  </w:r>
                </w:p>
              </w:tc>
              <w:tc>
                <w:tcPr>
                  <w:tcW w:w="851"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98192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11</w:t>
                  </w:r>
                </w:p>
              </w:tc>
              <w:tc>
                <w:tcPr>
                  <w:tcW w:w="992"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0915E1"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12</w:t>
                  </w:r>
                </w:p>
              </w:tc>
              <w:tc>
                <w:tcPr>
                  <w:tcW w:w="12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991B1F"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metai</w:t>
                  </w:r>
                </w:p>
              </w:tc>
            </w:tr>
            <w:tr w:rsidR="008929D6" w:rsidRPr="00EF4507" w14:paraId="6D28D1CD" w14:textId="77777777" w:rsidTr="00CF0C26">
              <w:trPr>
                <w:trHeight w:val="30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C90F4D"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Pietų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5CC90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2 510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98D30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3 000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E4AA4E"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3 030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66485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3 000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F2929E"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2 190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EF7CC8"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1 900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92E623"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1 750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93B2B1"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1 810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3B126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1 840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3D0A86"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2 190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C9971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2 540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B704B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2 380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3B7CA1"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28 140</w:t>
                  </w:r>
                </w:p>
              </w:tc>
            </w:tr>
            <w:tr w:rsidR="008929D6" w:rsidRPr="00EF4507" w14:paraId="437BE45D" w14:textId="77777777" w:rsidTr="00CF0C26">
              <w:trPr>
                <w:trHeight w:val="30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059C58"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lastRenderedPageBreak/>
                    <w:t>Rytų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4BCFB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2 980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6D2B2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3 070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1C3D9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3 510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2E6CD"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3 070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D1B5E"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2 540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DFB745"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1 700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86AEE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1 800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F0AFC8"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1 560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9459A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2 810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405F3E"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2 540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92A5DD"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2 950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F1EF0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2 490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6C5814"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31 020</w:t>
                  </w:r>
                </w:p>
              </w:tc>
            </w:tr>
            <w:tr w:rsidR="006F1982" w:rsidRPr="00EF4507" w14:paraId="6F1B0591" w14:textId="77777777" w:rsidTr="008929D6">
              <w:trPr>
                <w:trHeight w:val="300"/>
              </w:trPr>
              <w:tc>
                <w:tcPr>
                  <w:tcW w:w="1134"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bottom"/>
                  <w:hideMark/>
                </w:tcPr>
                <w:p w14:paraId="02F494B6"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Šiaurės</w:t>
                  </w:r>
                </w:p>
              </w:tc>
              <w:tc>
                <w:tcPr>
                  <w:tcW w:w="900"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7BF9C42F"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2 010</w:t>
                  </w:r>
                </w:p>
              </w:tc>
              <w:tc>
                <w:tcPr>
                  <w:tcW w:w="992"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37E83683"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2 440</w:t>
                  </w:r>
                </w:p>
              </w:tc>
              <w:tc>
                <w:tcPr>
                  <w:tcW w:w="850"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62801EA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2 460</w:t>
                  </w:r>
                </w:p>
              </w:tc>
              <w:tc>
                <w:tcPr>
                  <w:tcW w:w="85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68259994"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2 440</w:t>
                  </w:r>
                </w:p>
              </w:tc>
              <w:tc>
                <w:tcPr>
                  <w:tcW w:w="850"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0581AE9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1 790</w:t>
                  </w:r>
                </w:p>
              </w:tc>
              <w:tc>
                <w:tcPr>
                  <w:tcW w:w="85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5B1398F1"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1 400</w:t>
                  </w:r>
                </w:p>
              </w:tc>
              <w:tc>
                <w:tcPr>
                  <w:tcW w:w="850"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19DF3756"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1 450</w:t>
                  </w:r>
                </w:p>
              </w:tc>
              <w:tc>
                <w:tcPr>
                  <w:tcW w:w="85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235A934B"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1 630</w:t>
                  </w:r>
                </w:p>
              </w:tc>
              <w:tc>
                <w:tcPr>
                  <w:tcW w:w="992"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64D16EC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1 360</w:t>
                  </w:r>
                </w:p>
              </w:tc>
              <w:tc>
                <w:tcPr>
                  <w:tcW w:w="992"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51947E0C"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1 790</w:t>
                  </w:r>
                </w:p>
              </w:tc>
              <w:tc>
                <w:tcPr>
                  <w:tcW w:w="851"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48B46874"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1 770</w:t>
                  </w:r>
                </w:p>
              </w:tc>
              <w:tc>
                <w:tcPr>
                  <w:tcW w:w="992"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bottom"/>
                  <w:hideMark/>
                </w:tcPr>
                <w:p w14:paraId="4C17F8A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2 380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AB796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22 920</w:t>
                  </w:r>
                </w:p>
              </w:tc>
            </w:tr>
            <w:tr w:rsidR="008929D6" w:rsidRPr="00EF4507" w14:paraId="4F542D75" w14:textId="77777777" w:rsidTr="00CF0C26">
              <w:trPr>
                <w:trHeight w:val="30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9F18E3"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Viso</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A82E7"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7 500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CC8181"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8 510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91047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9 000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63F69B"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8 510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F881CE"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6 520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98B27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5 000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02ADF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5 000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D780AB"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5 000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6FE79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6 010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14E3B9"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6 520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7115D0"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7 260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5E8BBA"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7 250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233D22" w14:textId="77777777" w:rsidR="008929D6" w:rsidRPr="00EF4507" w:rsidRDefault="008929D6" w:rsidP="008929D6">
                  <w:pPr>
                    <w:rPr>
                      <w:rFonts w:ascii="Arial" w:hAnsi="Arial" w:cs="Arial"/>
                      <w:sz w:val="22"/>
                      <w:szCs w:val="22"/>
                      <w:lang w:val="lt-LT" w:eastAsia="lt-LT"/>
                    </w:rPr>
                  </w:pPr>
                  <w:r w:rsidRPr="00EF4507">
                    <w:rPr>
                      <w:rFonts w:ascii="Arial" w:hAnsi="Arial" w:cs="Arial"/>
                      <w:sz w:val="22"/>
                      <w:szCs w:val="22"/>
                      <w:lang w:val="lt-LT" w:eastAsia="lt-LT"/>
                    </w:rPr>
                    <w:t>82 080</w:t>
                  </w:r>
                </w:p>
              </w:tc>
            </w:tr>
          </w:tbl>
          <w:p w14:paraId="3C996553" w14:textId="77777777" w:rsidR="008929D6" w:rsidRPr="00EF4507" w:rsidDel="008929D6" w:rsidRDefault="008929D6" w:rsidP="00204BEA">
            <w:pPr>
              <w:rPr>
                <w:rFonts w:ascii="Arial" w:hAnsi="Arial" w:cs="Arial"/>
                <w:lang w:eastAsia="lt-LT"/>
              </w:rPr>
            </w:pPr>
          </w:p>
        </w:tc>
      </w:tr>
      <w:tr w:rsidR="009E715E" w:rsidRPr="00EF4507" w14:paraId="37C7CE2E" w14:textId="77777777" w:rsidTr="00CF0C26">
        <w:tc>
          <w:tcPr>
            <w:tcW w:w="177" w:type="pct"/>
          </w:tcPr>
          <w:p w14:paraId="4226F12B" w14:textId="35D3AA5B" w:rsidR="009E715E" w:rsidRPr="00EF4507" w:rsidRDefault="009E715E" w:rsidP="0051503B">
            <w:pPr>
              <w:jc w:val="both"/>
              <w:rPr>
                <w:rFonts w:ascii="Arial" w:hAnsi="Arial" w:cs="Arial"/>
              </w:rPr>
            </w:pPr>
            <w:r w:rsidRPr="00EF4507">
              <w:rPr>
                <w:rFonts w:ascii="Arial" w:hAnsi="Arial" w:cs="Arial"/>
              </w:rPr>
              <w:lastRenderedPageBreak/>
              <w:t>12.</w:t>
            </w:r>
          </w:p>
        </w:tc>
        <w:tc>
          <w:tcPr>
            <w:tcW w:w="2029" w:type="pct"/>
          </w:tcPr>
          <w:p w14:paraId="6AFEE472" w14:textId="69961688" w:rsidR="009E715E" w:rsidRPr="00EF4507" w:rsidRDefault="009E715E" w:rsidP="0051503B">
            <w:pPr>
              <w:jc w:val="both"/>
              <w:rPr>
                <w:rFonts w:ascii="Arial" w:hAnsi="Arial" w:cs="Arial"/>
              </w:rPr>
            </w:pPr>
            <w:r w:rsidRPr="00EF4507">
              <w:rPr>
                <w:rFonts w:ascii="Arial" w:hAnsi="Arial" w:cs="Arial"/>
              </w:rPr>
              <w:t>Techninės specifikacijos 6.7 punkte nurodyta „Maksimali vieno Ataskaitinio laikotarpio Paslaugų Užsakymo apimtis – 7 000 vnt. apskaitos prietaisų rodmenų nurašymas (Paslaugų teikėjui iš anksto sutikus gali būti pateikiamas Užsakymas ir didesnei vieno Ataskaitinio laikotarpio apimčiai). Minimali vieno Ataskaitinio laikotarpio Paslaugų Užsakymo apimtis – ne mažiau kaip 1 700 vnt. apskaitos prietaisų rodmenų nurašymas (Paslaugų teikėjui iš anksto sutikus gali būti pateikiamas Užsakymas ir mažesnei vieno Ataskaitinio laikotarpio apimčiai).“, atkreipiame dėmesį, kad kiekis nuo 1700 iki 7000 vnt. per ataskaitinį laikotarpį yra nekonkretus (kas veda prie neracionalių pasiūlymų ir neracionalaus perkančiosios organizacijos turimų lėšų panaudojimo), todėl prašome su +-10 proc. paklaida nurodyti planuojamą maximalų kiekvieno mėnesio Apskaitos prietaisų rodmenų nurašymo kiekį kiekvienam regionui. Tiekėjai tūrėdami tikslų kiekvieno mėnesio maximalų Apskaitos prietaisų rodmenų nurašymo kiekį, galės racionaliai planuotis savo išteklius ir pateikti racionaliausią pasiūlymą.</w:t>
            </w:r>
          </w:p>
        </w:tc>
        <w:tc>
          <w:tcPr>
            <w:tcW w:w="2794" w:type="pct"/>
          </w:tcPr>
          <w:p w14:paraId="5D664605"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„Maksimali vieno ataskaitinio laikotarpio paslaugų užsakymo apimtis – 7 000 vnt. [...]Minimali – 1 700 vnt. [...]“</w:t>
            </w:r>
          </w:p>
          <w:p w14:paraId="37991525"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Tai reiškia, kad kiekvieną mėnesį užsakymo apimtis gali svyruoti tarp 1 700 ir 7 000 vnt., priklausomai nuo poreikio ir tiekėjo sutikimo. Šis lankstumas yra būtinas dėl:</w:t>
            </w:r>
          </w:p>
          <w:p w14:paraId="06CCF26E" w14:textId="77777777" w:rsidR="006F1982" w:rsidRPr="001757F7" w:rsidRDefault="006F1982" w:rsidP="006F1982">
            <w:pPr>
              <w:numPr>
                <w:ilvl w:val="0"/>
                <w:numId w:val="7"/>
              </w:numPr>
              <w:shd w:val="clear" w:color="auto" w:fill="FFFFFF"/>
              <w:rPr>
                <w:rFonts w:ascii="Arial" w:hAnsi="Arial" w:cs="Arial"/>
                <w:color w:val="242424"/>
              </w:rPr>
            </w:pPr>
            <w:r w:rsidRPr="001757F7">
              <w:rPr>
                <w:rFonts w:ascii="Arial" w:hAnsi="Arial" w:cs="Arial"/>
                <w:color w:val="242424"/>
                <w:bdr w:val="none" w:sz="0" w:space="0" w:color="auto" w:frame="1"/>
              </w:rPr>
              <w:t>Realaus vartotojų deklaravimo dinamikos</w:t>
            </w:r>
          </w:p>
          <w:p w14:paraId="7F7D0C19" w14:textId="77777777" w:rsidR="006F1982" w:rsidRPr="001757F7" w:rsidRDefault="006F1982" w:rsidP="006F1982">
            <w:pPr>
              <w:numPr>
                <w:ilvl w:val="0"/>
                <w:numId w:val="7"/>
              </w:numPr>
              <w:shd w:val="clear" w:color="auto" w:fill="FFFFFF"/>
              <w:rPr>
                <w:rFonts w:ascii="Arial" w:hAnsi="Arial" w:cs="Arial"/>
                <w:color w:val="242424"/>
              </w:rPr>
            </w:pPr>
            <w:r w:rsidRPr="001757F7">
              <w:rPr>
                <w:rFonts w:ascii="Arial" w:hAnsi="Arial" w:cs="Arial"/>
                <w:color w:val="242424"/>
                <w:bdr w:val="none" w:sz="0" w:space="0" w:color="auto" w:frame="1"/>
              </w:rPr>
              <w:t>Naujų Smart skaitiklių diegimo</w:t>
            </w:r>
          </w:p>
          <w:p w14:paraId="7B460660" w14:textId="77777777" w:rsidR="006F1982" w:rsidRPr="001757F7" w:rsidRDefault="006F1982" w:rsidP="006F1982">
            <w:pPr>
              <w:numPr>
                <w:ilvl w:val="0"/>
                <w:numId w:val="7"/>
              </w:numPr>
              <w:shd w:val="clear" w:color="auto" w:fill="FFFFFF"/>
              <w:rPr>
                <w:rFonts w:ascii="Arial" w:hAnsi="Arial" w:cs="Arial"/>
                <w:color w:val="242424"/>
              </w:rPr>
            </w:pPr>
            <w:r w:rsidRPr="001757F7">
              <w:rPr>
                <w:rFonts w:ascii="Arial" w:hAnsi="Arial" w:cs="Arial"/>
                <w:color w:val="242424"/>
                <w:bdr w:val="none" w:sz="0" w:space="0" w:color="auto" w:frame="1"/>
              </w:rPr>
              <w:t>Sezoniškumo</w:t>
            </w:r>
          </w:p>
          <w:p w14:paraId="486F9546" w14:textId="77777777" w:rsidR="006F1982" w:rsidRPr="001757F7" w:rsidRDefault="006F1982" w:rsidP="006F1982">
            <w:pPr>
              <w:shd w:val="clear" w:color="auto" w:fill="FFFFFF"/>
              <w:rPr>
                <w:rFonts w:ascii="Arial" w:hAnsi="Arial" w:cs="Arial"/>
                <w:color w:val="242424"/>
                <w:bdr w:val="none" w:sz="0" w:space="0" w:color="auto" w:frame="1"/>
              </w:rPr>
            </w:pPr>
          </w:p>
          <w:p w14:paraId="7BBE76C4"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Preliminarus bendras kiekis</w:t>
            </w:r>
          </w:p>
          <w:p w14:paraId="54DF4353"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Techninėje specifikacijoje (Lentelė Nr. 1) nurodytas preliminarus kiekis:</w:t>
            </w:r>
          </w:p>
          <w:p w14:paraId="1426A664"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360 000 vnt. per visą sutarties laikotarpį.</w:t>
            </w:r>
          </w:p>
          <w:p w14:paraId="29C9F8A3"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Tai leidžia tiekėjui preliminariai įsivertinti vidutinį mėnesinį kiekį:</w:t>
            </w:r>
          </w:p>
          <w:p w14:paraId="4454426E" w14:textId="77777777" w:rsidR="006F1982" w:rsidRPr="001757F7" w:rsidRDefault="006F1982" w:rsidP="006F1982">
            <w:pPr>
              <w:numPr>
                <w:ilvl w:val="0"/>
                <w:numId w:val="8"/>
              </w:numPr>
              <w:shd w:val="clear" w:color="auto" w:fill="FFFFFF"/>
              <w:rPr>
                <w:rFonts w:ascii="Arial" w:hAnsi="Arial" w:cs="Arial"/>
                <w:color w:val="242424"/>
              </w:rPr>
            </w:pPr>
            <w:r w:rsidRPr="001757F7">
              <w:rPr>
                <w:rFonts w:ascii="Arial" w:hAnsi="Arial" w:cs="Arial"/>
                <w:color w:val="242424"/>
                <w:bdr w:val="none" w:sz="0" w:space="0" w:color="auto" w:frame="1"/>
              </w:rPr>
              <w:t>Vidutiniškai apie 10 000 vnt./mėn., sutarties terminas 36 mėn.</w:t>
            </w:r>
          </w:p>
          <w:p w14:paraId="6F855F28" w14:textId="77777777" w:rsidR="006F1982" w:rsidRPr="001757F7" w:rsidRDefault="006F1982" w:rsidP="006F1982">
            <w:pPr>
              <w:numPr>
                <w:ilvl w:val="0"/>
                <w:numId w:val="8"/>
              </w:numPr>
              <w:shd w:val="clear" w:color="auto" w:fill="FFFFFF"/>
              <w:rPr>
                <w:rFonts w:ascii="Arial" w:hAnsi="Arial" w:cs="Arial"/>
                <w:color w:val="242424"/>
              </w:rPr>
            </w:pPr>
            <w:r w:rsidRPr="001757F7">
              <w:rPr>
                <w:rFonts w:ascii="Arial" w:hAnsi="Arial" w:cs="Arial"/>
                <w:color w:val="242424"/>
                <w:bdr w:val="none" w:sz="0" w:space="0" w:color="auto" w:frame="1"/>
              </w:rPr>
              <w:t>Tačiau faktinis kiekis kiekvieną mėnesį gali būti mažesnis arba didesnis, priklausomai nuo situacijos</w:t>
            </w:r>
          </w:p>
          <w:p w14:paraId="6AA082A1" w14:textId="77777777" w:rsidR="006F1982" w:rsidRPr="001757F7" w:rsidRDefault="006F1982" w:rsidP="006F1982">
            <w:pPr>
              <w:shd w:val="clear" w:color="auto" w:fill="FFFFFF"/>
              <w:rPr>
                <w:rFonts w:ascii="Arial" w:hAnsi="Arial" w:cs="Arial"/>
                <w:color w:val="242424"/>
              </w:rPr>
            </w:pPr>
          </w:p>
          <w:p w14:paraId="2AC0597E" w14:textId="77777777" w:rsidR="006F1982" w:rsidRPr="001757F7" w:rsidRDefault="006F1982" w:rsidP="006F1982">
            <w:pPr>
              <w:pStyle w:val="prastasiniatinklio"/>
              <w:shd w:val="clear" w:color="auto" w:fill="FFFFFF"/>
              <w:spacing w:before="0" w:beforeAutospacing="0" w:after="0" w:afterAutospacing="0"/>
              <w:rPr>
                <w:rFonts w:ascii="Arial" w:hAnsi="Arial" w:cs="Arial"/>
                <w:color w:val="242424"/>
              </w:rPr>
            </w:pPr>
            <w:r w:rsidRPr="001757F7">
              <w:rPr>
                <w:rFonts w:ascii="Arial" w:hAnsi="Arial" w:cs="Arial"/>
                <w:color w:val="242424"/>
                <w:bdr w:val="none" w:sz="0" w:space="0" w:color="auto" w:frame="1"/>
              </w:rPr>
              <w:t>Kodėl negalime nurodyti tikslių kiekių su ±10 % paklaida kiekvienam regionui</w:t>
            </w:r>
          </w:p>
          <w:p w14:paraId="30360C0B" w14:textId="77777777" w:rsidR="006F1982" w:rsidRPr="001757F7" w:rsidRDefault="006F1982" w:rsidP="006F1982">
            <w:pPr>
              <w:numPr>
                <w:ilvl w:val="0"/>
                <w:numId w:val="9"/>
              </w:numPr>
              <w:shd w:val="clear" w:color="auto" w:fill="FFFFFF"/>
              <w:rPr>
                <w:rFonts w:ascii="Arial" w:hAnsi="Arial" w:cs="Arial"/>
                <w:color w:val="242424"/>
              </w:rPr>
            </w:pPr>
            <w:r w:rsidRPr="001757F7">
              <w:rPr>
                <w:rFonts w:ascii="Arial" w:hAnsi="Arial" w:cs="Arial"/>
                <w:color w:val="242424"/>
                <w:bdr w:val="none" w:sz="0" w:space="0" w:color="auto" w:frame="1"/>
              </w:rPr>
              <w:t>Sutartis nenumato regioninio skaidymo, tokie duomenys būtų netikslūs</w:t>
            </w:r>
          </w:p>
          <w:p w14:paraId="2478D099" w14:textId="77777777" w:rsidR="006F1982" w:rsidRPr="001757F7" w:rsidRDefault="006F1982" w:rsidP="006F1982">
            <w:pPr>
              <w:numPr>
                <w:ilvl w:val="0"/>
                <w:numId w:val="9"/>
              </w:numPr>
              <w:shd w:val="clear" w:color="auto" w:fill="FFFFFF"/>
              <w:rPr>
                <w:rFonts w:ascii="Arial" w:hAnsi="Arial" w:cs="Arial"/>
                <w:color w:val="242424"/>
              </w:rPr>
            </w:pPr>
            <w:r w:rsidRPr="001757F7">
              <w:rPr>
                <w:rFonts w:ascii="Arial" w:hAnsi="Arial" w:cs="Arial"/>
                <w:color w:val="242424"/>
                <w:bdr w:val="none" w:sz="0" w:space="0" w:color="auto" w:frame="1"/>
              </w:rPr>
              <w:t>Kiekiai priklauso nuo realaus poreikio, kuris gali keistis kiekvieną mėnesį</w:t>
            </w:r>
          </w:p>
          <w:p w14:paraId="49E745D0" w14:textId="6010488A" w:rsidR="006F1982" w:rsidRPr="001757F7" w:rsidRDefault="006F1982" w:rsidP="006F1982">
            <w:pPr>
              <w:numPr>
                <w:ilvl w:val="0"/>
                <w:numId w:val="9"/>
              </w:numPr>
              <w:shd w:val="clear" w:color="auto" w:fill="FFFFFF"/>
              <w:rPr>
                <w:rFonts w:ascii="Arial" w:hAnsi="Arial" w:cs="Arial"/>
                <w:color w:val="242424"/>
              </w:rPr>
            </w:pPr>
            <w:r w:rsidRPr="001757F7">
              <w:rPr>
                <w:rFonts w:ascii="Arial" w:hAnsi="Arial" w:cs="Arial"/>
                <w:color w:val="242424"/>
                <w:bdr w:val="none" w:sz="0" w:space="0" w:color="auto" w:frame="1"/>
              </w:rPr>
              <w:t>Tiekėjų išteklių planavimas turi būti grindžiamas bendra apimtimi ir lankstu</w:t>
            </w:r>
            <w:r w:rsidR="008C5743">
              <w:rPr>
                <w:rFonts w:ascii="Arial" w:hAnsi="Arial" w:cs="Arial"/>
                <w:color w:val="242424"/>
                <w:bdr w:val="none" w:sz="0" w:space="0" w:color="auto" w:frame="1"/>
              </w:rPr>
              <w:t>mu.</w:t>
            </w:r>
          </w:p>
          <w:p w14:paraId="4F8EE3D9" w14:textId="7520999A" w:rsidR="009E715E" w:rsidRPr="00EF4507" w:rsidRDefault="009E715E" w:rsidP="002C14FE">
            <w:pPr>
              <w:jc w:val="both"/>
              <w:rPr>
                <w:rFonts w:ascii="Arial" w:hAnsi="Arial" w:cs="Arial"/>
              </w:rPr>
            </w:pPr>
          </w:p>
        </w:tc>
      </w:tr>
      <w:tr w:rsidR="009E715E" w:rsidRPr="00EF4507" w14:paraId="4ACF4B85" w14:textId="77777777" w:rsidTr="00CF0C26">
        <w:tc>
          <w:tcPr>
            <w:tcW w:w="177" w:type="pct"/>
          </w:tcPr>
          <w:p w14:paraId="27E8ADAD" w14:textId="0F3229C0" w:rsidR="009E715E" w:rsidRPr="00EF4507" w:rsidRDefault="009E715E" w:rsidP="0051503B">
            <w:pPr>
              <w:jc w:val="both"/>
              <w:rPr>
                <w:rFonts w:ascii="Arial" w:hAnsi="Arial" w:cs="Arial"/>
              </w:rPr>
            </w:pPr>
            <w:r w:rsidRPr="00EF4507">
              <w:rPr>
                <w:rFonts w:ascii="Arial" w:hAnsi="Arial" w:cs="Arial"/>
              </w:rPr>
              <w:t>13.</w:t>
            </w:r>
          </w:p>
        </w:tc>
        <w:tc>
          <w:tcPr>
            <w:tcW w:w="2029" w:type="pct"/>
          </w:tcPr>
          <w:p w14:paraId="245B88C3" w14:textId="3DBAC99D" w:rsidR="009E715E" w:rsidRPr="00EF4507" w:rsidRDefault="009E715E" w:rsidP="0051503B">
            <w:pPr>
              <w:jc w:val="both"/>
              <w:rPr>
                <w:rFonts w:ascii="Arial" w:hAnsi="Arial" w:cs="Arial"/>
              </w:rPr>
            </w:pPr>
            <w:r w:rsidRPr="00EF4507">
              <w:rPr>
                <w:rFonts w:ascii="Arial" w:hAnsi="Arial" w:cs="Arial"/>
              </w:rPr>
              <w:t>Techninės specifikacijos 4 priedo 9 punkte nurodyta „Pasitvirtinus Paslaugų teikėjo pateiktai informacijai apie nerastą elektros energijos ar dujų apskaitos prietaisą, kai elektros energijos ar dujų apskaitos prietaiso rodmenų nebuvo galima užfiksuoti dėl elektros energijos ar dujų apskaitos prietaiso vietos pakeitimo einamojo Ataskaitinio laikotarpio metu, Pirkėjas Paslaugų teikėjui už pasitvirtinusį faktą apmoka pagal Paslaugos vieneto Įkainį.“</w:t>
            </w:r>
          </w:p>
        </w:tc>
        <w:tc>
          <w:tcPr>
            <w:tcW w:w="2794" w:type="pct"/>
          </w:tcPr>
          <w:p w14:paraId="0B7ECF16" w14:textId="7EB19FB5" w:rsidR="00903182" w:rsidRPr="00EF4507" w:rsidRDefault="00903182" w:rsidP="00903182">
            <w:pPr>
              <w:jc w:val="both"/>
              <w:rPr>
                <w:rFonts w:ascii="Arial" w:hAnsi="Arial" w:cs="Arial"/>
              </w:rPr>
            </w:pPr>
            <w:r w:rsidRPr="00EF4507">
              <w:rPr>
                <w:rFonts w:ascii="Arial" w:hAnsi="Arial" w:cs="Arial"/>
              </w:rPr>
              <w:t xml:space="preserve">Taip, pagal TS </w:t>
            </w:r>
            <w:r w:rsidR="0015364E" w:rsidRPr="00EF4507">
              <w:rPr>
                <w:rFonts w:ascii="Arial" w:hAnsi="Arial" w:cs="Arial"/>
              </w:rPr>
              <w:t>Pried</w:t>
            </w:r>
            <w:r w:rsidR="0015364E">
              <w:rPr>
                <w:rFonts w:ascii="Arial" w:hAnsi="Arial" w:cs="Arial"/>
              </w:rPr>
              <w:t>ą</w:t>
            </w:r>
            <w:r w:rsidR="0015364E" w:rsidRPr="00EF4507">
              <w:rPr>
                <w:rFonts w:ascii="Arial" w:hAnsi="Arial" w:cs="Arial"/>
              </w:rPr>
              <w:t xml:space="preserve"> </w:t>
            </w:r>
            <w:r w:rsidRPr="00EF4507">
              <w:rPr>
                <w:rFonts w:ascii="Arial" w:hAnsi="Arial" w:cs="Arial"/>
              </w:rPr>
              <w:t>Nr.</w:t>
            </w:r>
            <w:r w:rsidR="0015364E">
              <w:rPr>
                <w:rFonts w:ascii="Arial" w:hAnsi="Arial" w:cs="Arial"/>
              </w:rPr>
              <w:t xml:space="preserve"> </w:t>
            </w:r>
            <w:r w:rsidRPr="00EF4507">
              <w:rPr>
                <w:rFonts w:ascii="Arial" w:hAnsi="Arial" w:cs="Arial"/>
              </w:rPr>
              <w:t>4, jei prietaisas nerastas dėl vietos pakeitimo, apmokama pagal vieneto įkainį.      </w:t>
            </w:r>
          </w:p>
          <w:p w14:paraId="669A5C2E" w14:textId="77777777" w:rsidR="009E715E" w:rsidRPr="00EF4507" w:rsidRDefault="009E715E" w:rsidP="0051503B">
            <w:pPr>
              <w:jc w:val="both"/>
              <w:rPr>
                <w:rFonts w:ascii="Arial" w:hAnsi="Arial" w:cs="Arial"/>
              </w:rPr>
            </w:pPr>
          </w:p>
        </w:tc>
      </w:tr>
      <w:tr w:rsidR="009E715E" w:rsidRPr="00EF4507" w14:paraId="45245DCB" w14:textId="77777777" w:rsidTr="00CF0C26">
        <w:tc>
          <w:tcPr>
            <w:tcW w:w="177" w:type="pct"/>
          </w:tcPr>
          <w:p w14:paraId="01B0B85E" w14:textId="6A13B2D9" w:rsidR="009E715E" w:rsidRPr="00EF4507" w:rsidRDefault="009E715E" w:rsidP="0051503B">
            <w:pPr>
              <w:jc w:val="both"/>
              <w:rPr>
                <w:rFonts w:ascii="Arial" w:hAnsi="Arial" w:cs="Arial"/>
              </w:rPr>
            </w:pPr>
            <w:r w:rsidRPr="00EF4507">
              <w:rPr>
                <w:rFonts w:ascii="Arial" w:hAnsi="Arial" w:cs="Arial"/>
              </w:rPr>
              <w:t>14.</w:t>
            </w:r>
          </w:p>
        </w:tc>
        <w:tc>
          <w:tcPr>
            <w:tcW w:w="2029" w:type="pct"/>
          </w:tcPr>
          <w:p w14:paraId="3D90D042" w14:textId="7F48CFC5" w:rsidR="0015364E" w:rsidRDefault="009E715E" w:rsidP="0051503B">
            <w:pPr>
              <w:jc w:val="both"/>
              <w:rPr>
                <w:rFonts w:ascii="Arial" w:hAnsi="Arial" w:cs="Arial"/>
              </w:rPr>
            </w:pPr>
            <w:r w:rsidRPr="00EF4507">
              <w:rPr>
                <w:rFonts w:ascii="Arial" w:hAnsi="Arial" w:cs="Arial"/>
              </w:rPr>
              <w:t>Techninės specifikacijos 1 priedo lentelės 2 punkto „Veiksmai kitais atvejais“ 2.1-2.4 papunkčiuose nurodyt įvairūs atvejai, prašome paaiškinti:</w:t>
            </w:r>
            <w:r w:rsidRPr="00EF4507">
              <w:rPr>
                <w:rFonts w:ascii="Arial" w:hAnsi="Arial" w:cs="Arial"/>
              </w:rPr>
              <w:br/>
            </w:r>
            <w:r w:rsidRPr="00EF4507">
              <w:rPr>
                <w:rFonts w:ascii="Arial" w:hAnsi="Arial" w:cs="Arial"/>
              </w:rPr>
              <w:lastRenderedPageBreak/>
              <w:t>a)  Ar teisingai suprantame, kad už visus 2.1-2.4 punktuose išvardintus atvejus būtų apmokama ?</w:t>
            </w:r>
          </w:p>
          <w:p w14:paraId="739D9CAD" w14:textId="211BAB8C" w:rsidR="009E715E" w:rsidRPr="00EF4507" w:rsidRDefault="009E715E" w:rsidP="0051503B">
            <w:pPr>
              <w:jc w:val="both"/>
              <w:rPr>
                <w:rFonts w:ascii="Arial" w:hAnsi="Arial" w:cs="Arial"/>
              </w:rPr>
            </w:pPr>
            <w:r w:rsidRPr="00EF4507">
              <w:rPr>
                <w:rFonts w:ascii="Arial" w:hAnsi="Arial" w:cs="Arial"/>
              </w:rPr>
              <w:t>b) Kaip konkrečiai reikėtų įforminti (padaryti nuotraukas, užfiksuoti bandymus skambinti telefonu, filmuoti skambinimą į duris ir pan.) atvejus ir kaip juos konkrečiai pateikti, kai pvz klientas neįleidžia į namus/butą, ir nėra galimybės atlikti Apskaitos prietaisų rodmenų nurašymo.</w:t>
            </w:r>
          </w:p>
        </w:tc>
        <w:tc>
          <w:tcPr>
            <w:tcW w:w="2794" w:type="pct"/>
          </w:tcPr>
          <w:p w14:paraId="2DFA540D" w14:textId="256A01D2" w:rsidR="00FC7DA2" w:rsidRPr="00EF4507" w:rsidRDefault="00FC7DA2" w:rsidP="00FC7DA2">
            <w:pPr>
              <w:jc w:val="both"/>
              <w:rPr>
                <w:rFonts w:ascii="Arial" w:hAnsi="Arial" w:cs="Arial"/>
              </w:rPr>
            </w:pPr>
            <w:r w:rsidRPr="00EF4507">
              <w:rPr>
                <w:rFonts w:ascii="Arial" w:hAnsi="Arial" w:cs="Arial"/>
              </w:rPr>
              <w:lastRenderedPageBreak/>
              <w:t>a) Taip, už visus 2.1–2.4 atvejus apmokama, jei pateikta informacija pasitvirtina.</w:t>
            </w:r>
          </w:p>
          <w:p w14:paraId="3344250F" w14:textId="691E73B3" w:rsidR="00FC7DA2" w:rsidRPr="00EF4507" w:rsidRDefault="00FC7DA2" w:rsidP="00FC7DA2">
            <w:pPr>
              <w:jc w:val="both"/>
              <w:rPr>
                <w:rFonts w:ascii="Arial" w:hAnsi="Arial" w:cs="Arial"/>
              </w:rPr>
            </w:pPr>
            <w:r w:rsidRPr="00EF4507">
              <w:rPr>
                <w:rFonts w:ascii="Arial" w:hAnsi="Arial" w:cs="Arial"/>
              </w:rPr>
              <w:t>b) Įforminimas:</w:t>
            </w:r>
          </w:p>
          <w:p w14:paraId="584E8DE2" w14:textId="5049785D" w:rsidR="00FC7DA2" w:rsidRPr="00EF4507" w:rsidRDefault="00FC7DA2" w:rsidP="00FC7DA2">
            <w:pPr>
              <w:jc w:val="both"/>
              <w:rPr>
                <w:rFonts w:ascii="Arial" w:hAnsi="Arial" w:cs="Arial"/>
              </w:rPr>
            </w:pPr>
            <w:r w:rsidRPr="00EF4507">
              <w:rPr>
                <w:rFonts w:ascii="Arial" w:hAnsi="Arial" w:cs="Arial"/>
              </w:rPr>
              <w:t>Nuotraukos</w:t>
            </w:r>
          </w:p>
          <w:p w14:paraId="58A60459" w14:textId="437419DF" w:rsidR="00FC7DA2" w:rsidRPr="00EF4507" w:rsidRDefault="00FC7DA2" w:rsidP="00FC7DA2">
            <w:pPr>
              <w:jc w:val="both"/>
              <w:rPr>
                <w:rFonts w:ascii="Arial" w:hAnsi="Arial" w:cs="Arial"/>
              </w:rPr>
            </w:pPr>
            <w:r w:rsidRPr="00EF4507">
              <w:rPr>
                <w:rFonts w:ascii="Arial" w:hAnsi="Arial" w:cs="Arial"/>
              </w:rPr>
              <w:t>Pastabos užduotyje (pvz., „neįsileido klientas“)</w:t>
            </w:r>
          </w:p>
          <w:p w14:paraId="5548118C" w14:textId="2757C3DC" w:rsidR="00FC7DA2" w:rsidRPr="00EF4507" w:rsidRDefault="00FC7DA2" w:rsidP="0015364E">
            <w:pPr>
              <w:jc w:val="both"/>
              <w:rPr>
                <w:rFonts w:ascii="Arial" w:hAnsi="Arial" w:cs="Arial"/>
              </w:rPr>
            </w:pPr>
            <w:r w:rsidRPr="00EF4507">
              <w:rPr>
                <w:rFonts w:ascii="Arial" w:hAnsi="Arial" w:cs="Arial"/>
              </w:rPr>
              <w:lastRenderedPageBreak/>
              <w:t xml:space="preserve">Grąžinimo priežastis: SAP, NVASUR, NAP, NVV: </w:t>
            </w:r>
          </w:p>
          <w:p w14:paraId="48D5FD5B" w14:textId="6D019C2C" w:rsidR="00FC7DA2" w:rsidRPr="00EF4507" w:rsidRDefault="00FC7DA2" w:rsidP="0015364E">
            <w:pPr>
              <w:jc w:val="both"/>
              <w:rPr>
                <w:rFonts w:ascii="Arial" w:hAnsi="Arial" w:cs="Arial"/>
              </w:rPr>
            </w:pPr>
            <w:r w:rsidRPr="00EF4507">
              <w:rPr>
                <w:rFonts w:ascii="Arial" w:hAnsi="Arial" w:cs="Arial"/>
              </w:rPr>
              <w:t>SAP – sugedęs apskaitos prietaisas.</w:t>
            </w:r>
          </w:p>
          <w:p w14:paraId="54655796" w14:textId="77777777" w:rsidR="00FC7DA2" w:rsidRPr="00EF4507" w:rsidRDefault="00FC7DA2" w:rsidP="00FC7DA2">
            <w:pPr>
              <w:jc w:val="both"/>
              <w:rPr>
                <w:rFonts w:ascii="Arial" w:hAnsi="Arial" w:cs="Arial"/>
              </w:rPr>
            </w:pPr>
          </w:p>
          <w:p w14:paraId="4EDDF2ED" w14:textId="77777777" w:rsidR="00FC7DA2" w:rsidRPr="00EF4507" w:rsidRDefault="00FC7DA2" w:rsidP="00FC7DA2">
            <w:pPr>
              <w:jc w:val="both"/>
              <w:rPr>
                <w:rFonts w:ascii="Arial" w:hAnsi="Arial" w:cs="Arial"/>
              </w:rPr>
            </w:pPr>
            <w:r w:rsidRPr="00EF4507">
              <w:rPr>
                <w:rFonts w:ascii="Arial" w:hAnsi="Arial" w:cs="Arial"/>
              </w:rPr>
              <w:t>Vizualiai nustačius elektros skaitiklio (o taip pat ir kitų schemos elementų) gedimą (displėjuje  nėra duomenų, skaitiklis sudegęs ir t.t.) arba dujų  skaitiklio gedimą (veikiant dujiniam prietaisui nesikeičia skaitiklio rodmenys, skaičiavimo mechanizmas įstrigęs, būgneliai tarpinės padėtyse ir t.t.)  ir/ar dėl šios priežasties nesant galimybei teisingai užfiksuoti suvartotos elektros energijos ar dujų skaitiklio rodmenų, atitinkamą informaciją apie skaitiklio gedimą pateikti užduoties rezultatuose ir nedelsiant gedimą užregistruoti 1852 telefonu.</w:t>
            </w:r>
          </w:p>
          <w:p w14:paraId="33BD5B58" w14:textId="77777777" w:rsidR="00FC7DA2" w:rsidRPr="00EF4507" w:rsidRDefault="00FC7DA2" w:rsidP="00FC7DA2">
            <w:pPr>
              <w:jc w:val="both"/>
              <w:rPr>
                <w:rFonts w:ascii="Arial" w:hAnsi="Arial" w:cs="Arial"/>
              </w:rPr>
            </w:pPr>
          </w:p>
          <w:p w14:paraId="0266125E" w14:textId="77777777" w:rsidR="00FC7DA2" w:rsidRPr="00EF4507" w:rsidRDefault="00FC7DA2" w:rsidP="00FC7DA2">
            <w:pPr>
              <w:jc w:val="both"/>
              <w:rPr>
                <w:rFonts w:ascii="Arial" w:hAnsi="Arial" w:cs="Arial"/>
              </w:rPr>
            </w:pPr>
            <w:r w:rsidRPr="00EF4507">
              <w:rPr>
                <w:rFonts w:ascii="Arial" w:hAnsi="Arial" w:cs="Arial"/>
              </w:rPr>
              <w:t>Informacijos pateikimas skaitiklių nurašymo  užduotyje: užduoties skiltyje „Rezultatas“ nurodoma „Grąžinta“, o gražinimo priežastis nurodoma „SAP“.</w:t>
            </w:r>
          </w:p>
          <w:p w14:paraId="20DB59FF" w14:textId="77777777" w:rsidR="00FC7DA2" w:rsidRPr="00EF4507" w:rsidRDefault="00FC7DA2" w:rsidP="00FC7DA2">
            <w:pPr>
              <w:jc w:val="both"/>
              <w:rPr>
                <w:rFonts w:ascii="Arial" w:hAnsi="Arial" w:cs="Arial"/>
              </w:rPr>
            </w:pPr>
          </w:p>
          <w:p w14:paraId="1A1847CF" w14:textId="71D1283C" w:rsidR="00FC7DA2" w:rsidRPr="00EF4507" w:rsidRDefault="00FC7DA2" w:rsidP="00FC7DA2">
            <w:pPr>
              <w:jc w:val="both"/>
              <w:rPr>
                <w:rFonts w:ascii="Arial" w:hAnsi="Arial" w:cs="Arial"/>
              </w:rPr>
            </w:pPr>
            <w:r w:rsidRPr="00EF4507">
              <w:rPr>
                <w:rFonts w:ascii="Arial" w:hAnsi="Arial" w:cs="Arial"/>
              </w:rPr>
              <w:t>NVASUR – neapskaitinis energijos vartojimas.</w:t>
            </w:r>
          </w:p>
          <w:p w14:paraId="30879536" w14:textId="77777777" w:rsidR="00FC7DA2" w:rsidRPr="00EF4507" w:rsidRDefault="00FC7DA2" w:rsidP="00FC7DA2">
            <w:pPr>
              <w:jc w:val="both"/>
              <w:rPr>
                <w:rFonts w:ascii="Arial" w:hAnsi="Arial" w:cs="Arial"/>
              </w:rPr>
            </w:pPr>
          </w:p>
          <w:p w14:paraId="5C73F741" w14:textId="77777777" w:rsidR="00FC7DA2" w:rsidRPr="00EF4507" w:rsidRDefault="00FC7DA2" w:rsidP="00FC7DA2">
            <w:pPr>
              <w:jc w:val="both"/>
              <w:rPr>
                <w:rFonts w:ascii="Arial" w:hAnsi="Arial" w:cs="Arial"/>
              </w:rPr>
            </w:pPr>
            <w:r w:rsidRPr="00EF4507">
              <w:rPr>
                <w:rFonts w:ascii="Arial" w:hAnsi="Arial" w:cs="Arial"/>
              </w:rPr>
              <w:t>Vizualiai nustačius bent vieną iš elektros apskaitos schemos elementų pažeidimą arba  dujų sistemos pažeidimą ar gavus informaciją iš Klientų apie galimai neteisėtą elektros energijos ar dujų naudojimo atvejį, atitinkamą informaciją apie pažeidimą pateikti užduoties rezultatuose ir nedelsiant užregistruoti pažeidimą 1852 telefonu.</w:t>
            </w:r>
          </w:p>
          <w:p w14:paraId="67E1731E" w14:textId="77777777" w:rsidR="00FC7DA2" w:rsidRPr="00EF4507" w:rsidRDefault="00FC7DA2" w:rsidP="00FC7DA2">
            <w:pPr>
              <w:jc w:val="both"/>
              <w:rPr>
                <w:rFonts w:ascii="Arial" w:hAnsi="Arial" w:cs="Arial"/>
              </w:rPr>
            </w:pPr>
          </w:p>
          <w:p w14:paraId="4F0A456D" w14:textId="77777777" w:rsidR="00FC7DA2" w:rsidRPr="00EF4507" w:rsidRDefault="00FC7DA2" w:rsidP="00FC7DA2">
            <w:pPr>
              <w:jc w:val="both"/>
              <w:rPr>
                <w:rFonts w:ascii="Arial" w:hAnsi="Arial" w:cs="Arial"/>
              </w:rPr>
            </w:pPr>
            <w:r w:rsidRPr="00EF4507">
              <w:rPr>
                <w:rFonts w:ascii="Arial" w:hAnsi="Arial" w:cs="Arial"/>
              </w:rPr>
              <w:t>Informacijos pateikimas  skaitiklių nurašymo  užduotyje: užduoties skiltyje „Rezultatas“ nurodoma „Grąžinta", o grąžinimo priežastis nurodoma „NVASUR“.</w:t>
            </w:r>
          </w:p>
          <w:p w14:paraId="49E41848" w14:textId="77F99EA5" w:rsidR="00FC7DA2" w:rsidRPr="00EF4507" w:rsidRDefault="00FC7DA2" w:rsidP="00FC7DA2">
            <w:pPr>
              <w:jc w:val="both"/>
              <w:rPr>
                <w:rFonts w:ascii="Arial" w:hAnsi="Arial" w:cs="Arial"/>
              </w:rPr>
            </w:pPr>
          </w:p>
          <w:p w14:paraId="4E846D9A" w14:textId="77777777" w:rsidR="00FC7DA2" w:rsidRPr="00EF4507" w:rsidRDefault="00FC7DA2" w:rsidP="00FC7DA2">
            <w:pPr>
              <w:jc w:val="both"/>
              <w:rPr>
                <w:rFonts w:ascii="Arial" w:hAnsi="Arial" w:cs="Arial"/>
              </w:rPr>
            </w:pPr>
            <w:r w:rsidRPr="00EF4507">
              <w:rPr>
                <w:rFonts w:ascii="Arial" w:hAnsi="Arial" w:cs="Arial"/>
              </w:rPr>
              <w:t>NAP – nerastas apskaitos prietaisas.</w:t>
            </w:r>
          </w:p>
          <w:p w14:paraId="14DCDF3C" w14:textId="50AF23F4" w:rsidR="00FC7DA2" w:rsidRPr="00EF4507" w:rsidRDefault="00FC7DA2" w:rsidP="00FC7DA2">
            <w:pPr>
              <w:jc w:val="both"/>
              <w:rPr>
                <w:rFonts w:ascii="Arial" w:hAnsi="Arial" w:cs="Arial"/>
              </w:rPr>
            </w:pPr>
          </w:p>
          <w:p w14:paraId="786CB698" w14:textId="77777777" w:rsidR="00FC7DA2" w:rsidRPr="00EF4507" w:rsidRDefault="00FC7DA2" w:rsidP="00FC7DA2">
            <w:pPr>
              <w:jc w:val="both"/>
              <w:rPr>
                <w:rFonts w:ascii="Arial" w:hAnsi="Arial" w:cs="Arial"/>
              </w:rPr>
            </w:pPr>
            <w:r w:rsidRPr="00EF4507">
              <w:rPr>
                <w:rFonts w:ascii="Arial" w:hAnsi="Arial" w:cs="Arial"/>
              </w:rPr>
              <w:t>Jei skaitiklių rodmenų nurašymo metu darbuotojas negali surasti skaitiklio ar nustato, kad Užsakovo pateikta informacija yra klaidinga (pvz., klaidingai nurodytas skaitiklio numeris, tipas, Kliento adresas, kontaktinė informacija, neteisingas KAS Nr., neteisinga apskaitos prietaiso vieta ir pan.), buvo pakeistas skaitiklis einamuoju Ataskaitiniu laikotarpiu, atitinkamą informaciją apie klaidingus duomenis pateikti užduoties rezultatuose (išsamesnė informacija pateikta IV skyriuje). Po dviejų apsilankymų norint nurašyti elektros ir/ar dujų apskaitos prietaiso rodmenis, neradus Kliento namuose ir nepavykus su juo susisiekti telefonu.</w:t>
            </w:r>
          </w:p>
          <w:p w14:paraId="7DA5CF17" w14:textId="77777777" w:rsidR="00FC7DA2" w:rsidRPr="00EF4507" w:rsidRDefault="00FC7DA2" w:rsidP="00FC7DA2">
            <w:pPr>
              <w:jc w:val="both"/>
              <w:rPr>
                <w:rFonts w:ascii="Arial" w:hAnsi="Arial" w:cs="Arial"/>
              </w:rPr>
            </w:pPr>
          </w:p>
          <w:p w14:paraId="5D069885" w14:textId="77777777" w:rsidR="00FC7DA2" w:rsidRPr="00EF4507" w:rsidRDefault="00FC7DA2" w:rsidP="00FC7DA2">
            <w:pPr>
              <w:jc w:val="both"/>
              <w:rPr>
                <w:rFonts w:ascii="Arial" w:hAnsi="Arial" w:cs="Arial"/>
              </w:rPr>
            </w:pPr>
            <w:r w:rsidRPr="00EF4507">
              <w:rPr>
                <w:rFonts w:ascii="Arial" w:hAnsi="Arial" w:cs="Arial"/>
              </w:rPr>
              <w:t xml:space="preserve">Jei skaitiklio rodmenys nurašyti (skaitiklis rastas), tokiu atveju užduoties rezultatuose nurodoma „Įvykdyta", o taisytina informacija pateikiama atitinkamuose užduoties </w:t>
            </w:r>
            <w:r w:rsidRPr="00EF4507">
              <w:rPr>
                <w:rFonts w:ascii="Arial" w:hAnsi="Arial" w:cs="Arial"/>
              </w:rPr>
              <w:lastRenderedPageBreak/>
              <w:t>laukeliuose. Pagal poreikį papildomai galima pateikti taisytiną informaciją pastabų laukelyje. Jei skaitiklis nerastas ir rodmenys nenurašyti, tokiu atveju užduoties skiltyje „Rezultatas" nurodoma: „Grąžinta", o grąžinimo priežastimi nurodoma „NAP“.</w:t>
            </w:r>
          </w:p>
          <w:p w14:paraId="61160732" w14:textId="77777777" w:rsidR="00FC7DA2" w:rsidRPr="00EF4507" w:rsidRDefault="00FC7DA2" w:rsidP="00FC7DA2">
            <w:pPr>
              <w:jc w:val="both"/>
              <w:rPr>
                <w:rFonts w:ascii="Arial" w:hAnsi="Arial" w:cs="Arial"/>
              </w:rPr>
            </w:pPr>
          </w:p>
          <w:p w14:paraId="251F040C" w14:textId="77777777" w:rsidR="00FC7DA2" w:rsidRPr="00EF4507" w:rsidRDefault="00FC7DA2" w:rsidP="00FC7DA2">
            <w:pPr>
              <w:jc w:val="both"/>
              <w:rPr>
                <w:rFonts w:ascii="Arial" w:hAnsi="Arial" w:cs="Arial"/>
              </w:rPr>
            </w:pPr>
            <w:r w:rsidRPr="00EF4507">
              <w:rPr>
                <w:rFonts w:ascii="Arial" w:hAnsi="Arial" w:cs="Arial"/>
              </w:rPr>
              <w:t>NVV – neteisėti vartotojo veiksmai</w:t>
            </w:r>
          </w:p>
          <w:p w14:paraId="31EB1601" w14:textId="77777777" w:rsidR="00FC7DA2" w:rsidRPr="00EF4507" w:rsidRDefault="00FC7DA2" w:rsidP="00FC7DA2">
            <w:pPr>
              <w:jc w:val="both"/>
              <w:rPr>
                <w:rFonts w:ascii="Arial" w:hAnsi="Arial" w:cs="Arial"/>
              </w:rPr>
            </w:pPr>
            <w:r w:rsidRPr="00EF4507">
              <w:rPr>
                <w:rFonts w:ascii="Arial" w:hAnsi="Arial" w:cs="Arial"/>
              </w:rPr>
              <w:t>Jei darbuotojas negali suteikti skaitiklio rodmenų nurašymo paslaugos dėl neteisėtų Kliento veiksmų (pvz.: Klientas fiziškai neprileidžia prie skaitiklio), atitinkamą informaciją apie neteisėtus Kliento veiksmus pateikti užduoties rezultatuose.</w:t>
            </w:r>
          </w:p>
          <w:p w14:paraId="22B7EF72" w14:textId="77777777" w:rsidR="00FC7DA2" w:rsidRPr="00EF4507" w:rsidRDefault="00FC7DA2" w:rsidP="00FC7DA2">
            <w:pPr>
              <w:jc w:val="both"/>
              <w:rPr>
                <w:rFonts w:ascii="Arial" w:hAnsi="Arial" w:cs="Arial"/>
              </w:rPr>
            </w:pPr>
          </w:p>
          <w:p w14:paraId="05699C0B" w14:textId="77777777" w:rsidR="00FC7DA2" w:rsidRPr="00EF4507" w:rsidRDefault="00FC7DA2" w:rsidP="00FC7DA2">
            <w:pPr>
              <w:jc w:val="both"/>
              <w:rPr>
                <w:rFonts w:ascii="Arial" w:hAnsi="Arial" w:cs="Arial"/>
              </w:rPr>
            </w:pPr>
            <w:r w:rsidRPr="00EF4507">
              <w:rPr>
                <w:rFonts w:ascii="Arial" w:hAnsi="Arial" w:cs="Arial"/>
              </w:rPr>
              <w:t>Informacijos pateikimas skaitiklių nurašymo  užduotyje: Užduoties skiltyje „Rezultatas" nurodoma „Grąžinta",  o grąžinimo priežastis nurodoma „NVV“.</w:t>
            </w:r>
          </w:p>
          <w:p w14:paraId="2D801AAC" w14:textId="20153F05" w:rsidR="00FC7DA2" w:rsidRPr="00EF4507" w:rsidRDefault="00FC7DA2" w:rsidP="00FC7DA2">
            <w:pPr>
              <w:jc w:val="both"/>
              <w:rPr>
                <w:rFonts w:ascii="Arial" w:hAnsi="Arial" w:cs="Arial"/>
              </w:rPr>
            </w:pPr>
          </w:p>
          <w:p w14:paraId="00909157" w14:textId="268C0776" w:rsidR="009E715E" w:rsidRPr="00EF4507" w:rsidRDefault="00FC7DA2" w:rsidP="00FC7DA2">
            <w:pPr>
              <w:jc w:val="both"/>
              <w:rPr>
                <w:rFonts w:ascii="Arial" w:hAnsi="Arial" w:cs="Arial"/>
              </w:rPr>
            </w:pPr>
            <w:r w:rsidRPr="00EF4507">
              <w:rPr>
                <w:rFonts w:ascii="Arial" w:hAnsi="Arial" w:cs="Arial"/>
              </w:rPr>
              <w:t>Skambinimo bandymai: dokumentuoti pastabose, bet filmuoti ar įrašinėti – nereikalaujama.</w:t>
            </w:r>
          </w:p>
        </w:tc>
      </w:tr>
      <w:tr w:rsidR="009E715E" w:rsidRPr="00EF4507" w14:paraId="4A58C740" w14:textId="77777777" w:rsidTr="00CF0C26">
        <w:tc>
          <w:tcPr>
            <w:tcW w:w="177" w:type="pct"/>
          </w:tcPr>
          <w:p w14:paraId="20F35674" w14:textId="7FD0BD12" w:rsidR="009E715E" w:rsidRPr="00EF4507" w:rsidRDefault="009E715E" w:rsidP="0051503B">
            <w:pPr>
              <w:jc w:val="both"/>
              <w:rPr>
                <w:rFonts w:ascii="Arial" w:hAnsi="Arial" w:cs="Arial"/>
              </w:rPr>
            </w:pPr>
            <w:r w:rsidRPr="00EF4507">
              <w:rPr>
                <w:rFonts w:ascii="Arial" w:hAnsi="Arial" w:cs="Arial"/>
              </w:rPr>
              <w:lastRenderedPageBreak/>
              <w:t>15.</w:t>
            </w:r>
          </w:p>
        </w:tc>
        <w:tc>
          <w:tcPr>
            <w:tcW w:w="2029" w:type="pct"/>
          </w:tcPr>
          <w:p w14:paraId="324865E6" w14:textId="1BF54427" w:rsidR="009E715E" w:rsidRPr="00EF4507" w:rsidRDefault="009E715E" w:rsidP="0051503B">
            <w:pPr>
              <w:jc w:val="both"/>
              <w:rPr>
                <w:rFonts w:ascii="Arial" w:hAnsi="Arial" w:cs="Arial"/>
              </w:rPr>
            </w:pPr>
            <w:r w:rsidRPr="00EF4507">
              <w:rPr>
                <w:rFonts w:ascii="Arial" w:hAnsi="Arial" w:cs="Arial"/>
              </w:rPr>
              <w:t>Prašome pateikti procentinį pasiskirstymą kiekviename regione tarp daugiabučių, sodo, privačių namų ar verslo pastatuose esančių Apskaitos prietaisų rodmenų nurašymo užsakomo kiekio.</w:t>
            </w:r>
          </w:p>
        </w:tc>
        <w:tc>
          <w:tcPr>
            <w:tcW w:w="2794" w:type="pct"/>
          </w:tcPr>
          <w:p w14:paraId="5017C9CB" w14:textId="55B7FD29" w:rsidR="00ED2876" w:rsidRPr="00EF4507" w:rsidRDefault="0015364E" w:rsidP="00ED2876">
            <w:pPr>
              <w:jc w:val="both"/>
              <w:rPr>
                <w:rFonts w:ascii="Arial" w:hAnsi="Arial" w:cs="Arial"/>
              </w:rPr>
            </w:pPr>
            <w:r>
              <w:rPr>
                <w:rFonts w:ascii="Arial" w:hAnsi="Arial" w:cs="Arial"/>
              </w:rPr>
              <w:t xml:space="preserve">Prašomų duomenų (procentinio pasiskirstymo statistikos) neturime, </w:t>
            </w:r>
            <w:r w:rsidR="00ED2876" w:rsidRPr="00EF4507">
              <w:rPr>
                <w:rFonts w:ascii="Arial" w:hAnsi="Arial" w:cs="Arial"/>
              </w:rPr>
              <w:t>nes rodmenų nurašymas vykdomas pagal poreikį</w:t>
            </w:r>
            <w:r>
              <w:rPr>
                <w:rFonts w:ascii="Arial" w:hAnsi="Arial" w:cs="Arial"/>
              </w:rPr>
              <w:t>.</w:t>
            </w:r>
          </w:p>
          <w:p w14:paraId="1E7A0684" w14:textId="77777777" w:rsidR="009E715E" w:rsidRPr="00EF4507" w:rsidRDefault="009E715E" w:rsidP="0051503B">
            <w:pPr>
              <w:jc w:val="both"/>
              <w:rPr>
                <w:rFonts w:ascii="Arial" w:hAnsi="Arial" w:cs="Arial"/>
              </w:rPr>
            </w:pPr>
          </w:p>
        </w:tc>
      </w:tr>
      <w:tr w:rsidR="009E715E" w:rsidRPr="00EF4507" w14:paraId="1A7D8348" w14:textId="77777777" w:rsidTr="00CF0C26">
        <w:tc>
          <w:tcPr>
            <w:tcW w:w="177" w:type="pct"/>
          </w:tcPr>
          <w:p w14:paraId="1ABF7A91" w14:textId="01F83F96" w:rsidR="009E715E" w:rsidRPr="00EF4507" w:rsidRDefault="009E715E" w:rsidP="0051503B">
            <w:pPr>
              <w:jc w:val="both"/>
              <w:rPr>
                <w:rFonts w:ascii="Arial" w:hAnsi="Arial" w:cs="Arial"/>
              </w:rPr>
            </w:pPr>
            <w:r w:rsidRPr="00EF4507">
              <w:rPr>
                <w:rFonts w:ascii="Arial" w:hAnsi="Arial" w:cs="Arial"/>
              </w:rPr>
              <w:t>16.</w:t>
            </w:r>
          </w:p>
        </w:tc>
        <w:tc>
          <w:tcPr>
            <w:tcW w:w="2029" w:type="pct"/>
          </w:tcPr>
          <w:p w14:paraId="3ECDC519" w14:textId="3C24EB74" w:rsidR="009E715E" w:rsidRPr="00EF4507" w:rsidRDefault="009E715E" w:rsidP="0051503B">
            <w:pPr>
              <w:jc w:val="both"/>
              <w:rPr>
                <w:rFonts w:ascii="Arial" w:hAnsi="Arial" w:cs="Arial"/>
              </w:rPr>
            </w:pPr>
            <w:r w:rsidRPr="00EF4507">
              <w:rPr>
                <w:rFonts w:ascii="Arial" w:hAnsi="Arial" w:cs="Arial"/>
              </w:rPr>
              <w:t>Prašome pateikti procentinį pasiskirstymą kiekviename regione tarp mieste ir rajonuose esančių kiekių.</w:t>
            </w:r>
          </w:p>
        </w:tc>
        <w:tc>
          <w:tcPr>
            <w:tcW w:w="2794" w:type="pct"/>
          </w:tcPr>
          <w:p w14:paraId="1C0538E2" w14:textId="0E77E890" w:rsidR="00ED2876" w:rsidRPr="00EF4507" w:rsidRDefault="0015364E" w:rsidP="00ED2876">
            <w:pPr>
              <w:jc w:val="both"/>
              <w:rPr>
                <w:rFonts w:ascii="Arial" w:hAnsi="Arial" w:cs="Arial"/>
              </w:rPr>
            </w:pPr>
            <w:r>
              <w:rPr>
                <w:rFonts w:ascii="Arial" w:hAnsi="Arial" w:cs="Arial"/>
              </w:rPr>
              <w:t xml:space="preserve">Prašomų duomenų (procentinio pasiskirstymo statistikos) neturime, </w:t>
            </w:r>
            <w:r w:rsidR="00ED2876" w:rsidRPr="00EF4507">
              <w:rPr>
                <w:rFonts w:ascii="Arial" w:hAnsi="Arial" w:cs="Arial"/>
              </w:rPr>
              <w:t>nes rodmenų nurašymas vykdomas pagal poreikį</w:t>
            </w:r>
            <w:r>
              <w:rPr>
                <w:rFonts w:ascii="Arial" w:hAnsi="Arial" w:cs="Arial"/>
              </w:rPr>
              <w:t>.</w:t>
            </w:r>
          </w:p>
          <w:p w14:paraId="770F214D" w14:textId="77777777" w:rsidR="009E715E" w:rsidRPr="00EF4507" w:rsidRDefault="009E715E" w:rsidP="0051503B">
            <w:pPr>
              <w:jc w:val="both"/>
              <w:rPr>
                <w:rFonts w:ascii="Arial" w:hAnsi="Arial" w:cs="Arial"/>
              </w:rPr>
            </w:pPr>
          </w:p>
        </w:tc>
      </w:tr>
      <w:tr w:rsidR="009E715E" w:rsidRPr="00EF4507" w14:paraId="19FA729B" w14:textId="77777777" w:rsidTr="00CF0C26">
        <w:tc>
          <w:tcPr>
            <w:tcW w:w="177" w:type="pct"/>
          </w:tcPr>
          <w:p w14:paraId="14497CFF" w14:textId="4779C8D6" w:rsidR="009E715E" w:rsidRPr="00EF4507" w:rsidRDefault="009E715E" w:rsidP="0051503B">
            <w:pPr>
              <w:jc w:val="both"/>
              <w:rPr>
                <w:rFonts w:ascii="Arial" w:hAnsi="Arial" w:cs="Arial"/>
              </w:rPr>
            </w:pPr>
            <w:r w:rsidRPr="00EF4507">
              <w:rPr>
                <w:rFonts w:ascii="Arial" w:hAnsi="Arial" w:cs="Arial"/>
              </w:rPr>
              <w:t>17.</w:t>
            </w:r>
          </w:p>
        </w:tc>
        <w:tc>
          <w:tcPr>
            <w:tcW w:w="2029" w:type="pct"/>
          </w:tcPr>
          <w:p w14:paraId="624D0279" w14:textId="3ABF0020" w:rsidR="009E715E" w:rsidRPr="00EF4507" w:rsidRDefault="009E715E" w:rsidP="0051503B">
            <w:pPr>
              <w:jc w:val="both"/>
              <w:rPr>
                <w:rFonts w:ascii="Arial" w:hAnsi="Arial" w:cs="Arial"/>
              </w:rPr>
            </w:pPr>
            <w:r w:rsidRPr="00EF4507">
              <w:rPr>
                <w:rFonts w:ascii="Arial" w:hAnsi="Arial" w:cs="Arial"/>
              </w:rPr>
              <w:t>Techninės specifikacijos 5.2 punkte nurodyta „Paslauga laikoma suteikta tada, kai užfiksuojami skaitiklio rodmenys, atitinkantys faktą, nufotografuojamas skaitiklis, elektros skaitiklio apskaitos spinta (jei skaitiklis yra ant atramos/pamato) ir šioje techninėje specifikacijoje nustatyta tvarka pateikiami Klientui.“ Prašome paaiškinti ar teisingai suprantame, kad elektros skaitiklio apskaitos spintas (jei skaitiklis yra ant atramos/pamato) fotografuoti reikia tik privačiuose namuose, soduose ar kotedžuose (o daugiabučiuose nereikia)?</w:t>
            </w:r>
          </w:p>
        </w:tc>
        <w:tc>
          <w:tcPr>
            <w:tcW w:w="2794" w:type="pct"/>
          </w:tcPr>
          <w:p w14:paraId="510F47C8" w14:textId="77777777" w:rsidR="00ED2876" w:rsidRPr="00EF4507" w:rsidRDefault="00ED2876" w:rsidP="00ED2876">
            <w:pPr>
              <w:jc w:val="both"/>
              <w:rPr>
                <w:rFonts w:ascii="Arial" w:hAnsi="Arial" w:cs="Arial"/>
              </w:rPr>
            </w:pPr>
            <w:r w:rsidRPr="00EF4507">
              <w:rPr>
                <w:rFonts w:ascii="Arial" w:hAnsi="Arial" w:cs="Arial"/>
              </w:rPr>
              <w:t>Fotografuoti reikia visais atvejais.</w:t>
            </w:r>
          </w:p>
          <w:p w14:paraId="3F64D2DE" w14:textId="77777777" w:rsidR="009E715E" w:rsidRPr="00EF4507" w:rsidRDefault="009E715E" w:rsidP="0051503B">
            <w:pPr>
              <w:jc w:val="both"/>
              <w:rPr>
                <w:rFonts w:ascii="Arial" w:hAnsi="Arial" w:cs="Arial"/>
              </w:rPr>
            </w:pPr>
          </w:p>
        </w:tc>
      </w:tr>
      <w:tr w:rsidR="009E715E" w:rsidRPr="00EF4507" w14:paraId="7325DBDB" w14:textId="77777777" w:rsidTr="00CF0C26">
        <w:tc>
          <w:tcPr>
            <w:tcW w:w="177" w:type="pct"/>
          </w:tcPr>
          <w:p w14:paraId="690BDE8C" w14:textId="3F7B2679" w:rsidR="009E715E" w:rsidRPr="00EF4507" w:rsidRDefault="009E715E" w:rsidP="0051503B">
            <w:pPr>
              <w:jc w:val="both"/>
              <w:rPr>
                <w:rFonts w:ascii="Arial" w:hAnsi="Arial" w:cs="Arial"/>
              </w:rPr>
            </w:pPr>
            <w:r w:rsidRPr="00EF4507">
              <w:rPr>
                <w:rFonts w:ascii="Arial" w:hAnsi="Arial" w:cs="Arial"/>
              </w:rPr>
              <w:t>18.</w:t>
            </w:r>
          </w:p>
        </w:tc>
        <w:tc>
          <w:tcPr>
            <w:tcW w:w="2029" w:type="pct"/>
          </w:tcPr>
          <w:p w14:paraId="07657F33" w14:textId="70BA2EF2" w:rsidR="009E715E" w:rsidRPr="00EF4507" w:rsidRDefault="009E715E" w:rsidP="0051503B">
            <w:pPr>
              <w:jc w:val="both"/>
              <w:rPr>
                <w:rFonts w:ascii="Arial" w:hAnsi="Arial" w:cs="Arial"/>
              </w:rPr>
            </w:pPr>
            <w:r w:rsidRPr="00EF4507">
              <w:rPr>
                <w:rFonts w:ascii="Arial" w:hAnsi="Arial" w:cs="Arial"/>
              </w:rPr>
              <w:t>Prašome pateikti procentinį pasiskirstymą kiekviename regione tarp elektros ir dujų skaitikliu kiekių.</w:t>
            </w:r>
          </w:p>
        </w:tc>
        <w:tc>
          <w:tcPr>
            <w:tcW w:w="2794" w:type="pct"/>
          </w:tcPr>
          <w:p w14:paraId="3FD9FB60" w14:textId="29219569" w:rsidR="00ED2876" w:rsidRPr="00EF4507" w:rsidRDefault="0015364E" w:rsidP="00ED2876">
            <w:pPr>
              <w:jc w:val="both"/>
              <w:rPr>
                <w:rFonts w:ascii="Arial" w:hAnsi="Arial" w:cs="Arial"/>
              </w:rPr>
            </w:pPr>
            <w:r>
              <w:rPr>
                <w:rFonts w:ascii="Arial" w:hAnsi="Arial" w:cs="Arial"/>
              </w:rPr>
              <w:t xml:space="preserve">Prašomų duomenų (procentinio pasiskirstymo statistikos) neturime, </w:t>
            </w:r>
            <w:r w:rsidR="00ED2876" w:rsidRPr="00EF4507">
              <w:rPr>
                <w:rFonts w:ascii="Arial" w:hAnsi="Arial" w:cs="Arial"/>
              </w:rPr>
              <w:t>nes rodmenų nurašymas vykdomas pagal poreikį</w:t>
            </w:r>
            <w:r>
              <w:rPr>
                <w:rFonts w:ascii="Arial" w:hAnsi="Arial" w:cs="Arial"/>
              </w:rPr>
              <w:t>.</w:t>
            </w:r>
          </w:p>
          <w:p w14:paraId="5BCD6EF0" w14:textId="77777777" w:rsidR="009E715E" w:rsidRPr="00EF4507" w:rsidRDefault="009E715E" w:rsidP="0051503B">
            <w:pPr>
              <w:jc w:val="both"/>
              <w:rPr>
                <w:rFonts w:ascii="Arial" w:hAnsi="Arial" w:cs="Arial"/>
              </w:rPr>
            </w:pPr>
          </w:p>
        </w:tc>
      </w:tr>
      <w:tr w:rsidR="009E715E" w:rsidRPr="00EF4507" w14:paraId="5F2D47E2" w14:textId="77777777" w:rsidTr="00CF0C26">
        <w:tc>
          <w:tcPr>
            <w:tcW w:w="177" w:type="pct"/>
          </w:tcPr>
          <w:p w14:paraId="2F6B4790" w14:textId="3D373741" w:rsidR="009E715E" w:rsidRPr="00EF4507" w:rsidRDefault="009E715E" w:rsidP="0051503B">
            <w:pPr>
              <w:jc w:val="both"/>
              <w:rPr>
                <w:rFonts w:ascii="Arial" w:hAnsi="Arial" w:cs="Arial"/>
              </w:rPr>
            </w:pPr>
            <w:r w:rsidRPr="00EF4507">
              <w:rPr>
                <w:rFonts w:ascii="Arial" w:hAnsi="Arial" w:cs="Arial"/>
              </w:rPr>
              <w:t>19.</w:t>
            </w:r>
          </w:p>
        </w:tc>
        <w:tc>
          <w:tcPr>
            <w:tcW w:w="2029" w:type="pct"/>
          </w:tcPr>
          <w:p w14:paraId="41A51ABB" w14:textId="6AFBE6BF" w:rsidR="009E715E" w:rsidRPr="00EF4507" w:rsidRDefault="009E715E" w:rsidP="0051503B">
            <w:pPr>
              <w:jc w:val="both"/>
              <w:rPr>
                <w:rFonts w:ascii="Arial" w:hAnsi="Arial" w:cs="Arial"/>
              </w:rPr>
            </w:pPr>
            <w:r w:rsidRPr="00EF4507">
              <w:rPr>
                <w:rFonts w:ascii="Arial" w:hAnsi="Arial" w:cs="Arial"/>
              </w:rPr>
              <w:t>Ar teisinga suprantame, kad duju skaitikliai daugiabučiuose būna tik butų viduje?</w:t>
            </w:r>
          </w:p>
        </w:tc>
        <w:tc>
          <w:tcPr>
            <w:tcW w:w="2794" w:type="pct"/>
          </w:tcPr>
          <w:p w14:paraId="23D64978" w14:textId="77777777" w:rsidR="00E03221" w:rsidRPr="00EF4507" w:rsidRDefault="00E03221" w:rsidP="00E03221">
            <w:pPr>
              <w:jc w:val="both"/>
              <w:rPr>
                <w:rFonts w:ascii="Arial" w:hAnsi="Arial" w:cs="Arial"/>
              </w:rPr>
            </w:pPr>
            <w:r w:rsidRPr="00EF4507">
              <w:rPr>
                <w:rFonts w:ascii="Arial" w:hAnsi="Arial" w:cs="Arial"/>
              </w:rPr>
              <w:t>Dujų skaitikliai daugiabučiuose dažniausiai būna butų viduje (virtuvėse) arba bendro naudojimo laiptinėse.</w:t>
            </w:r>
          </w:p>
          <w:p w14:paraId="75FF5358" w14:textId="77777777" w:rsidR="009E715E" w:rsidRPr="00EF4507" w:rsidRDefault="009E715E" w:rsidP="0051503B">
            <w:pPr>
              <w:jc w:val="both"/>
              <w:rPr>
                <w:rFonts w:ascii="Arial" w:hAnsi="Arial" w:cs="Arial"/>
              </w:rPr>
            </w:pPr>
          </w:p>
        </w:tc>
      </w:tr>
      <w:tr w:rsidR="009E715E" w:rsidRPr="00EF4507" w14:paraId="44CAA0C1" w14:textId="77777777" w:rsidTr="00CF0C26">
        <w:tc>
          <w:tcPr>
            <w:tcW w:w="177" w:type="pct"/>
          </w:tcPr>
          <w:p w14:paraId="3471DF84" w14:textId="2FE82A71" w:rsidR="009E715E" w:rsidRPr="00EF4507" w:rsidRDefault="009E715E" w:rsidP="0051503B">
            <w:pPr>
              <w:jc w:val="both"/>
              <w:rPr>
                <w:rFonts w:ascii="Arial" w:hAnsi="Arial" w:cs="Arial"/>
              </w:rPr>
            </w:pPr>
            <w:r w:rsidRPr="00EF4507">
              <w:rPr>
                <w:rFonts w:ascii="Arial" w:hAnsi="Arial" w:cs="Arial"/>
              </w:rPr>
              <w:lastRenderedPageBreak/>
              <w:t>20.</w:t>
            </w:r>
          </w:p>
        </w:tc>
        <w:tc>
          <w:tcPr>
            <w:tcW w:w="2029" w:type="pct"/>
          </w:tcPr>
          <w:p w14:paraId="0F9898CF" w14:textId="210FC24A" w:rsidR="009E715E" w:rsidRPr="00EF4507" w:rsidRDefault="009E715E" w:rsidP="0051503B">
            <w:pPr>
              <w:jc w:val="both"/>
              <w:rPr>
                <w:rFonts w:ascii="Arial" w:hAnsi="Arial" w:cs="Arial"/>
              </w:rPr>
            </w:pPr>
            <w:r w:rsidRPr="00EF4507">
              <w:rPr>
                <w:rFonts w:ascii="Arial" w:hAnsi="Arial" w:cs="Arial"/>
              </w:rPr>
              <w:t>Ar šiai dienai jau pilnai veikia ir ar sutarties pradžios dienai (vasara-ruduo) tikrai veiks duomenų sistema, per kuria bus teikiami ir gaunami užsakymai?</w:t>
            </w:r>
          </w:p>
        </w:tc>
        <w:tc>
          <w:tcPr>
            <w:tcW w:w="2794" w:type="pct"/>
          </w:tcPr>
          <w:p w14:paraId="6C2AE61C" w14:textId="4F0459C1" w:rsidR="0015364E" w:rsidRPr="00EF4507" w:rsidRDefault="008D5267" w:rsidP="0051503B">
            <w:pPr>
              <w:jc w:val="both"/>
              <w:rPr>
                <w:rFonts w:ascii="Arial" w:hAnsi="Arial" w:cs="Arial"/>
              </w:rPr>
            </w:pPr>
            <w:r w:rsidRPr="00EF4507">
              <w:rPr>
                <w:rFonts w:ascii="Arial" w:hAnsi="Arial" w:cs="Arial"/>
              </w:rPr>
              <w:t xml:space="preserve">Užsakymai ir rezultatai teikiami </w:t>
            </w:r>
            <w:r w:rsidR="0015364E" w:rsidRPr="00EF4507">
              <w:rPr>
                <w:rFonts w:ascii="Arial" w:hAnsi="Arial" w:cs="Arial"/>
              </w:rPr>
              <w:t>per</w:t>
            </w:r>
            <w:r w:rsidR="0015364E">
              <w:rPr>
                <w:rFonts w:ascii="Arial" w:hAnsi="Arial" w:cs="Arial"/>
              </w:rPr>
              <w:t xml:space="preserve"> </w:t>
            </w:r>
            <w:r w:rsidR="0015364E" w:rsidRPr="00EF4507">
              <w:rPr>
                <w:rFonts w:ascii="Arial" w:hAnsi="Arial" w:cs="Arial"/>
                <w:b/>
                <w:bCs/>
              </w:rPr>
              <w:t>Portalą</w:t>
            </w:r>
            <w:r w:rsidR="0015364E">
              <w:rPr>
                <w:rFonts w:ascii="Arial" w:hAnsi="Arial" w:cs="Arial"/>
              </w:rPr>
              <w:t xml:space="preserve"> </w:t>
            </w:r>
            <w:r w:rsidRPr="00EF4507">
              <w:rPr>
                <w:rFonts w:ascii="Arial" w:hAnsi="Arial" w:cs="Arial"/>
              </w:rPr>
              <w:t>(</w:t>
            </w:r>
            <w:hyperlink r:id="rId11" w:tooltip="https://public.etic.lt/RNWeb" w:history="1">
              <w:r w:rsidRPr="00EF4507">
                <w:rPr>
                  <w:rStyle w:val="Hipersaitas"/>
                  <w:rFonts w:ascii="Arial" w:hAnsi="Arial" w:cs="Arial"/>
                </w:rPr>
                <w:t>https://public.etic.lt/RNWeb</w:t>
              </w:r>
            </w:hyperlink>
            <w:r w:rsidRPr="00EF4507">
              <w:rPr>
                <w:rFonts w:ascii="Arial" w:hAnsi="Arial" w:cs="Arial"/>
              </w:rPr>
              <w:t>). Šiai dienai, portalas veikia.</w:t>
            </w:r>
          </w:p>
        </w:tc>
      </w:tr>
      <w:tr w:rsidR="009E715E" w:rsidRPr="00EF4507" w14:paraId="507A8278" w14:textId="77777777" w:rsidTr="00CF0C26">
        <w:tc>
          <w:tcPr>
            <w:tcW w:w="177" w:type="pct"/>
          </w:tcPr>
          <w:p w14:paraId="2ED4CD00" w14:textId="722C7767" w:rsidR="009E715E" w:rsidRPr="00EF4507" w:rsidRDefault="009E715E" w:rsidP="0051503B">
            <w:pPr>
              <w:jc w:val="both"/>
              <w:rPr>
                <w:rFonts w:ascii="Arial" w:hAnsi="Arial" w:cs="Arial"/>
              </w:rPr>
            </w:pPr>
            <w:r w:rsidRPr="00EF4507">
              <w:rPr>
                <w:rFonts w:ascii="Arial" w:hAnsi="Arial" w:cs="Arial"/>
              </w:rPr>
              <w:t>21.</w:t>
            </w:r>
          </w:p>
        </w:tc>
        <w:tc>
          <w:tcPr>
            <w:tcW w:w="2029" w:type="pct"/>
          </w:tcPr>
          <w:p w14:paraId="34C93BB0" w14:textId="3865974F" w:rsidR="009E715E" w:rsidRPr="00EF4507" w:rsidRDefault="009E715E" w:rsidP="0051503B">
            <w:pPr>
              <w:jc w:val="both"/>
              <w:rPr>
                <w:rFonts w:ascii="Arial" w:hAnsi="Arial" w:cs="Arial"/>
              </w:rPr>
            </w:pPr>
            <w:r w:rsidRPr="00EF4507">
              <w:rPr>
                <w:rFonts w:ascii="Arial" w:hAnsi="Arial" w:cs="Arial"/>
              </w:rPr>
              <w:t>Techninės specifikacijos 1 priedo 2 ir 5 lentelėse yra pateikta duomenų pateikimo forma, kuri yra užpildoma tekstu ir rodmenimis, bet nėra aišku kur ir kokiu būdu reikia pateikti nuotraukas?</w:t>
            </w:r>
          </w:p>
        </w:tc>
        <w:tc>
          <w:tcPr>
            <w:tcW w:w="2794" w:type="pct"/>
          </w:tcPr>
          <w:p w14:paraId="39CFA848" w14:textId="77777777" w:rsidR="00C824E6" w:rsidRPr="00EF4507" w:rsidRDefault="00C824E6" w:rsidP="00C824E6">
            <w:pPr>
              <w:jc w:val="both"/>
              <w:rPr>
                <w:rFonts w:ascii="Arial" w:hAnsi="Arial" w:cs="Arial"/>
              </w:rPr>
            </w:pPr>
            <w:r w:rsidRPr="00EF4507">
              <w:rPr>
                <w:rFonts w:ascii="Arial" w:hAnsi="Arial" w:cs="Arial"/>
              </w:rPr>
              <w:t>Nuotraukos pateikiamos:</w:t>
            </w:r>
          </w:p>
          <w:p w14:paraId="6E779AC2" w14:textId="77777777" w:rsidR="00C824E6" w:rsidRPr="00EF4507" w:rsidRDefault="00C824E6" w:rsidP="00C824E6">
            <w:pPr>
              <w:numPr>
                <w:ilvl w:val="0"/>
                <w:numId w:val="6"/>
              </w:numPr>
              <w:jc w:val="both"/>
              <w:rPr>
                <w:rFonts w:ascii="Arial" w:hAnsi="Arial" w:cs="Arial"/>
              </w:rPr>
            </w:pPr>
            <w:r w:rsidRPr="00EF4507">
              <w:rPr>
                <w:rFonts w:ascii="Arial" w:hAnsi="Arial" w:cs="Arial"/>
              </w:rPr>
              <w:t>Kol kas Elektroniniu paštu (Failų pavadinimuose turi būti nurodytas skaitiklio numeris (pvz., 552233-1, 552233-2)).</w:t>
            </w:r>
          </w:p>
          <w:p w14:paraId="27039BBE" w14:textId="77777777" w:rsidR="009E715E" w:rsidRPr="00EF4507" w:rsidRDefault="009E715E" w:rsidP="0051503B">
            <w:pPr>
              <w:jc w:val="both"/>
              <w:rPr>
                <w:rFonts w:ascii="Arial" w:hAnsi="Arial" w:cs="Arial"/>
              </w:rPr>
            </w:pPr>
          </w:p>
        </w:tc>
      </w:tr>
    </w:tbl>
    <w:p w14:paraId="6A12FB20" w14:textId="77777777" w:rsidR="009251DC" w:rsidRPr="00EF4507" w:rsidRDefault="009251DC" w:rsidP="00DE49B1">
      <w:pPr>
        <w:ind w:firstLine="567"/>
        <w:jc w:val="both"/>
        <w:rPr>
          <w:rFonts w:ascii="Arial" w:eastAsiaTheme="minorHAnsi" w:hAnsi="Arial" w:cs="Arial"/>
          <w:sz w:val="22"/>
          <w:szCs w:val="22"/>
          <w:lang w:val="lt-LT" w:eastAsia="lt-LT"/>
        </w:rPr>
      </w:pPr>
    </w:p>
    <w:p w14:paraId="6D5A78C5" w14:textId="77777777" w:rsidR="00980FE5" w:rsidRPr="00EF4507" w:rsidRDefault="00980FE5" w:rsidP="00DE49B1">
      <w:pPr>
        <w:ind w:firstLine="567"/>
        <w:jc w:val="both"/>
        <w:rPr>
          <w:rFonts w:ascii="Arial" w:hAnsi="Arial" w:cs="Arial"/>
          <w:sz w:val="22"/>
          <w:szCs w:val="22"/>
          <w:lang w:val="lt-LT"/>
        </w:rPr>
      </w:pPr>
    </w:p>
    <w:p w14:paraId="0EB378E5" w14:textId="5E7C7166" w:rsidR="00AD4D4D" w:rsidRPr="00EF4507" w:rsidRDefault="00965979" w:rsidP="00DE49B1">
      <w:pPr>
        <w:tabs>
          <w:tab w:val="left" w:pos="567"/>
        </w:tabs>
        <w:ind w:right="-1" w:firstLine="567"/>
        <w:jc w:val="both"/>
        <w:rPr>
          <w:rFonts w:ascii="Arial" w:hAnsi="Arial" w:cs="Arial"/>
          <w:color w:val="0D0D0D"/>
          <w:sz w:val="22"/>
          <w:szCs w:val="22"/>
          <w:lang w:val="lt-LT"/>
        </w:rPr>
      </w:pPr>
      <w:r w:rsidRPr="00CF0C26">
        <w:rPr>
          <w:rFonts w:ascii="Arial" w:hAnsi="Arial" w:cs="Arial"/>
          <w:color w:val="0D0D0D" w:themeColor="text1" w:themeTint="F2"/>
          <w:sz w:val="22"/>
          <w:szCs w:val="22"/>
          <w:lang w:val="lt-LT"/>
        </w:rPr>
        <w:t>V</w:t>
      </w:r>
      <w:r w:rsidR="00AD4D4D" w:rsidRPr="00CF0C26">
        <w:rPr>
          <w:rFonts w:ascii="Arial" w:hAnsi="Arial" w:cs="Arial"/>
          <w:color w:val="0D0D0D" w:themeColor="text1" w:themeTint="F2"/>
          <w:sz w:val="22"/>
          <w:szCs w:val="22"/>
          <w:lang w:val="lt-LT"/>
        </w:rPr>
        <w:t>adovaujantis</w:t>
      </w:r>
      <w:r w:rsidR="00C935C9" w:rsidRPr="00CF0C26">
        <w:rPr>
          <w:rFonts w:ascii="Arial" w:hAnsi="Arial" w:cs="Arial"/>
          <w:color w:val="0D0D0D" w:themeColor="text1" w:themeTint="F2"/>
          <w:sz w:val="22"/>
          <w:szCs w:val="22"/>
          <w:lang w:val="lt-LT"/>
        </w:rPr>
        <w:t xml:space="preserve"> </w:t>
      </w:r>
      <w:r w:rsidR="0015237E" w:rsidRPr="00CF0C26">
        <w:rPr>
          <w:rFonts w:ascii="Arial" w:hAnsi="Arial" w:cs="Arial"/>
          <w:sz w:val="22"/>
          <w:szCs w:val="22"/>
          <w:lang w:val="lt-LT"/>
        </w:rPr>
        <w:t>Bendrųjų pirkim</w:t>
      </w:r>
      <w:r w:rsidR="006C5167" w:rsidRPr="00CF0C26">
        <w:rPr>
          <w:rFonts w:ascii="Arial" w:hAnsi="Arial" w:cs="Arial"/>
          <w:sz w:val="22"/>
          <w:szCs w:val="22"/>
          <w:lang w:val="lt-LT"/>
        </w:rPr>
        <w:t>ų</w:t>
      </w:r>
      <w:r w:rsidR="0015237E" w:rsidRPr="00CF0C26">
        <w:rPr>
          <w:rFonts w:ascii="Arial" w:hAnsi="Arial" w:cs="Arial"/>
          <w:sz w:val="22"/>
          <w:szCs w:val="22"/>
          <w:lang w:val="lt-LT"/>
        </w:rPr>
        <w:t xml:space="preserve"> sąlyg</w:t>
      </w:r>
      <w:r w:rsidR="008031AD" w:rsidRPr="00CF0C26">
        <w:rPr>
          <w:rFonts w:ascii="Arial" w:hAnsi="Arial" w:cs="Arial"/>
          <w:sz w:val="22"/>
          <w:szCs w:val="22"/>
          <w:lang w:val="lt-LT"/>
        </w:rPr>
        <w:t xml:space="preserve">ų </w:t>
      </w:r>
      <w:r w:rsidR="008C74CE" w:rsidRPr="00CF0C26">
        <w:rPr>
          <w:rFonts w:ascii="Arial" w:hAnsi="Arial" w:cs="Arial"/>
          <w:sz w:val="22"/>
          <w:szCs w:val="22"/>
          <w:lang w:val="lt-LT"/>
        </w:rPr>
        <w:t xml:space="preserve">(BPS) </w:t>
      </w:r>
      <w:r w:rsidR="008031AD" w:rsidRPr="00CF0C26">
        <w:rPr>
          <w:rFonts w:ascii="Arial" w:hAnsi="Arial" w:cs="Arial"/>
          <w:sz w:val="22"/>
          <w:szCs w:val="22"/>
          <w:lang w:val="lt-LT"/>
        </w:rPr>
        <w:t>nuostatomis</w:t>
      </w:r>
      <w:r w:rsidR="18BDE9E3" w:rsidRPr="00CF0C26">
        <w:rPr>
          <w:rFonts w:ascii="Arial" w:hAnsi="Arial" w:cs="Arial"/>
          <w:sz w:val="22"/>
          <w:szCs w:val="22"/>
          <w:lang w:val="lt-LT"/>
        </w:rPr>
        <w:t>,</w:t>
      </w:r>
      <w:r w:rsidR="00C935C9" w:rsidRPr="00CF0C26">
        <w:rPr>
          <w:rFonts w:ascii="Arial" w:hAnsi="Arial" w:cs="Arial"/>
          <w:color w:val="0D0D0D" w:themeColor="text1" w:themeTint="F2"/>
          <w:sz w:val="22"/>
          <w:szCs w:val="22"/>
          <w:lang w:val="lt-LT"/>
        </w:rPr>
        <w:t xml:space="preserve"> </w:t>
      </w:r>
      <w:r w:rsidR="00AD4D4D" w:rsidRPr="00CF0C26">
        <w:rPr>
          <w:rFonts w:ascii="Arial" w:hAnsi="Arial" w:cs="Arial"/>
          <w:color w:val="0D0D0D" w:themeColor="text1" w:themeTint="F2"/>
          <w:sz w:val="22"/>
          <w:szCs w:val="22"/>
          <w:lang w:val="lt-LT"/>
        </w:rPr>
        <w:t>nukeliamas</w:t>
      </w:r>
      <w:r w:rsidR="00C935C9" w:rsidRPr="00CF0C26">
        <w:rPr>
          <w:rFonts w:ascii="Arial" w:hAnsi="Arial" w:cs="Arial"/>
          <w:color w:val="0D0D0D" w:themeColor="text1" w:themeTint="F2"/>
          <w:sz w:val="22"/>
          <w:szCs w:val="22"/>
          <w:lang w:val="lt-LT"/>
        </w:rPr>
        <w:t xml:space="preserve"> </w:t>
      </w:r>
      <w:sdt>
        <w:sdtPr>
          <w:rPr>
            <w:rFonts w:ascii="Arial" w:hAnsi="Arial" w:cs="Arial"/>
            <w:sz w:val="22"/>
            <w:szCs w:val="22"/>
            <w:lang w:val="lt-LT"/>
          </w:rPr>
          <w:id w:val="-605358153"/>
          <w:placeholder>
            <w:docPart w:val="187640FF7C824BDFA1EE6E4D4A2BBE20"/>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sidR="00007B10">
            <w:rPr>
              <w:rFonts w:ascii="Arial" w:hAnsi="Arial" w:cs="Arial"/>
              <w:sz w:val="22"/>
              <w:szCs w:val="22"/>
              <w:lang w:val="lt-LT"/>
            </w:rPr>
            <w:t>pasiūlymų</w:t>
          </w:r>
        </w:sdtContent>
      </w:sdt>
      <w:r w:rsidR="008E4AFF" w:rsidRPr="00CF0C26">
        <w:rPr>
          <w:rFonts w:ascii="Arial" w:hAnsi="Arial" w:cs="Arial"/>
          <w:color w:val="0D0D0D" w:themeColor="text1" w:themeTint="F2"/>
          <w:sz w:val="22"/>
          <w:szCs w:val="22"/>
          <w:lang w:val="lt-LT"/>
        </w:rPr>
        <w:t xml:space="preserve"> </w:t>
      </w:r>
      <w:r w:rsidR="00AD4D4D" w:rsidRPr="00CF0C26">
        <w:rPr>
          <w:rFonts w:ascii="Arial" w:hAnsi="Arial" w:cs="Arial"/>
          <w:color w:val="0D0D0D" w:themeColor="text1" w:themeTint="F2"/>
          <w:sz w:val="22"/>
          <w:szCs w:val="22"/>
          <w:lang w:val="lt-LT"/>
        </w:rPr>
        <w:t>pateikimo terminas.</w:t>
      </w:r>
      <w:r w:rsidRPr="00CF0C26">
        <w:rPr>
          <w:rFonts w:ascii="Arial" w:hAnsi="Arial" w:cs="Arial"/>
          <w:color w:val="0D0D0D" w:themeColor="text1" w:themeTint="F2"/>
          <w:sz w:val="22"/>
          <w:szCs w:val="22"/>
          <w:lang w:val="lt-LT"/>
        </w:rPr>
        <w:t xml:space="preserve"> </w:t>
      </w:r>
      <w:r w:rsidR="00AD4D4D" w:rsidRPr="00CF0C26">
        <w:rPr>
          <w:rFonts w:ascii="Arial" w:hAnsi="Arial" w:cs="Arial"/>
          <w:color w:val="0D0D0D" w:themeColor="text1" w:themeTint="F2"/>
          <w:sz w:val="22"/>
          <w:szCs w:val="22"/>
          <w:lang w:val="lt-LT"/>
        </w:rPr>
        <w:t>Informacija apie patikslintą</w:t>
      </w:r>
      <w:r w:rsidR="008E4AFF" w:rsidRPr="00CF0C26">
        <w:rPr>
          <w:rFonts w:ascii="Arial" w:hAnsi="Arial" w:cs="Arial"/>
          <w:sz w:val="22"/>
          <w:szCs w:val="22"/>
          <w:lang w:val="lt-LT"/>
        </w:rPr>
        <w:t xml:space="preserve"> </w:t>
      </w:r>
      <w:r w:rsidR="00AD4D4D" w:rsidRPr="00CF0C26">
        <w:rPr>
          <w:rFonts w:ascii="Arial" w:hAnsi="Arial" w:cs="Arial"/>
          <w:color w:val="0D0D0D" w:themeColor="text1" w:themeTint="F2"/>
          <w:sz w:val="22"/>
          <w:szCs w:val="22"/>
          <w:lang w:val="lt-LT"/>
        </w:rPr>
        <w:t>terminą pateikiama CVP IS .</w:t>
      </w:r>
    </w:p>
    <w:p w14:paraId="1631B1E0" w14:textId="77777777" w:rsidR="00AD4D4D" w:rsidRPr="00EF4507" w:rsidRDefault="00AD4D4D" w:rsidP="00DE49B1">
      <w:pPr>
        <w:pStyle w:val="Tekstas"/>
        <w:tabs>
          <w:tab w:val="clear" w:pos="6804"/>
          <w:tab w:val="left" w:pos="4215"/>
        </w:tabs>
        <w:ind w:firstLine="567"/>
        <w:jc w:val="both"/>
        <w:rPr>
          <w:rFonts w:ascii="Arial" w:hAnsi="Arial" w:cs="Arial"/>
          <w:sz w:val="22"/>
          <w:szCs w:val="22"/>
          <w:lang w:val="lt-LT"/>
        </w:rPr>
      </w:pPr>
    </w:p>
    <w:p w14:paraId="51D88C52" w14:textId="5FB0C86C" w:rsidR="00AD4D4D" w:rsidRPr="00EF4507" w:rsidRDefault="00AD4D4D" w:rsidP="00661028">
      <w:pPr>
        <w:pStyle w:val="Tekstas"/>
        <w:tabs>
          <w:tab w:val="clear" w:pos="6804"/>
        </w:tabs>
        <w:jc w:val="both"/>
        <w:rPr>
          <w:rFonts w:ascii="Arial" w:hAnsi="Arial" w:cs="Arial"/>
          <w:sz w:val="22"/>
          <w:szCs w:val="22"/>
          <w:lang w:val="lt-LT"/>
        </w:rPr>
      </w:pPr>
    </w:p>
    <w:p w14:paraId="26A1FE59" w14:textId="77777777" w:rsidR="006A70EF" w:rsidRPr="00EF4507" w:rsidRDefault="006A70EF" w:rsidP="00DE49B1">
      <w:pPr>
        <w:pStyle w:val="Tekstas"/>
        <w:tabs>
          <w:tab w:val="clear" w:pos="6804"/>
        </w:tabs>
        <w:ind w:firstLine="567"/>
        <w:jc w:val="both"/>
        <w:rPr>
          <w:rFonts w:ascii="Arial" w:hAnsi="Arial" w:cs="Arial"/>
          <w:sz w:val="22"/>
          <w:szCs w:val="22"/>
          <w:lang w:val="lt-LT"/>
        </w:rPr>
      </w:pPr>
    </w:p>
    <w:p w14:paraId="7B67B6F9" w14:textId="18F0E9AB" w:rsidR="00777D81" w:rsidRPr="00EF4507" w:rsidRDefault="00007B10" w:rsidP="00EF450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F624E2" w:rsidRPr="00EF4507">
            <w:rPr>
              <w:rFonts w:ascii="Arial" w:hAnsi="Arial" w:cs="Arial"/>
              <w:bCs/>
              <w:sz w:val="22"/>
              <w:szCs w:val="22"/>
              <w:lang w:val="lt-LT"/>
            </w:rPr>
            <w:t>Pirkimų projektų vadovė Loreta Leščiuvienė, Mob. +370 612 67387</w:t>
          </w:r>
        </w:sdtContent>
      </w:sdt>
    </w:p>
    <w:sectPr w:rsidR="00777D81" w:rsidRPr="00EF4507" w:rsidSect="00CF0C26">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567" w:bottom="1270" w:left="85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780A" w14:textId="77777777" w:rsidR="00F93661" w:rsidRDefault="00F93661" w:rsidP="000C042A">
      <w:r>
        <w:separator/>
      </w:r>
    </w:p>
  </w:endnote>
  <w:endnote w:type="continuationSeparator" w:id="0">
    <w:p w14:paraId="52DDFBFB" w14:textId="77777777" w:rsidR="00F93661" w:rsidRDefault="00F93661" w:rsidP="000C042A">
      <w:r>
        <w:continuationSeparator/>
      </w:r>
    </w:p>
  </w:endnote>
  <w:endnote w:type="continuationNotice" w:id="1">
    <w:p w14:paraId="324F9E39" w14:textId="77777777" w:rsidR="00F93661" w:rsidRDefault="00F93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4111" w14:textId="77777777" w:rsidR="00F93661" w:rsidRDefault="00F93661" w:rsidP="000C042A">
      <w:r>
        <w:separator/>
      </w:r>
    </w:p>
  </w:footnote>
  <w:footnote w:type="continuationSeparator" w:id="0">
    <w:p w14:paraId="0CF0305B" w14:textId="77777777" w:rsidR="00F93661" w:rsidRDefault="00F93661" w:rsidP="000C042A">
      <w:r>
        <w:continuationSeparator/>
      </w:r>
    </w:p>
  </w:footnote>
  <w:footnote w:type="continuationNotice" w:id="1">
    <w:p w14:paraId="2A79108D" w14:textId="77777777" w:rsidR="00F93661" w:rsidRDefault="00F93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007B10">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4ECB"/>
    <w:multiLevelType w:val="multilevel"/>
    <w:tmpl w:val="246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4DC2B0F"/>
    <w:multiLevelType w:val="multilevel"/>
    <w:tmpl w:val="4032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867E91"/>
    <w:multiLevelType w:val="multilevel"/>
    <w:tmpl w:val="8C4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BCA04A5"/>
    <w:multiLevelType w:val="multilevel"/>
    <w:tmpl w:val="AEA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FA2362"/>
    <w:multiLevelType w:val="multilevel"/>
    <w:tmpl w:val="5558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F51EC"/>
    <w:multiLevelType w:val="multilevel"/>
    <w:tmpl w:val="39A8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A7A84"/>
    <w:multiLevelType w:val="multilevel"/>
    <w:tmpl w:val="C79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675679">
    <w:abstractNumId w:val="4"/>
  </w:num>
  <w:num w:numId="2" w16cid:durableId="1949964827">
    <w:abstractNumId w:val="1"/>
  </w:num>
  <w:num w:numId="3" w16cid:durableId="1136145643">
    <w:abstractNumId w:val="2"/>
  </w:num>
  <w:num w:numId="4" w16cid:durableId="1285573022">
    <w:abstractNumId w:val="6"/>
  </w:num>
  <w:num w:numId="5" w16cid:durableId="1204706266">
    <w:abstractNumId w:val="8"/>
  </w:num>
  <w:num w:numId="6" w16cid:durableId="2044597785">
    <w:abstractNumId w:val="0"/>
  </w:num>
  <w:num w:numId="7" w16cid:durableId="2123721126">
    <w:abstractNumId w:val="3"/>
  </w:num>
  <w:num w:numId="8" w16cid:durableId="615793485">
    <w:abstractNumId w:val="7"/>
  </w:num>
  <w:num w:numId="9" w16cid:durableId="39289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125F"/>
    <w:rsid w:val="00007B10"/>
    <w:rsid w:val="00012A98"/>
    <w:rsid w:val="0001354E"/>
    <w:rsid w:val="000152D1"/>
    <w:rsid w:val="00022FC1"/>
    <w:rsid w:val="00023A51"/>
    <w:rsid w:val="00027AC3"/>
    <w:rsid w:val="00041DEF"/>
    <w:rsid w:val="00052755"/>
    <w:rsid w:val="00062F36"/>
    <w:rsid w:val="00067CEE"/>
    <w:rsid w:val="00071DD9"/>
    <w:rsid w:val="00074F23"/>
    <w:rsid w:val="00077571"/>
    <w:rsid w:val="000833F8"/>
    <w:rsid w:val="00084BF8"/>
    <w:rsid w:val="00097581"/>
    <w:rsid w:val="000A0536"/>
    <w:rsid w:val="000A3443"/>
    <w:rsid w:val="000B5E37"/>
    <w:rsid w:val="000B79D8"/>
    <w:rsid w:val="000C042A"/>
    <w:rsid w:val="000C5E08"/>
    <w:rsid w:val="000D5A58"/>
    <w:rsid w:val="000F5F10"/>
    <w:rsid w:val="00107975"/>
    <w:rsid w:val="001079F4"/>
    <w:rsid w:val="00110836"/>
    <w:rsid w:val="001121F8"/>
    <w:rsid w:val="001122AD"/>
    <w:rsid w:val="00142A8B"/>
    <w:rsid w:val="00144467"/>
    <w:rsid w:val="00145435"/>
    <w:rsid w:val="0014602F"/>
    <w:rsid w:val="00151B81"/>
    <w:rsid w:val="0015237E"/>
    <w:rsid w:val="0015364E"/>
    <w:rsid w:val="00160BE4"/>
    <w:rsid w:val="00170BCB"/>
    <w:rsid w:val="001730EA"/>
    <w:rsid w:val="001809EE"/>
    <w:rsid w:val="001908C0"/>
    <w:rsid w:val="001957D3"/>
    <w:rsid w:val="0019677A"/>
    <w:rsid w:val="001A12C9"/>
    <w:rsid w:val="001B1016"/>
    <w:rsid w:val="001B1DF1"/>
    <w:rsid w:val="001C04C2"/>
    <w:rsid w:val="001C16B4"/>
    <w:rsid w:val="001C1764"/>
    <w:rsid w:val="001E0746"/>
    <w:rsid w:val="001E1650"/>
    <w:rsid w:val="001E7685"/>
    <w:rsid w:val="001F3DB4"/>
    <w:rsid w:val="001F7967"/>
    <w:rsid w:val="00204BEA"/>
    <w:rsid w:val="00211404"/>
    <w:rsid w:val="002169FA"/>
    <w:rsid w:val="0021714B"/>
    <w:rsid w:val="0022365E"/>
    <w:rsid w:val="00234D76"/>
    <w:rsid w:val="002366B4"/>
    <w:rsid w:val="00240231"/>
    <w:rsid w:val="00246D15"/>
    <w:rsid w:val="00247F0D"/>
    <w:rsid w:val="00251B99"/>
    <w:rsid w:val="0026091A"/>
    <w:rsid w:val="00266D81"/>
    <w:rsid w:val="00271162"/>
    <w:rsid w:val="00276059"/>
    <w:rsid w:val="0028235A"/>
    <w:rsid w:val="00282EE0"/>
    <w:rsid w:val="00287F7A"/>
    <w:rsid w:val="002A3AF4"/>
    <w:rsid w:val="002C14FE"/>
    <w:rsid w:val="002D1648"/>
    <w:rsid w:val="002D6187"/>
    <w:rsid w:val="002E60AC"/>
    <w:rsid w:val="002F5B42"/>
    <w:rsid w:val="00314C69"/>
    <w:rsid w:val="00316813"/>
    <w:rsid w:val="00326AC1"/>
    <w:rsid w:val="003353F7"/>
    <w:rsid w:val="00350E88"/>
    <w:rsid w:val="00366285"/>
    <w:rsid w:val="00367E4B"/>
    <w:rsid w:val="00374C47"/>
    <w:rsid w:val="0038264B"/>
    <w:rsid w:val="00397663"/>
    <w:rsid w:val="003A1E0C"/>
    <w:rsid w:val="003A70EE"/>
    <w:rsid w:val="003B2820"/>
    <w:rsid w:val="003B66B9"/>
    <w:rsid w:val="003C4D05"/>
    <w:rsid w:val="003C600E"/>
    <w:rsid w:val="003D257F"/>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011B"/>
    <w:rsid w:val="004C7082"/>
    <w:rsid w:val="004E1453"/>
    <w:rsid w:val="004F5439"/>
    <w:rsid w:val="0050154F"/>
    <w:rsid w:val="005513EA"/>
    <w:rsid w:val="005529BC"/>
    <w:rsid w:val="005614FE"/>
    <w:rsid w:val="00562ACF"/>
    <w:rsid w:val="005803E8"/>
    <w:rsid w:val="005823BB"/>
    <w:rsid w:val="00597847"/>
    <w:rsid w:val="005A173D"/>
    <w:rsid w:val="005A377C"/>
    <w:rsid w:val="005B18C2"/>
    <w:rsid w:val="005C04DE"/>
    <w:rsid w:val="005C3539"/>
    <w:rsid w:val="005F42FF"/>
    <w:rsid w:val="00621DBB"/>
    <w:rsid w:val="0062484A"/>
    <w:rsid w:val="00627895"/>
    <w:rsid w:val="0063141E"/>
    <w:rsid w:val="006315FE"/>
    <w:rsid w:val="00640436"/>
    <w:rsid w:val="00641E7F"/>
    <w:rsid w:val="00645E97"/>
    <w:rsid w:val="00646A85"/>
    <w:rsid w:val="00647C94"/>
    <w:rsid w:val="00653613"/>
    <w:rsid w:val="00661028"/>
    <w:rsid w:val="00662A6C"/>
    <w:rsid w:val="006763C4"/>
    <w:rsid w:val="00680435"/>
    <w:rsid w:val="006818D9"/>
    <w:rsid w:val="00687FB4"/>
    <w:rsid w:val="0069181F"/>
    <w:rsid w:val="00692B2C"/>
    <w:rsid w:val="006A70EF"/>
    <w:rsid w:val="006B0B47"/>
    <w:rsid w:val="006B2A7A"/>
    <w:rsid w:val="006B5B24"/>
    <w:rsid w:val="006C2BF9"/>
    <w:rsid w:val="006C5167"/>
    <w:rsid w:val="006D0597"/>
    <w:rsid w:val="006F1982"/>
    <w:rsid w:val="00700CEF"/>
    <w:rsid w:val="00700D94"/>
    <w:rsid w:val="00704A98"/>
    <w:rsid w:val="0070568B"/>
    <w:rsid w:val="007056D1"/>
    <w:rsid w:val="00711609"/>
    <w:rsid w:val="00717A8D"/>
    <w:rsid w:val="007205F9"/>
    <w:rsid w:val="00721EBE"/>
    <w:rsid w:val="00722366"/>
    <w:rsid w:val="007354E6"/>
    <w:rsid w:val="00757915"/>
    <w:rsid w:val="00757926"/>
    <w:rsid w:val="007706FC"/>
    <w:rsid w:val="00770E8B"/>
    <w:rsid w:val="007749D0"/>
    <w:rsid w:val="007752D9"/>
    <w:rsid w:val="00777D81"/>
    <w:rsid w:val="00783B49"/>
    <w:rsid w:val="00791696"/>
    <w:rsid w:val="007A20D9"/>
    <w:rsid w:val="007B48AF"/>
    <w:rsid w:val="007B76DB"/>
    <w:rsid w:val="007C16E1"/>
    <w:rsid w:val="007C1C4E"/>
    <w:rsid w:val="007E3A53"/>
    <w:rsid w:val="007F7930"/>
    <w:rsid w:val="008031AD"/>
    <w:rsid w:val="008061D5"/>
    <w:rsid w:val="008101B5"/>
    <w:rsid w:val="008539BB"/>
    <w:rsid w:val="00854638"/>
    <w:rsid w:val="008560DE"/>
    <w:rsid w:val="008579D8"/>
    <w:rsid w:val="00891A79"/>
    <w:rsid w:val="008920C3"/>
    <w:rsid w:val="008929D6"/>
    <w:rsid w:val="00896A4E"/>
    <w:rsid w:val="008970DF"/>
    <w:rsid w:val="008A0A00"/>
    <w:rsid w:val="008A6773"/>
    <w:rsid w:val="008A78FC"/>
    <w:rsid w:val="008B23B1"/>
    <w:rsid w:val="008B3E60"/>
    <w:rsid w:val="008C5743"/>
    <w:rsid w:val="008C6C85"/>
    <w:rsid w:val="008C74CE"/>
    <w:rsid w:val="008D0C45"/>
    <w:rsid w:val="008D5267"/>
    <w:rsid w:val="008D6D41"/>
    <w:rsid w:val="008E205A"/>
    <w:rsid w:val="008E4AFF"/>
    <w:rsid w:val="008E5C87"/>
    <w:rsid w:val="008F1250"/>
    <w:rsid w:val="008F2058"/>
    <w:rsid w:val="00903182"/>
    <w:rsid w:val="009052E2"/>
    <w:rsid w:val="00910B2E"/>
    <w:rsid w:val="00913395"/>
    <w:rsid w:val="009251DC"/>
    <w:rsid w:val="00935A80"/>
    <w:rsid w:val="009413FF"/>
    <w:rsid w:val="00941C28"/>
    <w:rsid w:val="00942C35"/>
    <w:rsid w:val="00942FCC"/>
    <w:rsid w:val="009545E0"/>
    <w:rsid w:val="0095533C"/>
    <w:rsid w:val="00965979"/>
    <w:rsid w:val="00970868"/>
    <w:rsid w:val="00980FE5"/>
    <w:rsid w:val="009822DD"/>
    <w:rsid w:val="00995B58"/>
    <w:rsid w:val="009A0909"/>
    <w:rsid w:val="009A28AF"/>
    <w:rsid w:val="009A4E51"/>
    <w:rsid w:val="009B25C4"/>
    <w:rsid w:val="009B3033"/>
    <w:rsid w:val="009D1CF3"/>
    <w:rsid w:val="009D2366"/>
    <w:rsid w:val="009D3268"/>
    <w:rsid w:val="009E0CF9"/>
    <w:rsid w:val="009E53F2"/>
    <w:rsid w:val="009E715E"/>
    <w:rsid w:val="009E7375"/>
    <w:rsid w:val="009F697A"/>
    <w:rsid w:val="00A00AFD"/>
    <w:rsid w:val="00A031E9"/>
    <w:rsid w:val="00A11CB1"/>
    <w:rsid w:val="00A121CB"/>
    <w:rsid w:val="00A12C14"/>
    <w:rsid w:val="00A15095"/>
    <w:rsid w:val="00A228D5"/>
    <w:rsid w:val="00A239FD"/>
    <w:rsid w:val="00A26093"/>
    <w:rsid w:val="00A30DC2"/>
    <w:rsid w:val="00A37BD1"/>
    <w:rsid w:val="00A40EA9"/>
    <w:rsid w:val="00A50417"/>
    <w:rsid w:val="00A52D72"/>
    <w:rsid w:val="00A53DB1"/>
    <w:rsid w:val="00A55B8F"/>
    <w:rsid w:val="00A72C8E"/>
    <w:rsid w:val="00A8398D"/>
    <w:rsid w:val="00A84AF3"/>
    <w:rsid w:val="00A90CBB"/>
    <w:rsid w:val="00AA21EE"/>
    <w:rsid w:val="00AA3719"/>
    <w:rsid w:val="00AA3CFC"/>
    <w:rsid w:val="00AA47F7"/>
    <w:rsid w:val="00AB36DC"/>
    <w:rsid w:val="00AB387A"/>
    <w:rsid w:val="00AC4901"/>
    <w:rsid w:val="00AC61FA"/>
    <w:rsid w:val="00AC6BF0"/>
    <w:rsid w:val="00AD0E0F"/>
    <w:rsid w:val="00AD11CC"/>
    <w:rsid w:val="00AD4D4D"/>
    <w:rsid w:val="00AD7B1E"/>
    <w:rsid w:val="00AE0D23"/>
    <w:rsid w:val="00AF3542"/>
    <w:rsid w:val="00B00DD8"/>
    <w:rsid w:val="00B036F5"/>
    <w:rsid w:val="00B045C4"/>
    <w:rsid w:val="00B25E02"/>
    <w:rsid w:val="00B3030F"/>
    <w:rsid w:val="00B47B87"/>
    <w:rsid w:val="00B83A03"/>
    <w:rsid w:val="00B851EE"/>
    <w:rsid w:val="00B92E76"/>
    <w:rsid w:val="00B942D1"/>
    <w:rsid w:val="00BA5F8B"/>
    <w:rsid w:val="00BB409E"/>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474C5"/>
    <w:rsid w:val="00C507CC"/>
    <w:rsid w:val="00C51B37"/>
    <w:rsid w:val="00C522BB"/>
    <w:rsid w:val="00C60BF1"/>
    <w:rsid w:val="00C765A3"/>
    <w:rsid w:val="00C82172"/>
    <w:rsid w:val="00C824E6"/>
    <w:rsid w:val="00C842C8"/>
    <w:rsid w:val="00C90971"/>
    <w:rsid w:val="00C9263C"/>
    <w:rsid w:val="00C935C9"/>
    <w:rsid w:val="00C966A3"/>
    <w:rsid w:val="00CA1D82"/>
    <w:rsid w:val="00CA57BC"/>
    <w:rsid w:val="00CB0599"/>
    <w:rsid w:val="00CB250B"/>
    <w:rsid w:val="00CC1529"/>
    <w:rsid w:val="00CC63AB"/>
    <w:rsid w:val="00CD6CA1"/>
    <w:rsid w:val="00CE3C6D"/>
    <w:rsid w:val="00CF09A6"/>
    <w:rsid w:val="00CF0C26"/>
    <w:rsid w:val="00CF7389"/>
    <w:rsid w:val="00D03893"/>
    <w:rsid w:val="00D1415F"/>
    <w:rsid w:val="00D30736"/>
    <w:rsid w:val="00D31BBC"/>
    <w:rsid w:val="00D40468"/>
    <w:rsid w:val="00D62296"/>
    <w:rsid w:val="00D714A0"/>
    <w:rsid w:val="00D836C2"/>
    <w:rsid w:val="00D85AC3"/>
    <w:rsid w:val="00D91A3E"/>
    <w:rsid w:val="00D9517A"/>
    <w:rsid w:val="00DA71F2"/>
    <w:rsid w:val="00DB5109"/>
    <w:rsid w:val="00DB5491"/>
    <w:rsid w:val="00DB7910"/>
    <w:rsid w:val="00DC56A8"/>
    <w:rsid w:val="00DD5C92"/>
    <w:rsid w:val="00DE0A24"/>
    <w:rsid w:val="00DE15C5"/>
    <w:rsid w:val="00DE35CE"/>
    <w:rsid w:val="00DE49B1"/>
    <w:rsid w:val="00DE5486"/>
    <w:rsid w:val="00DF2FC0"/>
    <w:rsid w:val="00DF361F"/>
    <w:rsid w:val="00E03221"/>
    <w:rsid w:val="00E05F2A"/>
    <w:rsid w:val="00E126B8"/>
    <w:rsid w:val="00E348F2"/>
    <w:rsid w:val="00E41A9F"/>
    <w:rsid w:val="00E46473"/>
    <w:rsid w:val="00E47D5B"/>
    <w:rsid w:val="00E517E6"/>
    <w:rsid w:val="00E60D2F"/>
    <w:rsid w:val="00E628B1"/>
    <w:rsid w:val="00E6337E"/>
    <w:rsid w:val="00E7011C"/>
    <w:rsid w:val="00E74C78"/>
    <w:rsid w:val="00E80F56"/>
    <w:rsid w:val="00E8214B"/>
    <w:rsid w:val="00E84371"/>
    <w:rsid w:val="00E873AC"/>
    <w:rsid w:val="00E9307C"/>
    <w:rsid w:val="00EA2A60"/>
    <w:rsid w:val="00EA43BE"/>
    <w:rsid w:val="00EB4427"/>
    <w:rsid w:val="00EC2EEC"/>
    <w:rsid w:val="00ED1B70"/>
    <w:rsid w:val="00ED2876"/>
    <w:rsid w:val="00ED2884"/>
    <w:rsid w:val="00ED4551"/>
    <w:rsid w:val="00ED72F9"/>
    <w:rsid w:val="00EF27F7"/>
    <w:rsid w:val="00EF4507"/>
    <w:rsid w:val="00EF4845"/>
    <w:rsid w:val="00EF629E"/>
    <w:rsid w:val="00EF62F2"/>
    <w:rsid w:val="00F02599"/>
    <w:rsid w:val="00F04707"/>
    <w:rsid w:val="00F10596"/>
    <w:rsid w:val="00F1442A"/>
    <w:rsid w:val="00F17FCE"/>
    <w:rsid w:val="00F2420F"/>
    <w:rsid w:val="00F37785"/>
    <w:rsid w:val="00F40EE6"/>
    <w:rsid w:val="00F42940"/>
    <w:rsid w:val="00F46E03"/>
    <w:rsid w:val="00F624E2"/>
    <w:rsid w:val="00F62A50"/>
    <w:rsid w:val="00F64A51"/>
    <w:rsid w:val="00F77462"/>
    <w:rsid w:val="00F8159B"/>
    <w:rsid w:val="00F8345A"/>
    <w:rsid w:val="00F90166"/>
    <w:rsid w:val="00F93661"/>
    <w:rsid w:val="00F946E1"/>
    <w:rsid w:val="00FA032A"/>
    <w:rsid w:val="00FA06EF"/>
    <w:rsid w:val="00FA1E4A"/>
    <w:rsid w:val="00FA6057"/>
    <w:rsid w:val="00FB1824"/>
    <w:rsid w:val="00FB32B1"/>
    <w:rsid w:val="00FB52D8"/>
    <w:rsid w:val="00FC0265"/>
    <w:rsid w:val="00FC477B"/>
    <w:rsid w:val="00FC7DA2"/>
    <w:rsid w:val="00FD1907"/>
    <w:rsid w:val="00FD5DB2"/>
    <w:rsid w:val="00FE1FB4"/>
    <w:rsid w:val="00FE1FCF"/>
    <w:rsid w:val="00FE5964"/>
    <w:rsid w:val="00FE6C0B"/>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15E"/>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character" w:styleId="Neapdorotaspaminjimas">
    <w:name w:val="Unresolved Mention"/>
    <w:basedOn w:val="Numatytasispastraiposriftas"/>
    <w:uiPriority w:val="99"/>
    <w:semiHidden/>
    <w:unhideWhenUsed/>
    <w:rsid w:val="008D5267"/>
    <w:rPr>
      <w:color w:val="605E5C"/>
      <w:shd w:val="clear" w:color="auto" w:fill="E1DFDD"/>
    </w:rPr>
  </w:style>
  <w:style w:type="paragraph" w:styleId="prastasiniatinklio">
    <w:name w:val="Normal (Web)"/>
    <w:basedOn w:val="prastasis"/>
    <w:uiPriority w:val="99"/>
    <w:semiHidden/>
    <w:unhideWhenUsed/>
    <w:rsid w:val="006F1982"/>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111">
      <w:bodyDiv w:val="1"/>
      <w:marLeft w:val="0"/>
      <w:marRight w:val="0"/>
      <w:marTop w:val="0"/>
      <w:marBottom w:val="0"/>
      <w:divBdr>
        <w:top w:val="none" w:sz="0" w:space="0" w:color="auto"/>
        <w:left w:val="none" w:sz="0" w:space="0" w:color="auto"/>
        <w:bottom w:val="none" w:sz="0" w:space="0" w:color="auto"/>
        <w:right w:val="none" w:sz="0" w:space="0" w:color="auto"/>
      </w:divBdr>
    </w:div>
    <w:div w:id="16471481">
      <w:bodyDiv w:val="1"/>
      <w:marLeft w:val="0"/>
      <w:marRight w:val="0"/>
      <w:marTop w:val="0"/>
      <w:marBottom w:val="0"/>
      <w:divBdr>
        <w:top w:val="none" w:sz="0" w:space="0" w:color="auto"/>
        <w:left w:val="none" w:sz="0" w:space="0" w:color="auto"/>
        <w:bottom w:val="none" w:sz="0" w:space="0" w:color="auto"/>
        <w:right w:val="none" w:sz="0" w:space="0" w:color="auto"/>
      </w:divBdr>
    </w:div>
    <w:div w:id="25832301">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37987031">
      <w:bodyDiv w:val="1"/>
      <w:marLeft w:val="0"/>
      <w:marRight w:val="0"/>
      <w:marTop w:val="0"/>
      <w:marBottom w:val="0"/>
      <w:divBdr>
        <w:top w:val="none" w:sz="0" w:space="0" w:color="auto"/>
        <w:left w:val="none" w:sz="0" w:space="0" w:color="auto"/>
        <w:bottom w:val="none" w:sz="0" w:space="0" w:color="auto"/>
        <w:right w:val="none" w:sz="0" w:space="0" w:color="auto"/>
      </w:divBdr>
    </w:div>
    <w:div w:id="580261671">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71446829">
      <w:bodyDiv w:val="1"/>
      <w:marLeft w:val="0"/>
      <w:marRight w:val="0"/>
      <w:marTop w:val="0"/>
      <w:marBottom w:val="0"/>
      <w:divBdr>
        <w:top w:val="none" w:sz="0" w:space="0" w:color="auto"/>
        <w:left w:val="none" w:sz="0" w:space="0" w:color="auto"/>
        <w:bottom w:val="none" w:sz="0" w:space="0" w:color="auto"/>
        <w:right w:val="none" w:sz="0" w:space="0" w:color="auto"/>
      </w:divBdr>
    </w:div>
    <w:div w:id="678777543">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42761934">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760718">
      <w:bodyDiv w:val="1"/>
      <w:marLeft w:val="0"/>
      <w:marRight w:val="0"/>
      <w:marTop w:val="0"/>
      <w:marBottom w:val="0"/>
      <w:divBdr>
        <w:top w:val="none" w:sz="0" w:space="0" w:color="auto"/>
        <w:left w:val="none" w:sz="0" w:space="0" w:color="auto"/>
        <w:bottom w:val="none" w:sz="0" w:space="0" w:color="auto"/>
        <w:right w:val="none" w:sz="0" w:space="0" w:color="auto"/>
      </w:divBdr>
    </w:div>
    <w:div w:id="1201015982">
      <w:bodyDiv w:val="1"/>
      <w:marLeft w:val="0"/>
      <w:marRight w:val="0"/>
      <w:marTop w:val="0"/>
      <w:marBottom w:val="0"/>
      <w:divBdr>
        <w:top w:val="none" w:sz="0" w:space="0" w:color="auto"/>
        <w:left w:val="none" w:sz="0" w:space="0" w:color="auto"/>
        <w:bottom w:val="none" w:sz="0" w:space="0" w:color="auto"/>
        <w:right w:val="none" w:sz="0" w:space="0" w:color="auto"/>
      </w:divBdr>
      <w:divsChild>
        <w:div w:id="1659462034">
          <w:marLeft w:val="0"/>
          <w:marRight w:val="0"/>
          <w:marTop w:val="0"/>
          <w:marBottom w:val="0"/>
          <w:divBdr>
            <w:top w:val="none" w:sz="0" w:space="0" w:color="auto"/>
            <w:left w:val="none" w:sz="0" w:space="0" w:color="auto"/>
            <w:bottom w:val="none" w:sz="0" w:space="0" w:color="auto"/>
            <w:right w:val="none" w:sz="0" w:space="0" w:color="auto"/>
          </w:divBdr>
        </w:div>
      </w:divsChild>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89432113">
      <w:bodyDiv w:val="1"/>
      <w:marLeft w:val="0"/>
      <w:marRight w:val="0"/>
      <w:marTop w:val="0"/>
      <w:marBottom w:val="0"/>
      <w:divBdr>
        <w:top w:val="none" w:sz="0" w:space="0" w:color="auto"/>
        <w:left w:val="none" w:sz="0" w:space="0" w:color="auto"/>
        <w:bottom w:val="none" w:sz="0" w:space="0" w:color="auto"/>
        <w:right w:val="none" w:sz="0" w:space="0" w:color="auto"/>
      </w:divBdr>
    </w:div>
    <w:div w:id="144719718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492479385">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28720185">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307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etic.lt/RNWe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640FF7C824BDFA1EE6E4D4A2BBE20"/>
        <w:category>
          <w:name w:val="General"/>
          <w:gallery w:val="placeholder"/>
        </w:category>
        <w:types>
          <w:type w:val="bbPlcHdr"/>
        </w:types>
        <w:behaviors>
          <w:behavior w:val="content"/>
        </w:behaviors>
        <w:guid w:val="{4DFEC6CF-1FB6-43CA-9CBC-E7E46501CF68}"/>
      </w:docPartPr>
      <w:docPartBody>
        <w:p w:rsidR="00BA45EA" w:rsidRDefault="00DA2B56" w:rsidP="00DA2B56">
          <w:pPr>
            <w:pStyle w:val="187640FF7C824BDFA1EE6E4D4A2BBE202"/>
          </w:pPr>
          <w:r w:rsidRPr="00E74C78">
            <w:rPr>
              <w:rFonts w:ascii="Arial" w:hAnsi="Arial" w:cs="Arial"/>
              <w:color w:val="FF0000"/>
              <w:sz w:val="20"/>
              <w:szCs w:val="20"/>
              <w:lang w:val="lt-LT"/>
            </w:rPr>
            <w:t>[Pasirinkite]</w:t>
          </w:r>
        </w:p>
      </w:docPartBody>
    </w:docPart>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12A98"/>
    <w:rsid w:val="001110BF"/>
    <w:rsid w:val="00144467"/>
    <w:rsid w:val="00145435"/>
    <w:rsid w:val="00151B81"/>
    <w:rsid w:val="00175DBC"/>
    <w:rsid w:val="001B1EB1"/>
    <w:rsid w:val="00201743"/>
    <w:rsid w:val="0025267D"/>
    <w:rsid w:val="00367E4B"/>
    <w:rsid w:val="003960AA"/>
    <w:rsid w:val="003A0A93"/>
    <w:rsid w:val="003D257F"/>
    <w:rsid w:val="003E6058"/>
    <w:rsid w:val="006057A0"/>
    <w:rsid w:val="006245A9"/>
    <w:rsid w:val="00627895"/>
    <w:rsid w:val="00640436"/>
    <w:rsid w:val="00647C94"/>
    <w:rsid w:val="006B2A7A"/>
    <w:rsid w:val="006B5B24"/>
    <w:rsid w:val="008101B5"/>
    <w:rsid w:val="0086140A"/>
    <w:rsid w:val="008A0A00"/>
    <w:rsid w:val="00934ADC"/>
    <w:rsid w:val="0095533C"/>
    <w:rsid w:val="00A031E9"/>
    <w:rsid w:val="00A059B9"/>
    <w:rsid w:val="00A37BD1"/>
    <w:rsid w:val="00A560A3"/>
    <w:rsid w:val="00A84AF3"/>
    <w:rsid w:val="00AC6BF0"/>
    <w:rsid w:val="00AE4942"/>
    <w:rsid w:val="00B00D27"/>
    <w:rsid w:val="00B043FF"/>
    <w:rsid w:val="00B25E02"/>
    <w:rsid w:val="00B34250"/>
    <w:rsid w:val="00B6765C"/>
    <w:rsid w:val="00BA45EA"/>
    <w:rsid w:val="00BE2BBC"/>
    <w:rsid w:val="00C507CC"/>
    <w:rsid w:val="00C97992"/>
    <w:rsid w:val="00CD1C0E"/>
    <w:rsid w:val="00CD3194"/>
    <w:rsid w:val="00D03C42"/>
    <w:rsid w:val="00D07216"/>
    <w:rsid w:val="00D1415F"/>
    <w:rsid w:val="00DA2B56"/>
    <w:rsid w:val="00DE35CE"/>
    <w:rsid w:val="00E325DF"/>
    <w:rsid w:val="00E47D5B"/>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00d56dc3-703a-4182-8388-758bb2727e6f"/>
    <ds:schemaRef ds:uri="http://www.w3.org/XML/1998/namespace"/>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12338</Words>
  <Characters>7034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3</cp:revision>
  <dcterms:created xsi:type="dcterms:W3CDTF">2025-07-22T09:20:00Z</dcterms:created>
  <dcterms:modified xsi:type="dcterms:W3CDTF">2025-07-22T09:27:00Z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