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color w:themeColor="text1" w:val="000000"/>
          <w:sz w:val="22"/>
          <w:szCs w:val="22"/>
        </w:rPr>
        <w:t xml:space="preserve">ANKSTYVOSIOS INTERVENCIJOS IR STAD (STOCKHOLM PREVENTS ALCOHOL AND DRUG PROBLEMS) PROGRAMOS VERTINIMO KONSULTACINIŲ PASLAUGŲ </w:t>
      </w:r>
    </w:p>
    <w:p>
      <w:pPr>
        <w:pStyle w:val="Normal"/>
        <w:jc w:val="center"/>
        <w:rPr/>
      </w:pPr>
      <w:r>
        <w:rPr>
          <w:b/>
          <w:bCs/>
          <w:color w:themeColor="text1" w:val="000000"/>
          <w:sz w:val="22"/>
          <w:szCs w:val="22"/>
        </w:rPr>
        <w:t>TECHNINĖ SPECIFIKACIJA</w:t>
      </w:r>
    </w:p>
    <w:p>
      <w:pPr>
        <w:pStyle w:val="Normal"/>
        <w:rPr>
          <w:sz w:val="22"/>
          <w:szCs w:val="22"/>
        </w:rPr>
      </w:pPr>
      <w:r>
        <w:rPr>
          <w:sz w:val="22"/>
          <w:szCs w:val="22"/>
        </w:rPr>
        <w:t xml:space="preserve"> </w:t>
      </w:r>
    </w:p>
    <w:p>
      <w:pPr>
        <w:pStyle w:val="Normal"/>
        <w:ind w:firstLine="720"/>
        <w:jc w:val="both"/>
        <w:rPr>
          <w:sz w:val="22"/>
          <w:szCs w:val="22"/>
        </w:rPr>
      </w:pPr>
      <w:r>
        <w:rPr>
          <w:sz w:val="22"/>
          <w:szCs w:val="22"/>
        </w:rPr>
        <w:t xml:space="preserve">Narkotikų, tabako ir alkoholio kontrolės departamentas (toliau – Perkančioji organizacija) perka ankstyvosios intervencijos ir STAD (Stockholm prevents alcohol and drugs problems) programos vertinimo konsultacines paslaugas. </w:t>
      </w:r>
    </w:p>
    <w:p>
      <w:pPr>
        <w:pStyle w:val="Normal"/>
        <w:ind w:firstLine="720"/>
        <w:jc w:val="both"/>
        <w:rPr>
          <w:sz w:val="22"/>
          <w:szCs w:val="22"/>
        </w:rPr>
      </w:pPr>
      <w:r>
        <w:rPr>
          <w:sz w:val="22"/>
          <w:szCs w:val="22"/>
        </w:rPr>
        <w:t>Pirkimas skaidomas į tris dalis, kurių kiekvienai numatoma sudaryti atskirą pirkimo sutartį, ir apibrėžiant šių dalių apimtį ir dalyką, (įskaitant ir tą atvejį, jei dvi ar tris pirkimo dalis laimės tas pats tiekėjas). Tas pats paslaugų teikėjas, jeigu atitinka visus atitinkamai pirkimo daliai keliamus reikalavimus, gali teikti pasiūlymus vienai, dviems ar visoms trims pirkimo dalims.</w:t>
      </w:r>
    </w:p>
    <w:p>
      <w:pPr>
        <w:pStyle w:val="Normal"/>
        <w:ind w:firstLine="720"/>
        <w:jc w:val="both"/>
        <w:rPr>
          <w:sz w:val="22"/>
          <w:szCs w:val="22"/>
        </w:rPr>
      </w:pPr>
      <w:r>
        <w:rPr/>
      </w:r>
    </w:p>
    <w:p>
      <w:pPr>
        <w:pStyle w:val="Normal"/>
        <w:widowControl/>
        <w:bidi w:val="0"/>
        <w:spacing w:before="0" w:after="0"/>
        <w:ind w:hanging="0"/>
        <w:jc w:val="left"/>
        <w:rPr>
          <w:b/>
          <w:bCs/>
          <w:sz w:val="22"/>
          <w:szCs w:val="22"/>
        </w:rPr>
      </w:pPr>
      <w:r>
        <w:rPr/>
      </w:r>
    </w:p>
    <w:p>
      <w:pPr>
        <w:pStyle w:val="Normal"/>
        <w:rPr>
          <w:b/>
          <w:bCs/>
          <w:color w:val="0070C0"/>
          <w:sz w:val="22"/>
          <w:szCs w:val="22"/>
        </w:rPr>
      </w:pPr>
      <w:r>
        <w:rPr>
          <w:b/>
          <w:bCs/>
          <w:color w:val="0070C0"/>
          <w:sz w:val="22"/>
          <w:szCs w:val="22"/>
        </w:rPr>
        <w:t>1 PIRKIMO DALIS: ANKSTYVOSIOS INTERVENCIJOS PROGRAMOS PRAKTINIO VADOVO PRITAIKYMO PASLAUGOS</w:t>
      </w:r>
    </w:p>
    <w:p>
      <w:pPr>
        <w:pStyle w:val="Normal"/>
        <w:rPr>
          <w:b/>
          <w:bCs/>
          <w:sz w:val="22"/>
          <w:szCs w:val="22"/>
        </w:rPr>
      </w:pPr>
      <w:r>
        <w:rPr>
          <w:b/>
          <w:bCs/>
          <w:sz w:val="22"/>
          <w:szCs w:val="22"/>
        </w:rPr>
        <w:t xml:space="preserve"> </w:t>
      </w:r>
    </w:p>
    <w:tbl>
      <w:tblPr>
        <w:tblStyle w:val="Lentelstinklelis"/>
        <w:tblW w:w="96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41"/>
        <w:gridCol w:w="4874"/>
        <w:gridCol w:w="4005"/>
      </w:tblGrid>
      <w:tr>
        <w:trPr>
          <w:trHeight w:val="300" w:hRule="atLeast"/>
        </w:trPr>
        <w:tc>
          <w:tcPr>
            <w:tcW w:w="9620" w:type="dxa"/>
            <w:gridSpan w:val="3"/>
            <w:tcBorders>
              <w:top w:val="single" w:sz="8" w:space="0" w:color="000000"/>
              <w:left w:val="single" w:sz="8" w:space="0" w:color="000000"/>
              <w:bottom w:val="single" w:sz="8" w:space="0" w:color="000000"/>
              <w:right w:val="single" w:sz="8" w:space="0" w:color="000000"/>
            </w:tcBorders>
          </w:tcPr>
          <w:p>
            <w:pPr>
              <w:pStyle w:val="Normal"/>
              <w:widowControl/>
              <w:numPr>
                <w:ilvl w:val="0"/>
                <w:numId w:val="5"/>
              </w:numPr>
              <w:spacing w:before="0" w:after="0"/>
              <w:jc w:val="left"/>
              <w:rPr>
                <w:b/>
                <w:bCs/>
                <w:sz w:val="22"/>
                <w:szCs w:val="22"/>
              </w:rPr>
            </w:pPr>
            <w:r>
              <w:rPr>
                <w:b/>
                <w:bCs/>
                <w:kern w:val="2"/>
                <w:sz w:val="22"/>
                <w:szCs w:val="22"/>
                <w:lang w:val="lt-LT" w:eastAsia="en-US" w:bidi="ar-SA"/>
              </w:rPr>
              <w:t>SĄVOKOS IR SUTRUMPINIMAI</w:t>
            </w:r>
          </w:p>
        </w:tc>
      </w:tr>
      <w:tr>
        <w:trPr>
          <w:trHeight w:val="555" w:hRule="atLeast"/>
        </w:trPr>
        <w:tc>
          <w:tcPr>
            <w:tcW w:w="9620"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sz w:val="22"/>
                <w:szCs w:val="22"/>
              </w:rPr>
            </w:pPr>
            <w:r>
              <w:rPr>
                <w:b/>
                <w:bCs/>
                <w:kern w:val="2"/>
                <w:sz w:val="22"/>
                <w:szCs w:val="22"/>
                <w:lang w:val="lt-LT" w:eastAsia="en-US" w:bidi="ar-SA"/>
              </w:rPr>
              <w:t xml:space="preserve">Paslaugos </w:t>
            </w:r>
            <w:r>
              <w:rPr>
                <w:kern w:val="2"/>
                <w:sz w:val="22"/>
                <w:szCs w:val="22"/>
                <w:lang w:val="lt-LT" w:eastAsia="en-US" w:bidi="ar-SA"/>
              </w:rPr>
              <w:t xml:space="preserve">– Ankstyvosios intervencijos programos praktinio vadovo parengimo paslaugos. </w:t>
            </w:r>
          </w:p>
        </w:tc>
      </w:tr>
      <w:tr>
        <w:trPr>
          <w:trHeight w:val="300" w:hRule="atLeast"/>
        </w:trPr>
        <w:tc>
          <w:tcPr>
            <w:tcW w:w="9620" w:type="dxa"/>
            <w:gridSpan w:val="3"/>
            <w:tcBorders>
              <w:top w:val="single" w:sz="8" w:space="0" w:color="000000"/>
              <w:left w:val="single" w:sz="8" w:space="0" w:color="000000"/>
              <w:bottom w:val="single" w:sz="8" w:space="0" w:color="000000"/>
              <w:right w:val="single" w:sz="8" w:space="0" w:color="000000"/>
            </w:tcBorders>
          </w:tcPr>
          <w:p>
            <w:pPr>
              <w:pStyle w:val="Normal"/>
              <w:widowControl/>
              <w:numPr>
                <w:ilvl w:val="0"/>
                <w:numId w:val="5"/>
              </w:numPr>
              <w:spacing w:before="0" w:after="0"/>
              <w:jc w:val="left"/>
              <w:rPr>
                <w:b/>
                <w:bCs/>
                <w:sz w:val="22"/>
                <w:szCs w:val="22"/>
              </w:rPr>
            </w:pPr>
            <w:r>
              <w:rPr>
                <w:b/>
                <w:bCs/>
                <w:kern w:val="2"/>
                <w:sz w:val="22"/>
                <w:szCs w:val="22"/>
                <w:lang w:val="lt-LT" w:eastAsia="en-US" w:bidi="ar-SA"/>
              </w:rPr>
              <w:t xml:space="preserve">PIRKIMO OBJEKTO APRAŠYMAS </w:t>
            </w:r>
          </w:p>
        </w:tc>
      </w:tr>
      <w:tr>
        <w:trPr>
          <w:trHeight w:val="300" w:hRule="atLeast"/>
        </w:trPr>
        <w:tc>
          <w:tcPr>
            <w:tcW w:w="9620"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sz w:val="22"/>
                <w:szCs w:val="22"/>
              </w:rPr>
            </w:pPr>
            <w:r>
              <w:rPr>
                <w:kern w:val="2"/>
                <w:sz w:val="22"/>
                <w:szCs w:val="22"/>
                <w:lang w:val="lt-LT" w:eastAsia="en-US" w:bidi="ar-SA"/>
              </w:rPr>
              <w:t>Perkančioji organizacija numato įsigyti paslaugą, skirtą atnaujinamos Ankstyvosios intervencijos programos (patvirtintos LR sveikatos apsaugos ministro ir LR švietimo, mokslo ir sporto ministro 2018 m. sausio 18 d. įsakymo Nr. V-60/V-39) praktinio vadovo (toliau – Vadovas) parengimui, kartu su mokymo medžiagos specialistams parengimu. Perkančioji organizacija pateikia į lietuvių kalbą išverstą  Vadovo versiją, kurią paslaugos teikėjas turi peržiūrėti, adaptuoti ir parengti galutinę versiją. Taip pat paslaugos teikėjas turi parengti mokymo medžiagą specialistų parengimui, remdamasis parengtu Vadovu.</w:t>
            </w:r>
          </w:p>
          <w:p>
            <w:pPr>
              <w:pStyle w:val="Normal"/>
              <w:widowControl/>
              <w:spacing w:before="0" w:after="0"/>
              <w:jc w:val="left"/>
              <w:rPr>
                <w:sz w:val="22"/>
                <w:szCs w:val="22"/>
              </w:rPr>
            </w:pPr>
            <w:r>
              <w:rPr>
                <w:kern w:val="2"/>
                <w:sz w:val="22"/>
                <w:szCs w:val="22"/>
                <w:lang w:val="lt-LT" w:eastAsia="en-US" w:bidi="ar-SA"/>
              </w:rPr>
              <w:t>Perkamos paslaugos:</w:t>
            </w:r>
          </w:p>
        </w:tc>
      </w:tr>
      <w:tr>
        <w:trPr>
          <w:trHeight w:val="300" w:hRule="atLeast"/>
        </w:trPr>
        <w:tc>
          <w:tcPr>
            <w:tcW w:w="7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b/>
                <w:bCs/>
                <w:sz w:val="22"/>
                <w:szCs w:val="22"/>
              </w:rPr>
            </w:pPr>
            <w:r>
              <w:rPr>
                <w:b/>
                <w:bCs/>
                <w:kern w:val="2"/>
                <w:sz w:val="22"/>
                <w:szCs w:val="22"/>
                <w:lang w:val="lt-LT" w:eastAsia="en-US" w:bidi="ar-SA"/>
              </w:rPr>
              <w:t>Eil. Nr.</w:t>
            </w:r>
          </w:p>
        </w:tc>
        <w:tc>
          <w:tcPr>
            <w:tcW w:w="4874" w:type="dxa"/>
            <w:tcBorders>
              <w:top w:val="nil"/>
              <w:left w:val="single" w:sz="8" w:space="0" w:color="000000"/>
              <w:bottom w:val="single" w:sz="8" w:space="0" w:color="000000"/>
              <w:right w:val="single" w:sz="8" w:space="0" w:color="000000"/>
            </w:tcBorders>
          </w:tcPr>
          <w:p>
            <w:pPr>
              <w:pStyle w:val="Normal"/>
              <w:widowControl/>
              <w:spacing w:before="0" w:after="0"/>
              <w:jc w:val="center"/>
              <w:rPr>
                <w:b/>
                <w:bCs/>
                <w:sz w:val="22"/>
                <w:szCs w:val="22"/>
              </w:rPr>
            </w:pPr>
            <w:r>
              <w:rPr>
                <w:b/>
                <w:bCs/>
                <w:kern w:val="2"/>
                <w:sz w:val="22"/>
                <w:szCs w:val="22"/>
                <w:lang w:val="lt-LT" w:eastAsia="en-US" w:bidi="ar-SA"/>
              </w:rPr>
              <w:t>Veikla</w:t>
            </w:r>
          </w:p>
        </w:tc>
        <w:tc>
          <w:tcPr>
            <w:tcW w:w="4005" w:type="dxa"/>
            <w:tcBorders>
              <w:top w:val="nil"/>
              <w:left w:val="single" w:sz="8" w:space="0" w:color="000000"/>
              <w:bottom w:val="single" w:sz="8" w:space="0" w:color="000000"/>
              <w:right w:val="single" w:sz="8" w:space="0" w:color="000000"/>
            </w:tcBorders>
          </w:tcPr>
          <w:p>
            <w:pPr>
              <w:pStyle w:val="Normal"/>
              <w:widowControl/>
              <w:spacing w:before="0" w:after="0"/>
              <w:jc w:val="center"/>
              <w:rPr>
                <w:b/>
                <w:bCs/>
                <w:sz w:val="22"/>
                <w:szCs w:val="22"/>
              </w:rPr>
            </w:pPr>
            <w:r>
              <w:rPr>
                <w:b/>
                <w:bCs/>
                <w:kern w:val="2"/>
                <w:sz w:val="22"/>
                <w:szCs w:val="22"/>
                <w:lang w:val="lt-LT" w:eastAsia="en-US" w:bidi="ar-SA"/>
              </w:rPr>
              <w:t>Rezultatas</w:t>
            </w:r>
          </w:p>
        </w:tc>
      </w:tr>
      <w:tr>
        <w:trPr>
          <w:trHeight w:val="300" w:hRule="atLeast"/>
        </w:trPr>
        <w:tc>
          <w:tcPr>
            <w:tcW w:w="7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sz w:val="22"/>
                <w:szCs w:val="22"/>
              </w:rPr>
            </w:pPr>
            <w:r>
              <w:rPr>
                <w:kern w:val="2"/>
                <w:sz w:val="22"/>
                <w:szCs w:val="22"/>
                <w:lang w:val="lt-LT" w:eastAsia="en-US" w:bidi="ar-SA"/>
              </w:rPr>
              <w:t>2.1.</w:t>
            </w:r>
          </w:p>
        </w:tc>
        <w:tc>
          <w:tcPr>
            <w:tcW w:w="487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sz w:val="22"/>
                <w:szCs w:val="22"/>
              </w:rPr>
            </w:pPr>
            <w:r>
              <w:rPr>
                <w:b/>
                <w:bCs/>
                <w:kern w:val="2"/>
                <w:sz w:val="22"/>
                <w:szCs w:val="22"/>
                <w:lang w:val="lt-LT" w:eastAsia="en-US" w:bidi="ar-SA"/>
              </w:rPr>
              <w:t>Vadovo turinio analizė:</w:t>
            </w:r>
          </w:p>
          <w:p>
            <w:pPr>
              <w:pStyle w:val="Normal"/>
              <w:widowControl/>
              <w:numPr>
                <w:ilvl w:val="0"/>
                <w:numId w:val="4"/>
              </w:numPr>
              <w:spacing w:before="0" w:after="0"/>
              <w:jc w:val="both"/>
              <w:rPr>
                <w:sz w:val="22"/>
                <w:szCs w:val="22"/>
              </w:rPr>
            </w:pPr>
            <w:r>
              <w:rPr>
                <w:kern w:val="2"/>
                <w:sz w:val="22"/>
                <w:szCs w:val="22"/>
                <w:lang w:val="lt-LT" w:eastAsia="en-US" w:bidi="ar-SA"/>
              </w:rPr>
              <w:t>Įvertinama Vadovo struktūra, temos, terminologija ir taikymo sritis Lietuvos kontekste.</w:t>
            </w:r>
          </w:p>
          <w:p>
            <w:pPr>
              <w:pStyle w:val="Normal"/>
              <w:widowControl/>
              <w:numPr>
                <w:ilvl w:val="0"/>
                <w:numId w:val="4"/>
              </w:numPr>
              <w:spacing w:before="0" w:after="0"/>
              <w:jc w:val="both"/>
              <w:rPr>
                <w:sz w:val="22"/>
                <w:szCs w:val="22"/>
              </w:rPr>
            </w:pPr>
            <w:r>
              <w:rPr>
                <w:kern w:val="2"/>
                <w:sz w:val="22"/>
                <w:szCs w:val="22"/>
                <w:lang w:val="lt-LT" w:eastAsia="en-US" w:bidi="ar-SA"/>
              </w:rPr>
              <w:t>Identifikuojami kultūriniai, kontekstiniai ar metodiniai neatitikimai</w:t>
            </w:r>
          </w:p>
          <w:p>
            <w:pPr>
              <w:pStyle w:val="Normal"/>
              <w:widowControl/>
              <w:numPr>
                <w:ilvl w:val="0"/>
                <w:numId w:val="4"/>
              </w:numPr>
              <w:spacing w:before="0" w:after="0"/>
              <w:jc w:val="both"/>
              <w:rPr>
                <w:sz w:val="22"/>
                <w:szCs w:val="22"/>
              </w:rPr>
            </w:pPr>
            <w:r>
              <w:rPr>
                <w:kern w:val="2"/>
                <w:sz w:val="22"/>
                <w:szCs w:val="22"/>
                <w:lang w:val="lt-LT" w:eastAsia="en-US" w:bidi="ar-SA"/>
              </w:rPr>
              <w:t>Pateikiamos išvados galutinei adaptacijai</w:t>
            </w:r>
          </w:p>
        </w:tc>
        <w:tc>
          <w:tcPr>
            <w:tcW w:w="400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sz w:val="22"/>
                <w:szCs w:val="22"/>
              </w:rPr>
            </w:pPr>
            <w:r>
              <w:rPr>
                <w:kern w:val="2"/>
                <w:sz w:val="22"/>
                <w:szCs w:val="22"/>
                <w:lang w:val="lt-LT" w:eastAsia="en-US" w:bidi="ar-SA"/>
              </w:rPr>
              <w:t>Vadovas bus pritaikytas Lietuvos kontekstui – atnaujinta struktūra, terminologija ir turinys atitiks kultūrinius ir metodinius reikalavimus.</w:t>
            </w:r>
          </w:p>
        </w:tc>
      </w:tr>
      <w:tr>
        <w:trPr>
          <w:trHeight w:val="1110" w:hRule="atLeast"/>
        </w:trPr>
        <w:tc>
          <w:tcPr>
            <w:tcW w:w="7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sz w:val="22"/>
                <w:szCs w:val="22"/>
              </w:rPr>
            </w:pPr>
            <w:r>
              <w:rPr>
                <w:kern w:val="2"/>
                <w:sz w:val="22"/>
                <w:szCs w:val="22"/>
                <w:lang w:val="lt-LT" w:eastAsia="en-US" w:bidi="ar-SA"/>
              </w:rPr>
              <w:t xml:space="preserve">2.2. </w:t>
            </w:r>
          </w:p>
        </w:tc>
        <w:tc>
          <w:tcPr>
            <w:tcW w:w="487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sz w:val="22"/>
                <w:szCs w:val="22"/>
              </w:rPr>
            </w:pPr>
            <w:r>
              <w:rPr>
                <w:b/>
                <w:bCs/>
                <w:kern w:val="2"/>
                <w:sz w:val="22"/>
                <w:szCs w:val="22"/>
                <w:lang w:val="lt-LT" w:eastAsia="en-US" w:bidi="ar-SA"/>
              </w:rPr>
              <w:t>Teisinė peržiūra:</w:t>
            </w:r>
            <w:r>
              <w:rPr>
                <w:kern w:val="2"/>
                <w:sz w:val="22"/>
                <w:szCs w:val="22"/>
                <w:lang w:val="lt-LT" w:eastAsia="en-US" w:bidi="ar-SA"/>
              </w:rPr>
              <w:t xml:space="preserve"> </w:t>
            </w:r>
          </w:p>
          <w:p>
            <w:pPr>
              <w:pStyle w:val="Normal"/>
              <w:widowControl/>
              <w:numPr>
                <w:ilvl w:val="0"/>
                <w:numId w:val="4"/>
              </w:numPr>
              <w:spacing w:before="0" w:after="0"/>
              <w:jc w:val="both"/>
              <w:rPr>
                <w:sz w:val="22"/>
                <w:szCs w:val="22"/>
              </w:rPr>
            </w:pPr>
            <w:r>
              <w:rPr>
                <w:kern w:val="2"/>
                <w:sz w:val="22"/>
                <w:szCs w:val="22"/>
                <w:lang w:val="lt-LT" w:eastAsia="en-US" w:bidi="ar-SA"/>
              </w:rPr>
              <w:t>Tikrinamas turinio atitikimas Lietuvos teisės aktams</w:t>
            </w:r>
          </w:p>
        </w:tc>
        <w:tc>
          <w:tcPr>
            <w:tcW w:w="400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sz w:val="22"/>
                <w:szCs w:val="22"/>
              </w:rPr>
            </w:pPr>
            <w:r>
              <w:rPr>
                <w:kern w:val="2"/>
                <w:sz w:val="22"/>
                <w:szCs w:val="22"/>
                <w:lang w:val="lt-LT" w:eastAsia="en-US" w:bidi="ar-SA"/>
              </w:rPr>
              <w:t>Vadovas atitiks Lietuvos teisės aktus, o identifikuoti neatitikimai bus ištaisyti, užtikrinant teisinį pagrįstumą ir praktinį taikomumą.</w:t>
            </w:r>
          </w:p>
        </w:tc>
      </w:tr>
      <w:tr>
        <w:trPr>
          <w:trHeight w:val="300" w:hRule="atLeast"/>
        </w:trPr>
        <w:tc>
          <w:tcPr>
            <w:tcW w:w="7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sz w:val="22"/>
                <w:szCs w:val="22"/>
              </w:rPr>
            </w:pPr>
            <w:r>
              <w:rPr>
                <w:kern w:val="2"/>
                <w:sz w:val="22"/>
                <w:szCs w:val="22"/>
                <w:lang w:val="lt-LT" w:eastAsia="en-US" w:bidi="ar-SA"/>
              </w:rPr>
              <w:t>2.3.</w:t>
            </w:r>
          </w:p>
        </w:tc>
        <w:tc>
          <w:tcPr>
            <w:tcW w:w="487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sz w:val="22"/>
                <w:szCs w:val="22"/>
              </w:rPr>
            </w:pPr>
            <w:r>
              <w:rPr>
                <w:b/>
                <w:bCs/>
                <w:color w:themeColor="text1" w:val="000000"/>
                <w:kern w:val="2"/>
                <w:sz w:val="22"/>
                <w:szCs w:val="22"/>
                <w:lang w:val="lt-LT" w:eastAsia="en-US" w:bidi="ar-SA"/>
              </w:rPr>
              <w:t>Ekspertinis vertinimas</w:t>
            </w:r>
            <w:r>
              <w:rPr>
                <w:color w:themeColor="text1" w:val="000000"/>
                <w:kern w:val="2"/>
                <w:sz w:val="22"/>
                <w:szCs w:val="22"/>
                <w:lang w:val="lt-LT" w:eastAsia="en-US" w:bidi="ar-SA"/>
              </w:rPr>
              <w:t>:</w:t>
            </w:r>
            <w:r>
              <w:rPr>
                <w:b/>
                <w:bCs/>
                <w:kern w:val="2"/>
                <w:sz w:val="22"/>
                <w:szCs w:val="22"/>
                <w:lang w:val="lt-LT" w:eastAsia="en-US" w:bidi="ar-SA"/>
              </w:rPr>
              <w:t xml:space="preserve"> </w:t>
            </w:r>
          </w:p>
          <w:p>
            <w:pPr>
              <w:pStyle w:val="Normal"/>
              <w:widowControl/>
              <w:numPr>
                <w:ilvl w:val="0"/>
                <w:numId w:val="3"/>
              </w:numPr>
              <w:spacing w:before="0" w:after="0"/>
              <w:jc w:val="both"/>
              <w:rPr>
                <w:sz w:val="22"/>
                <w:szCs w:val="22"/>
              </w:rPr>
            </w:pPr>
            <w:r>
              <w:rPr>
                <w:kern w:val="2"/>
                <w:sz w:val="22"/>
                <w:szCs w:val="22"/>
                <w:lang w:val="lt-LT" w:eastAsia="en-US" w:bidi="ar-SA"/>
              </w:rPr>
              <w:t>Atliekamas ekspertinis vertinimas. Ekspertų grupė atlieka Vadovo vertinimą, nustato turinio stiprybes, trūkumus, teikia siūlymus tobulinimui.</w:t>
            </w:r>
          </w:p>
          <w:p>
            <w:pPr>
              <w:pStyle w:val="Normal"/>
              <w:widowControl/>
              <w:numPr>
                <w:ilvl w:val="0"/>
                <w:numId w:val="3"/>
              </w:numPr>
              <w:spacing w:before="0" w:after="0"/>
              <w:jc w:val="both"/>
              <w:rPr>
                <w:color w:themeColor="text1" w:val="000000"/>
                <w:sz w:val="22"/>
                <w:szCs w:val="22"/>
              </w:rPr>
            </w:pPr>
            <w:r>
              <w:rPr>
                <w:color w:themeColor="text1" w:val="000000"/>
                <w:kern w:val="2"/>
                <w:sz w:val="22"/>
                <w:szCs w:val="22"/>
                <w:lang w:val="lt-LT" w:eastAsia="en-US" w:bidi="ar-SA"/>
              </w:rPr>
              <w:t>Pasiūlymų aptarimas su Perkančiąja organizacija. Ekspertai pristato rekomenduojamus pakeitimus ir išklauso Perkančiosios organizacijos pastabas bei pageidavimus.</w:t>
            </w:r>
          </w:p>
        </w:tc>
        <w:tc>
          <w:tcPr>
            <w:tcW w:w="400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color w:themeColor="text1" w:val="000000"/>
                <w:sz w:val="22"/>
                <w:szCs w:val="22"/>
              </w:rPr>
            </w:pPr>
            <w:r>
              <w:rPr>
                <w:color w:themeColor="text1" w:val="000000"/>
                <w:kern w:val="2"/>
                <w:sz w:val="22"/>
                <w:szCs w:val="22"/>
                <w:lang w:val="lt-LT" w:eastAsia="en-US" w:bidi="ar-SA"/>
              </w:rPr>
              <w:t>Atliktas pagrįstas ekspertinis vertinimas su konkrečiomis pastabomis ir rekomendacijomis Vadovo tobulinimui. Suderintas pakeitimų planas, atsižvelgiant į ekspertų rekomendacijas ir Perkančiosios organizacijos lūkesčius.</w:t>
            </w:r>
          </w:p>
        </w:tc>
      </w:tr>
      <w:tr>
        <w:trPr>
          <w:trHeight w:val="885" w:hRule="atLeast"/>
        </w:trPr>
        <w:tc>
          <w:tcPr>
            <w:tcW w:w="7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sz w:val="22"/>
                <w:szCs w:val="22"/>
              </w:rPr>
            </w:pPr>
            <w:r>
              <w:rPr>
                <w:kern w:val="2"/>
                <w:sz w:val="22"/>
                <w:szCs w:val="22"/>
                <w:lang w:val="lt-LT" w:eastAsia="en-US" w:bidi="ar-SA"/>
              </w:rPr>
              <w:t>2.4.</w:t>
            </w:r>
          </w:p>
        </w:tc>
        <w:tc>
          <w:tcPr>
            <w:tcW w:w="487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sz w:val="22"/>
                <w:szCs w:val="22"/>
              </w:rPr>
            </w:pPr>
            <w:r>
              <w:rPr>
                <w:b/>
                <w:bCs/>
                <w:kern w:val="2"/>
                <w:sz w:val="22"/>
                <w:szCs w:val="22"/>
                <w:lang w:val="lt-LT" w:eastAsia="en-US" w:bidi="ar-SA"/>
              </w:rPr>
              <w:t>Galutinė adaptacija:</w:t>
            </w:r>
            <w:r>
              <w:rPr>
                <w:kern w:val="2"/>
                <w:sz w:val="22"/>
                <w:szCs w:val="22"/>
                <w:lang w:val="lt-LT" w:eastAsia="en-US" w:bidi="ar-SA"/>
              </w:rPr>
              <w:t xml:space="preserve"> </w:t>
            </w:r>
          </w:p>
          <w:p>
            <w:pPr>
              <w:pStyle w:val="Normal"/>
              <w:widowControl/>
              <w:numPr>
                <w:ilvl w:val="0"/>
                <w:numId w:val="2"/>
              </w:numPr>
              <w:spacing w:before="0" w:after="0"/>
              <w:jc w:val="both"/>
              <w:rPr>
                <w:color w:themeColor="text1" w:val="000000"/>
                <w:sz w:val="22"/>
                <w:szCs w:val="22"/>
              </w:rPr>
            </w:pPr>
            <w:r>
              <w:rPr>
                <w:color w:themeColor="text1" w:val="000000"/>
                <w:kern w:val="2"/>
                <w:sz w:val="22"/>
                <w:szCs w:val="22"/>
                <w:lang w:val="lt-LT" w:eastAsia="en-US" w:bidi="ar-SA"/>
              </w:rPr>
              <w:t>Vadovas atnaujinamas pagal ekspertų įžvalgas ir susitarimus su Perkančiąja organizacija.</w:t>
            </w:r>
          </w:p>
        </w:tc>
        <w:tc>
          <w:tcPr>
            <w:tcW w:w="400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color w:themeColor="text1" w:val="000000"/>
                <w:sz w:val="22"/>
                <w:szCs w:val="22"/>
              </w:rPr>
            </w:pPr>
            <w:r>
              <w:rPr>
                <w:color w:themeColor="text1" w:val="000000"/>
                <w:kern w:val="2"/>
                <w:sz w:val="22"/>
                <w:szCs w:val="22"/>
                <w:lang w:val="lt-LT" w:eastAsia="en-US" w:bidi="ar-SA"/>
              </w:rPr>
              <w:t>Parengtas atnaujintas Vadovas  atitinkantis visus ankstesnių etapų reikalavimus.</w:t>
            </w:r>
          </w:p>
        </w:tc>
      </w:tr>
      <w:tr>
        <w:trPr>
          <w:trHeight w:val="300" w:hRule="atLeast"/>
        </w:trPr>
        <w:tc>
          <w:tcPr>
            <w:tcW w:w="7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sz w:val="22"/>
                <w:szCs w:val="22"/>
              </w:rPr>
            </w:pPr>
            <w:r>
              <w:rPr>
                <w:kern w:val="2"/>
                <w:sz w:val="22"/>
                <w:szCs w:val="22"/>
                <w:lang w:val="lt-LT" w:eastAsia="en-US" w:bidi="ar-SA"/>
              </w:rPr>
              <w:t>2.5.</w:t>
            </w:r>
          </w:p>
        </w:tc>
        <w:tc>
          <w:tcPr>
            <w:tcW w:w="487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sz w:val="22"/>
                <w:szCs w:val="22"/>
              </w:rPr>
            </w:pPr>
            <w:r>
              <w:rPr>
                <w:b/>
                <w:bCs/>
                <w:kern w:val="2"/>
                <w:sz w:val="22"/>
                <w:szCs w:val="22"/>
                <w:lang w:val="lt-LT" w:eastAsia="en-US" w:bidi="ar-SA"/>
              </w:rPr>
              <w:t xml:space="preserve">Mokymo metodikos parengimas: </w:t>
            </w:r>
          </w:p>
          <w:p>
            <w:pPr>
              <w:pStyle w:val="Normal"/>
              <w:widowControl/>
              <w:numPr>
                <w:ilvl w:val="0"/>
                <w:numId w:val="3"/>
              </w:numPr>
              <w:spacing w:before="0" w:after="0"/>
              <w:jc w:val="both"/>
              <w:rPr>
                <w:sz w:val="22"/>
                <w:szCs w:val="22"/>
              </w:rPr>
            </w:pPr>
            <w:r>
              <w:rPr>
                <w:kern w:val="2"/>
                <w:sz w:val="22"/>
                <w:szCs w:val="22"/>
                <w:lang w:val="lt-LT" w:eastAsia="en-US" w:bidi="ar-SA"/>
              </w:rPr>
              <w:t>Parengiama mokymų metodika specialistams, kurie ves Ankstyvosios intervencijos programą psichoaktyviosiomis medžiagomis eksperimentuojančiam jaunimui.</w:t>
            </w:r>
          </w:p>
        </w:tc>
        <w:tc>
          <w:tcPr>
            <w:tcW w:w="400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color w:themeColor="text1" w:val="000000"/>
                <w:sz w:val="22"/>
                <w:szCs w:val="22"/>
              </w:rPr>
            </w:pPr>
            <w:r>
              <w:rPr>
                <w:color w:themeColor="text1" w:val="000000"/>
                <w:kern w:val="2"/>
                <w:sz w:val="22"/>
                <w:szCs w:val="22"/>
                <w:lang w:val="lt-LT" w:eastAsia="en-US" w:bidi="ar-SA"/>
              </w:rPr>
              <w:t>Parengta mokymo metodika specialistams, tinkama vesti mokymus specialistams</w:t>
            </w:r>
          </w:p>
          <w:p>
            <w:pPr>
              <w:pStyle w:val="Normal"/>
              <w:widowControl/>
              <w:spacing w:before="0" w:after="0"/>
              <w:jc w:val="both"/>
              <w:rPr>
                <w:color w:themeColor="text1" w:val="000000"/>
                <w:sz w:val="22"/>
                <w:szCs w:val="22"/>
              </w:rPr>
            </w:pPr>
            <w:r>
              <w:rPr>
                <w:color w:themeColor="text1" w:val="000000"/>
                <w:kern w:val="2"/>
                <w:sz w:val="22"/>
                <w:szCs w:val="22"/>
                <w:lang w:val="lt-LT" w:eastAsia="en-US" w:bidi="ar-SA"/>
              </w:rPr>
              <w:t>Lietuvoje.</w:t>
            </w:r>
          </w:p>
        </w:tc>
      </w:tr>
      <w:tr>
        <w:trPr>
          <w:trHeight w:val="300" w:hRule="atLeast"/>
        </w:trPr>
        <w:tc>
          <w:tcPr>
            <w:tcW w:w="741"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sz w:val="22"/>
                <w:szCs w:val="22"/>
              </w:rPr>
            </w:pPr>
            <w:r>
              <w:rPr>
                <w:kern w:val="2"/>
                <w:sz w:val="22"/>
                <w:szCs w:val="22"/>
                <w:lang w:val="lt-LT" w:eastAsia="en-US" w:bidi="ar-SA"/>
              </w:rPr>
              <w:t>2.6.</w:t>
            </w:r>
          </w:p>
        </w:tc>
        <w:tc>
          <w:tcPr>
            <w:tcW w:w="4874"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color w:themeColor="text1" w:val="000000"/>
                <w:sz w:val="22"/>
                <w:szCs w:val="22"/>
              </w:rPr>
            </w:pPr>
            <w:r>
              <w:rPr>
                <w:b/>
                <w:bCs/>
                <w:color w:themeColor="text1" w:val="000000"/>
                <w:kern w:val="2"/>
                <w:sz w:val="22"/>
                <w:szCs w:val="22"/>
                <w:lang w:val="lt-LT" w:eastAsia="en-US" w:bidi="ar-SA"/>
              </w:rPr>
              <w:t>Kokybės patikra:</w:t>
            </w:r>
          </w:p>
          <w:p>
            <w:pPr>
              <w:pStyle w:val="Normal"/>
              <w:widowControl/>
              <w:numPr>
                <w:ilvl w:val="0"/>
                <w:numId w:val="3"/>
              </w:numPr>
              <w:spacing w:before="0" w:after="0"/>
              <w:jc w:val="both"/>
              <w:rPr>
                <w:color w:themeColor="text1" w:val="000000"/>
                <w:sz w:val="22"/>
                <w:szCs w:val="22"/>
              </w:rPr>
            </w:pPr>
            <w:r>
              <w:rPr>
                <w:color w:themeColor="text1" w:val="000000"/>
                <w:kern w:val="2"/>
                <w:sz w:val="22"/>
                <w:szCs w:val="22"/>
                <w:lang w:val="lt-LT" w:eastAsia="en-US" w:bidi="ar-SA"/>
              </w:rPr>
              <w:t>Kokybės užtikrinimui peržiūrima galutinė Vadovo versija – tikrinama kalba, nuoseklumas, struktūra, praktinis pritaikomumas.</w:t>
            </w:r>
          </w:p>
        </w:tc>
        <w:tc>
          <w:tcPr>
            <w:tcW w:w="400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color w:themeColor="text1" w:val="000000"/>
                <w:sz w:val="22"/>
                <w:szCs w:val="22"/>
              </w:rPr>
            </w:pPr>
            <w:r>
              <w:rPr>
                <w:color w:themeColor="text1" w:val="000000"/>
                <w:kern w:val="2"/>
                <w:sz w:val="22"/>
                <w:szCs w:val="22"/>
                <w:lang w:val="lt-LT" w:eastAsia="en-US" w:bidi="ar-SA"/>
              </w:rPr>
              <w:t>Parengta galutinė, kokybiškai suredaguota ir praktiškai taikytina Vadovo versija.</w:t>
            </w:r>
          </w:p>
        </w:tc>
      </w:tr>
      <w:tr>
        <w:trPr>
          <w:trHeight w:val="300" w:hRule="atLeast"/>
        </w:trPr>
        <w:tc>
          <w:tcPr>
            <w:tcW w:w="9620" w:type="dxa"/>
            <w:gridSpan w:val="3"/>
            <w:tcBorders>
              <w:top w:val="single" w:sz="8" w:space="0" w:color="000000"/>
              <w:left w:val="single" w:sz="8" w:space="0" w:color="000000"/>
              <w:bottom w:val="single" w:sz="8" w:space="0" w:color="000000"/>
              <w:right w:val="single" w:sz="8" w:space="0" w:color="000000"/>
            </w:tcBorders>
          </w:tcPr>
          <w:p>
            <w:pPr>
              <w:pStyle w:val="Normal"/>
              <w:widowControl/>
              <w:numPr>
                <w:ilvl w:val="0"/>
                <w:numId w:val="5"/>
              </w:numPr>
              <w:spacing w:before="0" w:after="0"/>
              <w:jc w:val="left"/>
              <w:rPr>
                <w:b/>
                <w:bCs/>
                <w:sz w:val="22"/>
                <w:szCs w:val="22"/>
              </w:rPr>
            </w:pPr>
            <w:r>
              <w:rPr>
                <w:b/>
                <w:bCs/>
                <w:kern w:val="2"/>
                <w:sz w:val="22"/>
                <w:szCs w:val="22"/>
                <w:lang w:val="lt-LT" w:eastAsia="en-US" w:bidi="ar-SA"/>
              </w:rPr>
              <w:t xml:space="preserve">PASLAUGŲ TEIKIMO REIKALAVIMAI </w:t>
            </w:r>
          </w:p>
        </w:tc>
      </w:tr>
      <w:tr>
        <w:trPr>
          <w:trHeight w:val="255" w:hRule="atLeast"/>
        </w:trPr>
        <w:tc>
          <w:tcPr>
            <w:tcW w:w="9620"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sz w:val="22"/>
                <w:szCs w:val="22"/>
              </w:rPr>
            </w:pPr>
            <w:r>
              <w:rPr>
                <w:kern w:val="2"/>
                <w:sz w:val="22"/>
                <w:szCs w:val="22"/>
                <w:lang w:val="lt-LT" w:eastAsia="en-US" w:bidi="ar-SA"/>
              </w:rPr>
              <w:t>3.1. Paslaugos teikėjas privalo kiekvieną perkamų paslaugų įgyvendinimo veiklą (nurodytą 2 punkte) pristatyti Perkančiajai organizacijai ir suderinti veiklos rezultatus prieš pereinant prie kitos veiklos vykdymo. Pateikiama Word formatu (Microsoft Word). Šių rezultatų pateikimas bus teikiamas suderinus datą su Perkančiąją organizacija.</w:t>
            </w:r>
          </w:p>
          <w:p>
            <w:pPr>
              <w:pStyle w:val="Normal"/>
              <w:widowControl/>
              <w:spacing w:before="0" w:after="0"/>
              <w:jc w:val="both"/>
              <w:rPr>
                <w:sz w:val="22"/>
                <w:szCs w:val="22"/>
              </w:rPr>
            </w:pPr>
            <w:r>
              <w:rPr>
                <w:kern w:val="2"/>
                <w:sz w:val="22"/>
                <w:szCs w:val="22"/>
                <w:lang w:val="lt-LT" w:eastAsia="en-US" w:bidi="ar-SA"/>
              </w:rPr>
              <w:t>3.2. Paslaugos teikėjas privalo pateikti Vadovą ir mokymų metodiką Microsoft Word ir Microsoft PowerPoint formatais.</w:t>
            </w:r>
          </w:p>
          <w:p>
            <w:pPr>
              <w:pStyle w:val="Normal"/>
              <w:widowControl/>
              <w:spacing w:before="0" w:after="0"/>
              <w:jc w:val="both"/>
              <w:rPr>
                <w:sz w:val="22"/>
                <w:szCs w:val="22"/>
              </w:rPr>
            </w:pPr>
            <w:r>
              <w:rPr>
                <w:kern w:val="2"/>
                <w:sz w:val="22"/>
                <w:szCs w:val="22"/>
                <w:lang w:val="lt-LT" w:eastAsia="en-US" w:bidi="ar-SA"/>
              </w:rPr>
              <w:t xml:space="preserve">3.3. Tuo atveju, jei Vadovui bus reikalingi papildomi pataisymai, paslaugos teikėjas įsipareigoja juos atlikti ir pateikti per 10 kalendorinių dienų nuo Perkančiosios organizacijos pastabų pateikimo dienos. </w:t>
            </w:r>
          </w:p>
        </w:tc>
      </w:tr>
      <w:tr>
        <w:trPr>
          <w:trHeight w:val="300" w:hRule="atLeast"/>
        </w:trPr>
        <w:tc>
          <w:tcPr>
            <w:tcW w:w="9620" w:type="dxa"/>
            <w:gridSpan w:val="3"/>
            <w:tcBorders>
              <w:top w:val="single" w:sz="8" w:space="0" w:color="000000"/>
              <w:left w:val="single" w:sz="8" w:space="0" w:color="000000"/>
              <w:bottom w:val="single" w:sz="8" w:space="0" w:color="000000"/>
              <w:right w:val="single" w:sz="8" w:space="0" w:color="000000"/>
            </w:tcBorders>
          </w:tcPr>
          <w:p>
            <w:pPr>
              <w:pStyle w:val="ListParagraph"/>
              <w:widowControl/>
              <w:numPr>
                <w:ilvl w:val="0"/>
                <w:numId w:val="0"/>
              </w:numPr>
              <w:spacing w:before="0" w:after="160"/>
              <w:ind w:hanging="0" w:left="720"/>
              <w:contextualSpacing/>
              <w:jc w:val="left"/>
              <w:rPr>
                <w:rFonts w:ascii="Times New Roman" w:hAnsi="Times New Roman" w:eastAsia="Times New Roman" w:cs="Times New Roman"/>
                <w:b/>
                <w:bCs/>
              </w:rPr>
            </w:pPr>
            <w:r>
              <w:rPr>
                <w:rFonts w:eastAsia="Times New Roman" w:cs="Times New Roman" w:ascii="Times New Roman" w:hAnsi="Times New Roman"/>
                <w:b/>
                <w:bCs/>
                <w:kern w:val="2"/>
                <w:sz w:val="22"/>
                <w:szCs w:val="22"/>
                <w:lang w:val="en-US" w:bidi="ar-SA"/>
              </w:rPr>
              <w:t xml:space="preserve">4. </w:t>
            </w:r>
            <w:r>
              <w:rPr>
                <w:rFonts w:eastAsia="Times New Roman" w:cs="Times New Roman" w:ascii="Times New Roman" w:hAnsi="Times New Roman"/>
                <w:b/>
                <w:bCs/>
                <w:kern w:val="2"/>
                <w:sz w:val="22"/>
                <w:szCs w:val="22"/>
                <w:lang w:val="lt-LT" w:bidi="ar-SA"/>
              </w:rPr>
              <w:t>PASLAUGŲ VYKDYMO TVARKA IR TERMINAI</w:t>
            </w:r>
          </w:p>
        </w:tc>
      </w:tr>
      <w:tr>
        <w:trPr>
          <w:trHeight w:val="300" w:hRule="atLeast"/>
        </w:trPr>
        <w:tc>
          <w:tcPr>
            <w:tcW w:w="9620"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sz w:val="22"/>
                <w:szCs w:val="22"/>
              </w:rPr>
            </w:pPr>
            <w:r>
              <w:rPr>
                <w:kern w:val="2"/>
                <w:sz w:val="22"/>
                <w:szCs w:val="22"/>
                <w:lang w:val="en-US" w:eastAsia="en-US" w:bidi="ar-SA"/>
              </w:rPr>
              <w:t>4</w:t>
            </w:r>
            <w:r>
              <w:rPr>
                <w:kern w:val="2"/>
                <w:sz w:val="22"/>
                <w:szCs w:val="22"/>
                <w:lang w:val="lt-LT" w:eastAsia="en-US" w:bidi="ar-SA"/>
              </w:rPr>
              <w:t xml:space="preserve">.1. Paslaugų teikimo terminas – 60 dienų nuo Sutarties sudarymo dienos. </w:t>
            </w:r>
          </w:p>
          <w:p>
            <w:pPr>
              <w:pStyle w:val="Normal"/>
              <w:widowControl/>
              <w:spacing w:before="0" w:after="0"/>
              <w:jc w:val="both"/>
              <w:rPr>
                <w:sz w:val="22"/>
                <w:szCs w:val="22"/>
              </w:rPr>
            </w:pPr>
            <w:r>
              <w:rPr>
                <w:kern w:val="2"/>
                <w:sz w:val="22"/>
                <w:szCs w:val="22"/>
                <w:lang w:val="en-US" w:eastAsia="en-US" w:bidi="ar-SA"/>
              </w:rPr>
              <w:t>4</w:t>
            </w:r>
            <w:r>
              <w:rPr>
                <w:kern w:val="2"/>
                <w:sz w:val="22"/>
                <w:szCs w:val="22"/>
                <w:lang w:val="lt-LT" w:eastAsia="en-US" w:bidi="ar-SA"/>
              </w:rPr>
              <w:t xml:space="preserve">.2. Paslaugų teikėjas ne vėliau kaip per </w:t>
            </w:r>
            <w:r>
              <w:rPr>
                <w:kern w:val="2"/>
                <w:sz w:val="22"/>
                <w:szCs w:val="22"/>
                <w:lang w:val="en-US" w:eastAsia="en-US" w:bidi="ar-SA"/>
              </w:rPr>
              <w:t>5</w:t>
            </w:r>
            <w:r>
              <w:rPr>
                <w:kern w:val="2"/>
                <w:sz w:val="22"/>
                <w:szCs w:val="22"/>
                <w:lang w:val="lt-LT" w:eastAsia="en-US" w:bidi="ar-SA"/>
              </w:rPr>
              <w:t xml:space="preserve"> </w:t>
            </w:r>
            <w:r>
              <w:rPr>
                <w:kern w:val="2"/>
                <w:sz w:val="22"/>
                <w:szCs w:val="22"/>
                <w:lang w:val="en-US" w:eastAsia="en-US" w:bidi="ar-SA"/>
              </w:rPr>
              <w:t>kalendorin</w:t>
            </w:r>
            <w:r>
              <w:rPr>
                <w:kern w:val="2"/>
                <w:sz w:val="22"/>
                <w:szCs w:val="22"/>
                <w:lang w:val="en-US" w:eastAsia="en-US" w:bidi="ar-SA"/>
              </w:rPr>
              <w:t>es</w:t>
            </w:r>
            <w:r>
              <w:rPr>
                <w:kern w:val="2"/>
                <w:sz w:val="22"/>
                <w:szCs w:val="22"/>
                <w:lang w:val="lt-LT" w:eastAsia="en-US" w:bidi="ar-SA"/>
              </w:rPr>
              <w:t xml:space="preserve"> </w:t>
            </w:r>
            <w:r>
              <w:rPr>
                <w:kern w:val="2"/>
                <w:sz w:val="22"/>
                <w:szCs w:val="22"/>
                <w:lang w:val="en-US" w:eastAsia="en-US" w:bidi="ar-SA"/>
              </w:rPr>
              <w:t>dien</w:t>
            </w:r>
            <w:r>
              <w:rPr>
                <w:kern w:val="2"/>
                <w:sz w:val="22"/>
                <w:szCs w:val="22"/>
                <w:lang w:val="en-US" w:eastAsia="en-US" w:bidi="ar-SA"/>
              </w:rPr>
              <w:t>as</w:t>
            </w:r>
            <w:r>
              <w:rPr>
                <w:kern w:val="2"/>
                <w:sz w:val="22"/>
                <w:szCs w:val="22"/>
                <w:lang w:val="lt-LT" w:eastAsia="en-US" w:bidi="ar-SA"/>
              </w:rPr>
              <w:t xml:space="preserve"> nuo Sutarties įsigaliojimo dienos turi parengti Vadovo parengimo veiksmų planą ir suderinti jį su Perkančiąja organizacija. Visos veiklos įgyvendinamos pagal veiksmų planą, suderintą su Perkančiąja organizacija. </w:t>
            </w:r>
          </w:p>
          <w:p>
            <w:pPr>
              <w:pStyle w:val="Normal"/>
              <w:widowControl/>
              <w:spacing w:before="0" w:after="0"/>
              <w:jc w:val="both"/>
              <w:rPr>
                <w:sz w:val="22"/>
                <w:szCs w:val="22"/>
              </w:rPr>
            </w:pPr>
            <w:r>
              <w:rPr>
                <w:color w:themeColor="text1" w:val="000000"/>
                <w:kern w:val="2"/>
                <w:sz w:val="22"/>
                <w:szCs w:val="22"/>
                <w:lang w:val="en-US" w:eastAsia="en-US" w:bidi="ar-SA"/>
              </w:rPr>
              <w:t>4</w:t>
            </w:r>
            <w:r>
              <w:rPr>
                <w:color w:themeColor="text1" w:val="000000"/>
                <w:kern w:val="2"/>
                <w:sz w:val="22"/>
                <w:szCs w:val="22"/>
                <w:lang w:val="lt-LT" w:eastAsia="en-US" w:bidi="ar-SA"/>
              </w:rPr>
              <w:t xml:space="preserve">.3. Paslaugų teikėjas, suteikęs visas paslaugas, kartu su suteiktų paslaugų perdavimo-priėmimo aktu pateikia Užsakovui </w:t>
            </w:r>
            <w:r>
              <w:rPr>
                <w:kern w:val="2"/>
                <w:sz w:val="22"/>
                <w:szCs w:val="22"/>
                <w:lang w:val="lt-LT" w:eastAsia="en-US" w:bidi="ar-SA"/>
              </w:rPr>
              <w:t>parengtą Vadovą.</w:t>
            </w:r>
          </w:p>
          <w:p>
            <w:pPr>
              <w:pStyle w:val="Normal"/>
              <w:widowControl/>
              <w:spacing w:before="0" w:after="0"/>
              <w:jc w:val="both"/>
              <w:rPr>
                <w:sz w:val="22"/>
                <w:szCs w:val="22"/>
              </w:rPr>
            </w:pPr>
            <w:r>
              <w:rPr>
                <w:kern w:val="2"/>
                <w:sz w:val="22"/>
                <w:szCs w:val="22"/>
                <w:lang w:val="en-US" w:eastAsia="en-US" w:bidi="ar-SA"/>
              </w:rPr>
              <w:t>4</w:t>
            </w:r>
            <w:r>
              <w:rPr>
                <w:kern w:val="2"/>
                <w:sz w:val="22"/>
                <w:szCs w:val="22"/>
                <w:lang w:val="lt-LT" w:eastAsia="en-US" w:bidi="ar-SA"/>
              </w:rPr>
              <w:t>.4. Paslaugų teikėjas teikti paslaugas profesionaliai, kokybiškai ir laiku, vadovaudamasis techninėje specifikacijoje nustatytais reikalavimais ir paslaugų teikimo metu Lietuvos Respublikoje galiojančiais įstatymais ir kitais teisės aktais.</w:t>
            </w:r>
          </w:p>
        </w:tc>
      </w:tr>
    </w:tbl>
    <w:p>
      <w:pPr>
        <w:pStyle w:val="Normal"/>
        <w:rPr>
          <w:b/>
          <w:bCs/>
          <w:sz w:val="22"/>
          <w:szCs w:val="22"/>
        </w:rPr>
      </w:pPr>
      <w:r>
        <w:rPr>
          <w:b/>
          <w:bCs/>
          <w:sz w:val="22"/>
          <w:szCs w:val="22"/>
        </w:rPr>
        <w:t xml:space="preserve"> </w:t>
      </w:r>
    </w:p>
    <w:p>
      <w:pPr>
        <w:pStyle w:val="Normal"/>
        <w:rPr>
          <w:b/>
          <w:bCs/>
          <w:color w:val="0070C0"/>
          <w:sz w:val="22"/>
          <w:szCs w:val="22"/>
        </w:rPr>
      </w:pPr>
      <w:r>
        <w:rPr>
          <w:b/>
          <w:bCs/>
          <w:color w:val="0070C0"/>
          <w:sz w:val="22"/>
          <w:szCs w:val="22"/>
        </w:rPr>
        <w:t>2 PIRKIMO DALIS: ANKSTYVOSIOS INTERVENCIJOS PROGRAMOS VEIKSMINGUMO IR POVEIKIO VERTINIMO METODIKOS PARENGIMO PASLAUGOS</w:t>
      </w:r>
    </w:p>
    <w:p>
      <w:pPr>
        <w:pStyle w:val="Normal"/>
        <w:rPr>
          <w:b/>
          <w:bCs/>
          <w:sz w:val="22"/>
          <w:szCs w:val="22"/>
        </w:rPr>
      </w:pPr>
      <w:r>
        <w:rPr>
          <w:b/>
          <w:bCs/>
          <w:sz w:val="22"/>
          <w:szCs w:val="22"/>
        </w:rPr>
        <w:t xml:space="preserve"> </w:t>
      </w:r>
    </w:p>
    <w:tbl>
      <w:tblPr>
        <w:tblStyle w:val="Lentelstinklelis"/>
        <w:tblW w:w="9612" w:type="dxa"/>
        <w:jc w:val="left"/>
        <w:tblInd w:w="0" w:type="dxa"/>
        <w:tblLayout w:type="fixed"/>
        <w:tblCellMar>
          <w:top w:w="0" w:type="dxa"/>
          <w:left w:w="108" w:type="dxa"/>
          <w:bottom w:w="0" w:type="dxa"/>
          <w:right w:w="108" w:type="dxa"/>
        </w:tblCellMar>
        <w:tblLook w:firstRow="1" w:noVBand="1" w:lastRow="1" w:firstColumn="1" w:lastColumn="0" w:noHBand="0" w:val="04e0"/>
      </w:tblPr>
      <w:tblGrid>
        <w:gridCol w:w="785"/>
        <w:gridCol w:w="5452"/>
        <w:gridCol w:w="3375"/>
      </w:tblGrid>
      <w:tr>
        <w:trPr>
          <w:trHeight w:val="300" w:hRule="atLeast"/>
        </w:trPr>
        <w:tc>
          <w:tcPr>
            <w:tcW w:w="9612" w:type="dxa"/>
            <w:gridSpan w:val="3"/>
            <w:tcBorders>
              <w:top w:val="single" w:sz="8" w:space="0" w:color="000000"/>
              <w:left w:val="single" w:sz="8" w:space="0" w:color="000000"/>
              <w:bottom w:val="single" w:sz="8" w:space="0" w:color="000000"/>
              <w:right w:val="single" w:sz="8" w:space="0" w:color="000000"/>
            </w:tcBorders>
          </w:tcPr>
          <w:p>
            <w:pPr>
              <w:pStyle w:val="ListParagraph"/>
              <w:widowControl/>
              <w:numPr>
                <w:ilvl w:val="0"/>
                <w:numId w:val="1"/>
              </w:numPr>
              <w:spacing w:before="0" w:after="160"/>
              <w:contextualSpacing/>
              <w:jc w:val="left"/>
              <w:rPr>
                <w:rFonts w:ascii="Times New Roman" w:hAnsi="Times New Roman" w:eastAsia="Times New Roman" w:cs="Times New Roman"/>
                <w:b/>
                <w:bCs/>
              </w:rPr>
            </w:pPr>
            <w:r>
              <w:rPr>
                <w:rFonts w:eastAsia="Times New Roman" w:cs="Times New Roman" w:ascii="Times New Roman" w:hAnsi="Times New Roman"/>
                <w:b/>
                <w:bCs/>
                <w:kern w:val="2"/>
                <w:sz w:val="22"/>
                <w:szCs w:val="22"/>
                <w:lang w:val="lt-LT" w:bidi="ar-SA"/>
              </w:rPr>
              <w:t>SĄVOKOS IR SUTRUMPINIMAI</w:t>
            </w:r>
          </w:p>
        </w:tc>
      </w:tr>
      <w:tr>
        <w:trPr>
          <w:trHeight w:val="1035" w:hRule="atLeast"/>
        </w:trPr>
        <w:tc>
          <w:tcPr>
            <w:tcW w:w="9612"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200"/>
              <w:jc w:val="both"/>
              <w:rPr>
                <w:sz w:val="22"/>
                <w:szCs w:val="22"/>
              </w:rPr>
            </w:pPr>
            <w:r>
              <w:rPr>
                <w:b/>
                <w:bCs/>
                <w:kern w:val="2"/>
                <w:sz w:val="22"/>
                <w:szCs w:val="22"/>
                <w:lang w:val="lt-LT" w:eastAsia="en-US" w:bidi="ar-SA"/>
              </w:rPr>
              <w:t xml:space="preserve">Paslaugos </w:t>
            </w:r>
            <w:r>
              <w:rPr>
                <w:kern w:val="2"/>
                <w:sz w:val="22"/>
                <w:szCs w:val="22"/>
                <w:lang w:val="lt-LT" w:eastAsia="en-US" w:bidi="ar-SA"/>
              </w:rPr>
              <w:t xml:space="preserve">– </w:t>
            </w:r>
            <w:r>
              <w:rPr>
                <w:color w:themeColor="text1" w:val="000000"/>
                <w:kern w:val="2"/>
                <w:sz w:val="22"/>
                <w:szCs w:val="22"/>
                <w:lang w:val="lt-LT" w:eastAsia="en-US" w:bidi="ar-SA"/>
              </w:rPr>
              <w:t xml:space="preserve">Atnaujinamos Ankstyvosios intervencijos programos (patvirtintos LR sveikatos apsaugos ministro ir LR švietimo, mokslo ir sporto ministro 2018 m. sausio 18 d. įsakymu Nr. V-60/V-39) </w:t>
            </w:r>
            <w:r>
              <w:rPr>
                <w:kern w:val="2"/>
                <w:sz w:val="22"/>
                <w:szCs w:val="22"/>
                <w:lang w:val="lt-LT" w:eastAsia="en-US" w:bidi="ar-SA"/>
              </w:rPr>
              <w:t>veiksmingumo ir poveikio</w:t>
            </w:r>
            <w:r>
              <w:rPr>
                <w:color w:themeColor="text1" w:val="000000"/>
                <w:kern w:val="2"/>
                <w:sz w:val="22"/>
                <w:szCs w:val="22"/>
                <w:lang w:val="lt-LT" w:eastAsia="en-US" w:bidi="ar-SA"/>
              </w:rPr>
              <w:t xml:space="preserve"> vertinimo metodikos parengimas bei efektyvumo vertinimo atlikimo paslaugos.</w:t>
            </w:r>
          </w:p>
        </w:tc>
      </w:tr>
      <w:tr>
        <w:trPr>
          <w:trHeight w:val="300" w:hRule="atLeast"/>
        </w:trPr>
        <w:tc>
          <w:tcPr>
            <w:tcW w:w="9612" w:type="dxa"/>
            <w:gridSpan w:val="3"/>
            <w:tcBorders>
              <w:top w:val="single" w:sz="8" w:space="0" w:color="000000"/>
              <w:left w:val="single" w:sz="8" w:space="0" w:color="000000"/>
              <w:bottom w:val="single" w:sz="8" w:space="0" w:color="000000"/>
              <w:right w:val="single" w:sz="8" w:space="0" w:color="000000"/>
            </w:tcBorders>
          </w:tcPr>
          <w:p>
            <w:pPr>
              <w:pStyle w:val="ListParagraph"/>
              <w:widowControl/>
              <w:numPr>
                <w:ilvl w:val="0"/>
                <w:numId w:val="1"/>
              </w:numPr>
              <w:spacing w:before="0" w:after="160"/>
              <w:contextualSpacing/>
              <w:jc w:val="both"/>
              <w:rPr>
                <w:rFonts w:ascii="Times New Roman" w:hAnsi="Times New Roman" w:eastAsia="Times New Roman" w:cs="Times New Roman"/>
                <w:b/>
                <w:bCs/>
              </w:rPr>
            </w:pPr>
            <w:r>
              <w:rPr>
                <w:rFonts w:eastAsia="Times New Roman" w:cs="Times New Roman" w:ascii="Times New Roman" w:hAnsi="Times New Roman"/>
                <w:b/>
                <w:bCs/>
                <w:kern w:val="2"/>
                <w:sz w:val="22"/>
                <w:szCs w:val="22"/>
                <w:lang w:val="lt-LT" w:bidi="ar-SA"/>
              </w:rPr>
              <w:t xml:space="preserve">PIRKIMO OBJEKTO APRAŠYMAS </w:t>
            </w:r>
          </w:p>
        </w:tc>
      </w:tr>
      <w:tr>
        <w:trPr>
          <w:trHeight w:val="300" w:hRule="atLeast"/>
        </w:trPr>
        <w:tc>
          <w:tcPr>
            <w:tcW w:w="9612"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sz w:val="22"/>
                <w:szCs w:val="22"/>
              </w:rPr>
            </w:pPr>
            <w:r>
              <w:rPr>
                <w:b/>
                <w:bCs/>
                <w:kern w:val="2"/>
                <w:sz w:val="22"/>
                <w:szCs w:val="22"/>
                <w:lang w:val="lt-LT" w:eastAsia="en-US" w:bidi="ar-SA"/>
              </w:rPr>
              <w:t xml:space="preserve">Pirkimo tikslas – </w:t>
            </w:r>
            <w:r>
              <w:rPr>
                <w:kern w:val="2"/>
                <w:sz w:val="22"/>
                <w:szCs w:val="22"/>
                <w:lang w:val="lt-LT" w:eastAsia="en-US" w:bidi="ar-SA"/>
              </w:rPr>
              <w:t>įsigyti a</w:t>
            </w:r>
            <w:r>
              <w:rPr>
                <w:color w:themeColor="text1" w:val="000000"/>
                <w:kern w:val="2"/>
                <w:sz w:val="22"/>
                <w:szCs w:val="22"/>
                <w:lang w:val="lt-LT" w:eastAsia="en-US" w:bidi="ar-SA"/>
              </w:rPr>
              <w:t>tnaujinamos Ankstyvosios intervencijos programos (patvirtintos LR sveikatos apsaugos ministro ir LR švietimo, mokslo ir sporto ministro 2018 m. sausio 18 d. įsakymu Nr. V-60/V-39)</w:t>
            </w:r>
            <w:r>
              <w:rPr>
                <w:kern w:val="2"/>
                <w:sz w:val="22"/>
                <w:szCs w:val="22"/>
                <w:lang w:val="lt-LT" w:eastAsia="en-US" w:bidi="ar-SA"/>
              </w:rPr>
              <w:t xml:space="preserve"> veiksmingumo ir poveikio vertinimo metodikos parengimo bei efektyvumo vertinimo atlikimo paslaugas. Vertinimo tikslas – moksliškai pagrįstai įvertinti programos veiksmingumą ir poveikį, parengiant išvadas ir rekomendacijas dėl jos tobulinimo.</w:t>
            </w:r>
          </w:p>
          <w:p>
            <w:pPr>
              <w:pStyle w:val="Normal"/>
              <w:widowControl/>
              <w:spacing w:before="0" w:after="0"/>
              <w:jc w:val="both"/>
              <w:rPr>
                <w:sz w:val="22"/>
                <w:szCs w:val="22"/>
              </w:rPr>
            </w:pPr>
            <w:r>
              <w:rPr>
                <w:kern w:val="2"/>
                <w:sz w:val="22"/>
                <w:szCs w:val="22"/>
                <w:lang w:val="lt-LT" w:eastAsia="en-US" w:bidi="ar-SA"/>
              </w:rPr>
              <w:t>Perkamos paslaugos:</w:t>
            </w:r>
          </w:p>
        </w:tc>
      </w:tr>
      <w:tr>
        <w:trPr>
          <w:trHeight w:val="45"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b/>
                <w:bCs/>
              </w:rPr>
            </w:pPr>
            <w:r>
              <w:rPr>
                <w:b/>
                <w:bCs/>
                <w:kern w:val="2"/>
                <w:sz w:val="24"/>
                <w:szCs w:val="24"/>
                <w:lang w:val="lt-LT" w:eastAsia="en-US" w:bidi="ar-SA"/>
              </w:rPr>
              <w:t>Eil. Nr.</w:t>
            </w:r>
          </w:p>
        </w:tc>
        <w:tc>
          <w:tcPr>
            <w:tcW w:w="5452" w:type="dxa"/>
            <w:tcBorders>
              <w:top w:val="nil"/>
              <w:left w:val="single" w:sz="8" w:space="0" w:color="000000"/>
              <w:bottom w:val="single" w:sz="8" w:space="0" w:color="000000"/>
              <w:right w:val="single" w:sz="8" w:space="0" w:color="000000"/>
            </w:tcBorders>
          </w:tcPr>
          <w:p>
            <w:pPr>
              <w:pStyle w:val="Normal"/>
              <w:widowControl/>
              <w:spacing w:before="0" w:after="0"/>
              <w:jc w:val="left"/>
              <w:rPr>
                <w:b/>
                <w:bCs/>
              </w:rPr>
            </w:pPr>
            <w:r>
              <w:rPr>
                <w:b/>
                <w:bCs/>
                <w:kern w:val="2"/>
                <w:sz w:val="24"/>
                <w:szCs w:val="24"/>
                <w:lang w:val="lt-LT" w:eastAsia="en-US" w:bidi="ar-SA"/>
              </w:rPr>
              <w:t>Veikla</w:t>
            </w:r>
          </w:p>
        </w:tc>
        <w:tc>
          <w:tcPr>
            <w:tcW w:w="3375" w:type="dxa"/>
            <w:tcBorders>
              <w:top w:val="nil"/>
              <w:left w:val="single" w:sz="8" w:space="0" w:color="000000"/>
              <w:bottom w:val="single" w:sz="8" w:space="0" w:color="000000"/>
              <w:right w:val="single" w:sz="8" w:space="0" w:color="000000"/>
            </w:tcBorders>
          </w:tcPr>
          <w:p>
            <w:pPr>
              <w:pStyle w:val="Normal"/>
              <w:widowControl/>
              <w:spacing w:before="0" w:after="0"/>
              <w:jc w:val="left"/>
              <w:rPr>
                <w:b/>
                <w:bCs/>
              </w:rPr>
            </w:pPr>
            <w:r>
              <w:rPr>
                <w:b/>
                <w:bCs/>
                <w:kern w:val="2"/>
                <w:sz w:val="24"/>
                <w:szCs w:val="24"/>
                <w:lang w:val="lt-LT" w:eastAsia="en-US" w:bidi="ar-SA"/>
              </w:rPr>
              <w:t>Rezultatas</w:t>
            </w:r>
          </w:p>
        </w:tc>
      </w:tr>
      <w:tr>
        <w:trPr>
          <w:trHeight w:val="30"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 w:val="24"/>
                <w:szCs w:val="24"/>
                <w:lang w:val="lt-LT" w:eastAsia="en-US" w:bidi="ar-SA"/>
              </w:rPr>
            </w:pPr>
            <w:r>
              <w:rPr>
                <w:kern w:val="2"/>
                <w:sz w:val="24"/>
                <w:szCs w:val="24"/>
                <w:lang w:val="lt-LT" w:eastAsia="en-US" w:bidi="ar-SA"/>
              </w:rPr>
              <w:t>2.1.</w:t>
            </w:r>
          </w:p>
        </w:tc>
        <w:tc>
          <w:tcPr>
            <w:tcW w:w="545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rPr>
            </w:pPr>
            <w:r>
              <w:rPr>
                <w:b/>
                <w:bCs/>
                <w:kern w:val="2"/>
                <w:sz w:val="24"/>
                <w:szCs w:val="24"/>
                <w:lang w:val="lt-LT" w:eastAsia="en-US" w:bidi="ar-SA"/>
              </w:rPr>
              <w:t>Esamos situacijos analizė ir vertinimo planavimas: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Atliekama programos "Fred Goes Net" esamos stebėsenos ir vertinimo duomenų analizė Lietuvoje ir kitose šalyse;</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Apibendrinami pagrindiniai duomenų šaltiniai ir spragos;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Remiantis analize, suformuluojami vertinimo tikslai, uždaviniai ir apimtis.</w:t>
            </w:r>
          </w:p>
        </w:tc>
        <w:tc>
          <w:tcPr>
            <w:tcW w:w="337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Dokumentas su esamos situacijos aprašu ir vertinimo plano projektu (tikslai, uždaviniai, apimtis).</w:t>
            </w:r>
          </w:p>
        </w:tc>
      </w:tr>
      <w:tr>
        <w:trPr>
          <w:trHeight w:val="30"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 w:val="24"/>
                <w:szCs w:val="24"/>
                <w:lang w:val="lt-LT" w:eastAsia="en-US" w:bidi="ar-SA"/>
              </w:rPr>
            </w:pPr>
            <w:r>
              <w:rPr>
                <w:kern w:val="2"/>
                <w:sz w:val="24"/>
                <w:szCs w:val="24"/>
                <w:lang w:val="lt-LT" w:eastAsia="en-US" w:bidi="ar-SA"/>
              </w:rPr>
              <w:t>2.2.</w:t>
            </w:r>
          </w:p>
        </w:tc>
        <w:tc>
          <w:tcPr>
            <w:tcW w:w="545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rPr>
            </w:pPr>
            <w:r>
              <w:rPr>
                <w:b/>
                <w:bCs/>
                <w:kern w:val="2"/>
                <w:sz w:val="24"/>
                <w:szCs w:val="24"/>
                <w:lang w:val="lt-LT" w:eastAsia="en-US" w:bidi="ar-SA"/>
              </w:rPr>
              <w:t>Tyrimo dizaino parengimas: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Parenkamas tyrimo metodas (kiekybinis, kokybinis ar mišrus);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Nustatomi vertinimo laiko taškai (prieš, po, vėlesnis stebėjimas);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Apibrėžiama imtis (dydis, sudėtis, atranka);</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Nustatomas poveikio pasireiškimo laikotarpis;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Apibrėžiami etiniai aspektai (informuotas sutikimas, duomenų apsauga).</w:t>
            </w:r>
          </w:p>
        </w:tc>
        <w:tc>
          <w:tcPr>
            <w:tcW w:w="337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Tyrimo dizaino dokumentas su schema, laiko punktais, imties ir etikos aprašu.</w:t>
            </w:r>
          </w:p>
        </w:tc>
      </w:tr>
      <w:tr>
        <w:trPr>
          <w:trHeight w:val="30"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 w:val="24"/>
                <w:szCs w:val="24"/>
                <w:lang w:val="lt-LT" w:eastAsia="en-US" w:bidi="ar-SA"/>
              </w:rPr>
            </w:pPr>
            <w:r>
              <w:rPr>
                <w:kern w:val="2"/>
                <w:sz w:val="24"/>
                <w:szCs w:val="24"/>
                <w:lang w:val="lt-LT" w:eastAsia="en-US" w:bidi="ar-SA"/>
              </w:rPr>
              <w:t>2.3.</w:t>
            </w:r>
          </w:p>
        </w:tc>
        <w:tc>
          <w:tcPr>
            <w:tcW w:w="545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rPr>
            </w:pPr>
            <w:r>
              <w:rPr>
                <w:b/>
                <w:bCs/>
                <w:kern w:val="2"/>
                <w:sz w:val="24"/>
                <w:szCs w:val="24"/>
                <w:lang w:val="lt-LT" w:eastAsia="en-US" w:bidi="ar-SA"/>
              </w:rPr>
              <w:t>Vertinimo rodiklių nustatymas: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Parenkami esminiai efektyvumo rodikliai (pvz., žinios, nuostatų, elgesio pokyčiams);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Kiekvienam rodikliui apibrėžiama reikšmė, matavimo vienetas, šaltinis, metodas, matavimo dažnis ir atsakomybė.</w:t>
            </w:r>
          </w:p>
        </w:tc>
        <w:tc>
          <w:tcPr>
            <w:tcW w:w="337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Patvirtintas rodiklių sąrašas su pilnais aprašais.</w:t>
            </w:r>
          </w:p>
        </w:tc>
      </w:tr>
      <w:tr>
        <w:trPr>
          <w:trHeight w:val="30"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 w:val="24"/>
                <w:szCs w:val="24"/>
                <w:lang w:val="lt-LT" w:eastAsia="en-US" w:bidi="ar-SA"/>
              </w:rPr>
            </w:pPr>
            <w:r>
              <w:rPr>
                <w:kern w:val="2"/>
                <w:sz w:val="24"/>
                <w:szCs w:val="24"/>
                <w:lang w:val="lt-LT" w:eastAsia="en-US" w:bidi="ar-SA"/>
              </w:rPr>
              <w:t>2.4.</w:t>
            </w:r>
          </w:p>
        </w:tc>
        <w:tc>
          <w:tcPr>
            <w:tcW w:w="545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rPr>
            </w:pPr>
            <w:r>
              <w:rPr>
                <w:b/>
                <w:bCs/>
                <w:kern w:val="2"/>
                <w:sz w:val="24"/>
                <w:szCs w:val="24"/>
                <w:lang w:val="lt-LT" w:eastAsia="en-US" w:bidi="ar-SA"/>
              </w:rPr>
              <w:t>Vertinimo priemonių ir metodikos parengimas: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Parengiamas standartizuotas duomenų rinkimo planas;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Apibrėžiami respondentai, naudojamos priemonės, rinkimo eiga;</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Parengiamas duomenų analizės ir rezultatų interpretacijos planas;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Parengiamas praktinis metodikos taikymo vadovas;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Apibrėžiami metodikos taikymo standartai, įskaitant duomenų rinkimo, analizės ir rezultatų interpretavimo principus.</w:t>
              <w:br/>
              <w:t xml:space="preserve"> </w:t>
            </w:r>
            <w:r>
              <w:rPr>
                <w:b/>
                <w:bCs/>
                <w:kern w:val="2"/>
                <w:sz w:val="24"/>
                <w:szCs w:val="24"/>
                <w:lang w:val="lt-LT" w:eastAsia="en-US" w:bidi="ar-SA"/>
              </w:rPr>
              <w:t>Formatai:</w:t>
            </w:r>
            <w:r>
              <w:rPr>
                <w:kern w:val="2"/>
                <w:sz w:val="24"/>
                <w:szCs w:val="24"/>
                <w:lang w:val="lt-LT" w:eastAsia="en-US" w:bidi="ar-SA"/>
              </w:rPr>
              <w:t xml:space="preserve"> Word; prireikus – PowerPoint arba Excel.</w:t>
            </w:r>
          </w:p>
        </w:tc>
        <w:tc>
          <w:tcPr>
            <w:tcW w:w="337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Vertinimo priemonių ir metodikos rinkinys.</w:t>
            </w:r>
          </w:p>
        </w:tc>
      </w:tr>
      <w:tr>
        <w:trPr>
          <w:trHeight w:val="30"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 w:val="24"/>
                <w:szCs w:val="24"/>
                <w:lang w:val="lt-LT" w:eastAsia="en-US" w:bidi="ar-SA"/>
              </w:rPr>
            </w:pPr>
            <w:r>
              <w:rPr>
                <w:kern w:val="2"/>
                <w:sz w:val="24"/>
                <w:szCs w:val="24"/>
                <w:lang w:val="lt-LT" w:eastAsia="en-US" w:bidi="ar-SA"/>
              </w:rPr>
              <w:t>2.5.</w:t>
            </w:r>
          </w:p>
        </w:tc>
        <w:tc>
          <w:tcPr>
            <w:tcW w:w="545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rPr>
            </w:pPr>
            <w:r>
              <w:rPr>
                <w:b/>
                <w:bCs/>
                <w:kern w:val="2"/>
                <w:sz w:val="24"/>
                <w:szCs w:val="24"/>
                <w:lang w:val="lt-LT" w:eastAsia="en-US" w:bidi="ar-SA"/>
              </w:rPr>
              <w:t>Pilotinis testavimas: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Metodika išbandoma praktikoje;</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Vykdomas bandomasis duomenų rinkimas;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Atliekami reikalingi tikslinimai.</w:t>
            </w:r>
          </w:p>
        </w:tc>
        <w:tc>
          <w:tcPr>
            <w:tcW w:w="337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Pilotinio testavimo ataskaita, patikslinta metodika.</w:t>
            </w:r>
          </w:p>
        </w:tc>
      </w:tr>
      <w:tr>
        <w:trPr>
          <w:trHeight w:val="30"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 w:val="24"/>
                <w:szCs w:val="24"/>
                <w:lang w:val="lt-LT" w:eastAsia="en-US" w:bidi="ar-SA"/>
              </w:rPr>
            </w:pPr>
            <w:r>
              <w:rPr>
                <w:kern w:val="2"/>
                <w:sz w:val="24"/>
                <w:szCs w:val="24"/>
                <w:lang w:val="lt-LT" w:eastAsia="en-US" w:bidi="ar-SA"/>
              </w:rPr>
              <w:t>2.6.</w:t>
            </w:r>
          </w:p>
        </w:tc>
        <w:tc>
          <w:tcPr>
            <w:tcW w:w="545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rPr>
            </w:pPr>
            <w:r>
              <w:rPr>
                <w:b/>
                <w:bCs/>
                <w:kern w:val="2"/>
                <w:sz w:val="24"/>
                <w:szCs w:val="24"/>
                <w:lang w:val="lt-LT" w:eastAsia="en-US" w:bidi="ar-SA"/>
              </w:rPr>
              <w:t>Metodikos diegimas: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Parengiamos ir perduodamos standartizuotos vertinimo priemonės ir instrukcijos programos vykdytojams;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Paslaugos teikėjas gali pasiūlyti techninį sprendimą (pvz., Google Forms, platforma ar pan.), atsižvelgiant į duomenų apsaugos ir naudojimo paprastumo kriterijus.</w:t>
            </w:r>
          </w:p>
        </w:tc>
        <w:tc>
          <w:tcPr>
            <w:tcW w:w="337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Naudojimo instrukcijos ir parengtos priemonės.</w:t>
            </w:r>
          </w:p>
        </w:tc>
      </w:tr>
      <w:tr>
        <w:trPr>
          <w:trHeight w:val="30"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 w:val="24"/>
                <w:szCs w:val="24"/>
                <w:lang w:val="lt-LT" w:eastAsia="en-US" w:bidi="ar-SA"/>
              </w:rPr>
            </w:pPr>
            <w:r>
              <w:rPr>
                <w:kern w:val="2"/>
                <w:sz w:val="24"/>
                <w:szCs w:val="24"/>
                <w:lang w:val="lt-LT" w:eastAsia="en-US" w:bidi="ar-SA"/>
              </w:rPr>
              <w:t>2.7.</w:t>
            </w:r>
          </w:p>
        </w:tc>
        <w:tc>
          <w:tcPr>
            <w:tcW w:w="545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rPr>
            </w:pPr>
            <w:r>
              <w:rPr>
                <w:b/>
                <w:bCs/>
                <w:kern w:val="2"/>
                <w:sz w:val="24"/>
                <w:szCs w:val="24"/>
                <w:lang w:val="lt-LT" w:eastAsia="en-US" w:bidi="ar-SA"/>
              </w:rPr>
              <w:t>Programos veiksmingumo vertinimas: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Vadovaujantis patvirtinta metodika, vykdomas duomenų rinkimas.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Atliekama kiekybinė ir/ar kokybinė analizė;</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Parengiama struktūruota analizės ataskaita su vizualizacijomis.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Apibendrinami analizės rezultatai, pateikiamos įrodymais grįstos išvados apie programos poveikį.</w:t>
            </w:r>
          </w:p>
        </w:tc>
        <w:tc>
          <w:tcPr>
            <w:tcW w:w="337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Suvestinis duomenų rinkinys.</w:t>
            </w:r>
          </w:p>
          <w:p>
            <w:pPr>
              <w:pStyle w:val="Normal"/>
              <w:widowControl/>
              <w:spacing w:before="0" w:after="0"/>
              <w:jc w:val="both"/>
              <w:rPr>
                <w:kern w:val="2"/>
                <w:sz w:val="24"/>
                <w:szCs w:val="24"/>
                <w:lang w:val="lt-LT" w:eastAsia="en-US" w:bidi="ar-SA"/>
              </w:rPr>
            </w:pPr>
            <w:r>
              <w:rPr>
                <w:kern w:val="2"/>
                <w:sz w:val="24"/>
                <w:szCs w:val="24"/>
                <w:lang w:val="lt-LT" w:eastAsia="en-US" w:bidi="ar-SA"/>
              </w:rPr>
              <w:t>Veiksmingumo vertinimo ataskaita ir išvada.</w:t>
            </w:r>
          </w:p>
        </w:tc>
      </w:tr>
      <w:tr>
        <w:trPr>
          <w:trHeight w:val="30" w:hRule="atLeast"/>
        </w:trPr>
        <w:tc>
          <w:tcPr>
            <w:tcW w:w="78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left"/>
              <w:rPr>
                <w:kern w:val="2"/>
                <w:sz w:val="24"/>
                <w:szCs w:val="24"/>
                <w:lang w:val="lt-LT" w:eastAsia="en-US" w:bidi="ar-SA"/>
              </w:rPr>
            </w:pPr>
            <w:r>
              <w:rPr>
                <w:kern w:val="2"/>
                <w:sz w:val="24"/>
                <w:szCs w:val="24"/>
                <w:lang w:val="lt-LT" w:eastAsia="en-US" w:bidi="ar-SA"/>
              </w:rPr>
              <w:t>2.8.</w:t>
            </w:r>
          </w:p>
        </w:tc>
        <w:tc>
          <w:tcPr>
            <w:tcW w:w="5452"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b/>
                <w:bCs/>
              </w:rPr>
            </w:pPr>
            <w:r>
              <w:rPr>
                <w:b/>
                <w:bCs/>
                <w:kern w:val="2"/>
                <w:sz w:val="24"/>
                <w:szCs w:val="24"/>
                <w:lang w:val="lt-LT" w:eastAsia="en-US" w:bidi="ar-SA"/>
              </w:rPr>
              <w:t>Galutinė ataskaita ir pristatymas: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Parengiama galutinė vertinimo ataskaita;</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Pateikiamos rekomendacijos;</w:t>
            </w:r>
          </w:p>
          <w:p>
            <w:pPr>
              <w:pStyle w:val="Normal"/>
              <w:widowControl/>
              <w:spacing w:before="0" w:after="0"/>
              <w:jc w:val="both"/>
              <w:rPr>
                <w:kern w:val="2"/>
                <w:sz w:val="24"/>
                <w:szCs w:val="24"/>
                <w:lang w:val="lt-LT" w:eastAsia="en-US" w:bidi="ar-SA"/>
              </w:rPr>
            </w:pPr>
            <w:r>
              <w:rPr>
                <w:kern w:val="2"/>
                <w:sz w:val="24"/>
                <w:szCs w:val="24"/>
                <w:lang w:val="lt-LT" w:eastAsia="en-US" w:bidi="ar-SA"/>
              </w:rPr>
              <w:t xml:space="preserve">• </w:t>
            </w:r>
            <w:r>
              <w:rPr>
                <w:kern w:val="2"/>
                <w:sz w:val="24"/>
                <w:szCs w:val="24"/>
                <w:lang w:val="lt-LT" w:eastAsia="en-US" w:bidi="ar-SA"/>
              </w:rPr>
              <w:t>Ataskaita pristatoma Perkančiajai organizacijai (gyvai arba nuotoliniu būdu).</w:t>
            </w:r>
          </w:p>
        </w:tc>
        <w:tc>
          <w:tcPr>
            <w:tcW w:w="3375"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Galutinė ataskaita (Word formatu) ir pristatymas su aptarimu.</w:t>
            </w:r>
          </w:p>
        </w:tc>
      </w:tr>
      <w:tr>
        <w:trPr>
          <w:trHeight w:val="300" w:hRule="atLeast"/>
        </w:trPr>
        <w:tc>
          <w:tcPr>
            <w:tcW w:w="9612" w:type="dxa"/>
            <w:gridSpan w:val="3"/>
            <w:tcBorders>
              <w:top w:val="single" w:sz="8" w:space="0" w:color="000000"/>
              <w:left w:val="single" w:sz="8" w:space="0" w:color="000000"/>
              <w:bottom w:val="single" w:sz="8" w:space="0" w:color="000000"/>
              <w:right w:val="single" w:sz="8" w:space="0" w:color="000000"/>
            </w:tcBorders>
          </w:tcPr>
          <w:p>
            <w:pPr>
              <w:pStyle w:val="ListParagraph"/>
              <w:widowControl/>
              <w:numPr>
                <w:ilvl w:val="0"/>
                <w:numId w:val="1"/>
              </w:numPr>
              <w:spacing w:before="0" w:after="160"/>
              <w:contextualSpacing/>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val="lt-LT" w:bidi="ar-SA"/>
              </w:rPr>
              <w:t>PASLAUGŲ TEIKIMO REIKALAVIMAI</w:t>
            </w:r>
          </w:p>
        </w:tc>
      </w:tr>
      <w:tr>
        <w:trPr>
          <w:trHeight w:val="300" w:hRule="atLeast"/>
        </w:trPr>
        <w:tc>
          <w:tcPr>
            <w:tcW w:w="9612"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 xml:space="preserve">3.1. Paslaugų teikėjas per </w:t>
            </w:r>
            <w:r>
              <w:rPr>
                <w:kern w:val="2"/>
                <w:sz w:val="24"/>
                <w:szCs w:val="24"/>
                <w:lang w:val="en-US" w:eastAsia="en-US" w:bidi="ar-SA"/>
              </w:rPr>
              <w:t>5</w:t>
            </w:r>
            <w:r>
              <w:rPr>
                <w:kern w:val="2"/>
                <w:sz w:val="24"/>
                <w:szCs w:val="24"/>
                <w:lang w:val="lt-LT" w:eastAsia="en-US" w:bidi="ar-SA"/>
              </w:rPr>
              <w:t xml:space="preserve"> </w:t>
            </w:r>
            <w:r>
              <w:rPr>
                <w:kern w:val="2"/>
                <w:sz w:val="24"/>
                <w:szCs w:val="24"/>
                <w:lang w:val="en-US" w:eastAsia="en-US" w:bidi="ar-SA"/>
              </w:rPr>
              <w:t>kalendorin</w:t>
            </w:r>
            <w:r>
              <w:rPr>
                <w:kern w:val="2"/>
                <w:sz w:val="24"/>
                <w:szCs w:val="24"/>
                <w:lang w:val="en-US" w:eastAsia="en-US" w:bidi="ar-SA"/>
              </w:rPr>
              <w:t>es</w:t>
            </w:r>
            <w:r>
              <w:rPr>
                <w:kern w:val="2"/>
                <w:sz w:val="24"/>
                <w:szCs w:val="24"/>
                <w:lang w:val="lt-LT" w:eastAsia="en-US" w:bidi="ar-SA"/>
              </w:rPr>
              <w:t xml:space="preserve"> </w:t>
            </w:r>
            <w:r>
              <w:rPr>
                <w:kern w:val="2"/>
                <w:sz w:val="24"/>
                <w:szCs w:val="24"/>
                <w:lang w:val="en-US" w:eastAsia="en-US" w:bidi="ar-SA"/>
              </w:rPr>
              <w:t>dien</w:t>
            </w:r>
            <w:r>
              <w:rPr>
                <w:kern w:val="2"/>
                <w:sz w:val="24"/>
                <w:szCs w:val="24"/>
                <w:lang w:val="en-US" w:eastAsia="en-US" w:bidi="ar-SA"/>
              </w:rPr>
              <w:t>as</w:t>
            </w:r>
            <w:r>
              <w:rPr>
                <w:kern w:val="2"/>
                <w:sz w:val="24"/>
                <w:szCs w:val="24"/>
                <w:lang w:val="lt-LT" w:eastAsia="en-US" w:bidi="ar-SA"/>
              </w:rPr>
              <w:t xml:space="preserve"> nuo sutarties pasirašymo dienos privalo parengti ir suderinti su Perkančiąja organizacija detalų darbų vykdymo planą, kuriame turi aiškiai aprašyti visus paslaugų įgyvendinimo etapus ir terminus, tarpinių rezultatų pristatymo Perkančiajai organizacijai datas. </w:t>
            </w:r>
          </w:p>
          <w:p>
            <w:pPr>
              <w:pStyle w:val="Normal"/>
              <w:widowControl/>
              <w:spacing w:before="0" w:after="0"/>
              <w:jc w:val="both"/>
              <w:rPr>
                <w:kern w:val="2"/>
                <w:sz w:val="24"/>
                <w:szCs w:val="24"/>
                <w:lang w:val="lt-LT" w:eastAsia="en-US" w:bidi="ar-SA"/>
              </w:rPr>
            </w:pPr>
            <w:r>
              <w:rPr>
                <w:kern w:val="2"/>
                <w:sz w:val="24"/>
                <w:szCs w:val="24"/>
                <w:lang w:val="lt-LT" w:eastAsia="en-US" w:bidi="ar-SA"/>
              </w:rPr>
              <w:t>3.2. Paslaugų teikėjas turi reguliariai pristatyti tarpinius darbų rezultatus Perkančiajai organizacijai numatytų susitikimų metu. Tarpinių rezultatų pateikimas ir aptarimas yra būtinas norint užtikrinti aukštą paslaugų kokybę bei sklandų darbų vykdymą. Visi rezultatai pateikiami Microsoft Word formatu.</w:t>
            </w:r>
          </w:p>
          <w:p>
            <w:pPr>
              <w:pStyle w:val="Normal"/>
              <w:widowControl/>
              <w:spacing w:before="0" w:after="0"/>
              <w:jc w:val="both"/>
              <w:rPr>
                <w:kern w:val="2"/>
                <w:sz w:val="24"/>
                <w:szCs w:val="24"/>
                <w:lang w:val="lt-LT" w:eastAsia="en-US" w:bidi="ar-SA"/>
              </w:rPr>
            </w:pPr>
            <w:r>
              <w:rPr>
                <w:kern w:val="2"/>
                <w:sz w:val="24"/>
                <w:szCs w:val="24"/>
                <w:lang w:val="lt-LT" w:eastAsia="en-US" w:bidi="ar-SA"/>
              </w:rPr>
              <w:t>3.3. Jeigu Perkančioji organizacija pateikia pastabas dėl pateiktų rezultatų, paslaugų teikėjas įsipareigoja juos ištaisyti 10 kalendorinių dienų nuo pastabų gavimo dienos ir pateikti patikslintą rezultatą.</w:t>
            </w:r>
          </w:p>
          <w:p>
            <w:pPr>
              <w:pStyle w:val="Normal"/>
              <w:widowControl/>
              <w:spacing w:before="0" w:after="0"/>
              <w:jc w:val="both"/>
              <w:rPr>
                <w:kern w:val="2"/>
                <w:sz w:val="24"/>
                <w:szCs w:val="24"/>
                <w:lang w:val="lt-LT" w:eastAsia="en-US" w:bidi="ar-SA"/>
              </w:rPr>
            </w:pPr>
            <w:r>
              <w:rPr>
                <w:kern w:val="2"/>
                <w:sz w:val="24"/>
                <w:szCs w:val="24"/>
                <w:lang w:val="lt-LT" w:eastAsia="en-US" w:bidi="ar-SA"/>
              </w:rPr>
              <w:t>3.4. Visi paslaugų teikimo metu sukurti dokumentai, metodikos, priemonės ir kiti produktai yra Perkančiosios organizacijos nuosavybė ir gali būti laisvai naudojami be papildomų apribojimų.</w:t>
            </w:r>
          </w:p>
        </w:tc>
      </w:tr>
      <w:tr>
        <w:trPr>
          <w:trHeight w:val="300" w:hRule="atLeast"/>
        </w:trPr>
        <w:tc>
          <w:tcPr>
            <w:tcW w:w="9612" w:type="dxa"/>
            <w:gridSpan w:val="3"/>
            <w:tcBorders>
              <w:top w:val="single" w:sz="8" w:space="0" w:color="000000"/>
              <w:left w:val="single" w:sz="8" w:space="0" w:color="000000"/>
              <w:bottom w:val="single" w:sz="8" w:space="0" w:color="000000"/>
              <w:right w:val="single" w:sz="8" w:space="0" w:color="000000"/>
            </w:tcBorders>
          </w:tcPr>
          <w:p>
            <w:pPr>
              <w:pStyle w:val="ListParagraph"/>
              <w:widowControl/>
              <w:numPr>
                <w:ilvl w:val="0"/>
                <w:numId w:val="1"/>
              </w:numPr>
              <w:spacing w:before="0" w:after="160"/>
              <w:contextualSpacing/>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val="lt-LT" w:bidi="ar-SA"/>
              </w:rPr>
              <w:t>PASLAUGŲ VYKDYMO TVARKA IR TERMINAI</w:t>
            </w:r>
          </w:p>
        </w:tc>
      </w:tr>
      <w:tr>
        <w:trPr>
          <w:trHeight w:val="300" w:hRule="atLeast"/>
        </w:trPr>
        <w:tc>
          <w:tcPr>
            <w:tcW w:w="9612"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4"/>
                <w:szCs w:val="24"/>
                <w:lang w:val="lt-LT" w:eastAsia="en-US" w:bidi="ar-SA"/>
              </w:rPr>
              <w:t>4.1. Veiksmingumo ir poveikio vertinimo</w:t>
            </w:r>
            <w:r>
              <w:rPr>
                <w:kern w:val="2"/>
                <w:sz w:val="28"/>
                <w:szCs w:val="28"/>
                <w:lang w:val="lt-LT" w:eastAsia="en-US" w:bidi="ar-SA"/>
              </w:rPr>
              <w:t xml:space="preserve"> </w:t>
            </w:r>
            <w:r>
              <w:rPr>
                <w:kern w:val="2"/>
                <w:sz w:val="24"/>
                <w:szCs w:val="24"/>
                <w:lang w:val="lt-LT" w:eastAsia="en-US" w:bidi="ar-SA"/>
              </w:rPr>
              <w:t>metodika turi būti parengta per 90 kalendorinių dienų nuo Sutarties sudarymo dienos.</w:t>
            </w:r>
          </w:p>
          <w:p>
            <w:pPr>
              <w:pStyle w:val="Normal"/>
              <w:widowControl/>
              <w:spacing w:before="0" w:after="0"/>
              <w:jc w:val="both"/>
              <w:rPr>
                <w:kern w:val="2"/>
                <w:sz w:val="24"/>
                <w:szCs w:val="24"/>
                <w:lang w:val="lt-LT" w:eastAsia="en-US" w:bidi="ar-SA"/>
              </w:rPr>
            </w:pPr>
            <w:r>
              <w:rPr>
                <w:kern w:val="2"/>
                <w:sz w:val="24"/>
                <w:szCs w:val="24"/>
                <w:lang w:val="lt-LT" w:eastAsia="en-US" w:bidi="ar-SA"/>
              </w:rPr>
              <w:t>4.2. Programos efektyvumo vertinimas turi būti atliktas ir galutinė ataskaita pristatyta Perkančiajai organizacijai iki 2026 m. kovo 1 d.</w:t>
            </w:r>
          </w:p>
          <w:p>
            <w:pPr>
              <w:pStyle w:val="Normal"/>
              <w:widowControl/>
              <w:spacing w:before="0" w:after="0"/>
              <w:jc w:val="both"/>
              <w:rPr>
                <w:kern w:val="2"/>
                <w:sz w:val="24"/>
                <w:szCs w:val="24"/>
                <w:lang w:val="lt-LT" w:eastAsia="en-US" w:bidi="ar-SA"/>
              </w:rPr>
            </w:pPr>
            <w:r>
              <w:rPr>
                <w:kern w:val="2"/>
                <w:sz w:val="24"/>
                <w:szCs w:val="24"/>
                <w:lang w:val="lt-LT" w:eastAsia="en-US" w:bidi="ar-SA"/>
              </w:rPr>
              <w:t>4.4. Baigęs visus darbus paslaugų teikėjas kartu su paslaugų perdavimo-priėmimo aktu pateikia Perkančiajai organizacijai galutinę ankstyvosios intervencijos programos vertinimo metodiką ir veiksmingumo vertinimo ataskaitą Microsoft Word formatu.</w:t>
            </w:r>
          </w:p>
          <w:p>
            <w:pPr>
              <w:pStyle w:val="Normal"/>
              <w:widowControl/>
              <w:spacing w:before="0" w:after="0"/>
              <w:jc w:val="both"/>
              <w:rPr>
                <w:kern w:val="2"/>
                <w:sz w:val="24"/>
                <w:szCs w:val="24"/>
                <w:lang w:val="lt-LT" w:eastAsia="en-US" w:bidi="ar-SA"/>
              </w:rPr>
            </w:pPr>
            <w:r>
              <w:rPr>
                <w:kern w:val="2"/>
                <w:sz w:val="24"/>
                <w:szCs w:val="24"/>
                <w:lang w:val="lt-LT" w:eastAsia="en-US" w:bidi="ar-SA"/>
              </w:rPr>
              <w:t>4.6. Paslaugų teikėjas privalo užtikrinti, kad visi darbai būtų atliekami vadovaujantis aukštais mokslo ir praktikos kokybės standartais. Visi pateikiami sprendimai, metodikos ar išvados turi būti aiškiai pagrįsti naujausiais moksliniais tyrimais ir/ar patikimais praktiniais šaltiniais (pvz., tarptautinių organizacijų rekomendacijomis ar įrodymais grįsta patirtimi).</w:t>
            </w:r>
          </w:p>
        </w:tc>
      </w:tr>
    </w:tbl>
    <w:p>
      <w:pPr>
        <w:pStyle w:val="Normal"/>
        <w:rPr>
          <w:sz w:val="22"/>
          <w:szCs w:val="22"/>
        </w:rPr>
      </w:pPr>
      <w:r>
        <w:rPr>
          <w:sz w:val="22"/>
          <w:szCs w:val="22"/>
        </w:rPr>
        <w:t xml:space="preserve"> </w:t>
      </w:r>
    </w:p>
    <w:p>
      <w:pPr>
        <w:pStyle w:val="Normal"/>
        <w:rPr>
          <w:sz w:val="22"/>
          <w:szCs w:val="22"/>
        </w:rPr>
      </w:pPr>
      <w:r>
        <w:rPr>
          <w:sz w:val="22"/>
          <w:szCs w:val="22"/>
        </w:rPr>
      </w:r>
    </w:p>
    <w:p>
      <w:pPr>
        <w:pStyle w:val="Normal"/>
        <w:rPr>
          <w:b/>
          <w:bCs/>
          <w:color w:val="0070C0"/>
          <w:sz w:val="22"/>
          <w:szCs w:val="22"/>
        </w:rPr>
      </w:pPr>
      <w:r>
        <w:rPr>
          <w:b/>
          <w:bCs/>
          <w:color w:val="0070C0"/>
          <w:sz w:val="22"/>
          <w:szCs w:val="22"/>
        </w:rPr>
        <w:t>3 PIRKIMO DALIS: STOKHOLMO PROGRAMOS ALKOHOLIO IR NARKOTIKŲ VARTOJIMO PREVENCIJAI (STAD, ANGL. STOCKHOLM PREVENTS ALCOHOL AND DRUG PROBLEMS) PRAKTINIO VADOVO EKSPERTINIŲ PASLAUGŲ TECHNINĖ SPECIFIKACIJA </w:t>
      </w:r>
    </w:p>
    <w:p>
      <w:pPr>
        <w:pStyle w:val="Normal"/>
        <w:tabs>
          <w:tab w:val="clear" w:pos="720"/>
          <w:tab w:val="left" w:pos="8137" w:leader="none"/>
        </w:tabs>
        <w:jc w:val="both"/>
        <w:rPr/>
      </w:pPr>
      <w:r>
        <w:rPr/>
      </w:r>
    </w:p>
    <w:tbl>
      <w:tblPr>
        <w:tblStyle w:val="Lentelstinklelis"/>
        <w:tblW w:w="9639" w:type="dxa"/>
        <w:jc w:val="left"/>
        <w:tblInd w:w="-11" w:type="dxa"/>
        <w:tblLayout w:type="fixed"/>
        <w:tblCellMar>
          <w:top w:w="0" w:type="dxa"/>
          <w:left w:w="108" w:type="dxa"/>
          <w:bottom w:w="0" w:type="dxa"/>
          <w:right w:w="108" w:type="dxa"/>
        </w:tblCellMar>
        <w:tblLook w:firstRow="1" w:noVBand="1" w:lastRow="0" w:firstColumn="1" w:lastColumn="0" w:noHBand="0" w:val="04a0"/>
      </w:tblPr>
      <w:tblGrid>
        <w:gridCol w:w="9"/>
        <w:gridCol w:w="236"/>
        <w:gridCol w:w="464"/>
        <w:gridCol w:w="5677"/>
        <w:gridCol w:w="3253"/>
      </w:tblGrid>
      <w:tr>
        <w:trPr>
          <w:trHeight w:val="300" w:hRule="atLeast"/>
        </w:trPr>
        <w:tc>
          <w:tcPr>
            <w:tcW w:w="9639" w:type="dxa"/>
            <w:gridSpan w:val="5"/>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20"/>
              <w:jc w:val="both"/>
              <w:rPr>
                <w:kern w:val="2"/>
                <w:sz w:val="24"/>
                <w:szCs w:val="24"/>
                <w:lang w:val="lt-LT" w:eastAsia="en-US" w:bidi="ar-SA"/>
              </w:rPr>
            </w:pPr>
            <w:r>
              <w:rPr>
                <w:b/>
                <w:bCs/>
                <w:kern w:val="2"/>
                <w:sz w:val="22"/>
                <w:szCs w:val="22"/>
                <w:lang w:val="lt-LT" w:eastAsia="en-US" w:bidi="ar-SA"/>
              </w:rPr>
              <w:t>1. SĄVOKOS IR SUTRUMPINIMAI</w:t>
            </w:r>
          </w:p>
        </w:tc>
      </w:tr>
      <w:tr>
        <w:trPr>
          <w:trHeight w:val="855" w:hRule="atLeast"/>
        </w:trPr>
        <w:tc>
          <w:tcPr>
            <w:tcW w:w="9639" w:type="dxa"/>
            <w:gridSpan w:val="5"/>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b/>
                <w:bCs/>
                <w:kern w:val="2"/>
                <w:sz w:val="22"/>
                <w:szCs w:val="22"/>
                <w:lang w:val="lt-LT" w:eastAsia="en-US" w:bidi="ar-SA"/>
              </w:rPr>
              <w:t xml:space="preserve">Paslaugos </w:t>
            </w:r>
            <w:r>
              <w:rPr>
                <w:kern w:val="2"/>
                <w:sz w:val="22"/>
                <w:szCs w:val="22"/>
                <w:lang w:val="lt-LT" w:eastAsia="en-US" w:bidi="ar-SA"/>
              </w:rPr>
              <w:t>– Stokholmo programos alkoholio ir narkotikų vartojimo prevencijai (Stokholmo programa alkoholio ir narkotikų vartojimo prevencijai (STAD,, angl. angl. Stockholm prevents alcohol and drug problems) (toliau – STAD) praktinio vadovo (toliau Vadovas) pritaikymo ekspertinės paslaugos. Paslaugos, skirtos STAD programos praktinio vadovo pagrindu paruošti veiksmų planą savivaldybėms (projekto partneriams).</w:t>
            </w:r>
          </w:p>
        </w:tc>
      </w:tr>
      <w:tr>
        <w:trPr>
          <w:trHeight w:val="300" w:hRule="atLeast"/>
        </w:trPr>
        <w:tc>
          <w:tcPr>
            <w:tcW w:w="9639" w:type="dxa"/>
            <w:gridSpan w:val="5"/>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20"/>
              <w:jc w:val="both"/>
              <w:rPr>
                <w:kern w:val="2"/>
                <w:sz w:val="24"/>
                <w:szCs w:val="24"/>
                <w:lang w:val="lt-LT" w:eastAsia="en-US" w:bidi="ar-SA"/>
              </w:rPr>
            </w:pPr>
            <w:r>
              <w:rPr>
                <w:b/>
                <w:bCs/>
                <w:kern w:val="2"/>
                <w:sz w:val="22"/>
                <w:szCs w:val="22"/>
                <w:lang w:val="lt-LT" w:eastAsia="en-US" w:bidi="ar-SA"/>
              </w:rPr>
              <w:t xml:space="preserve">2. PIRKIMO OBJEKTO APRAŠYMAS </w:t>
            </w:r>
          </w:p>
        </w:tc>
      </w:tr>
      <w:tr>
        <w:trPr>
          <w:trHeight w:val="300" w:hRule="atLeast"/>
        </w:trPr>
        <w:tc>
          <w:tcPr>
            <w:tcW w:w="9639" w:type="dxa"/>
            <w:gridSpan w:val="5"/>
            <w:tcBorders>
              <w:top w:val="single" w:sz="8" w:space="0" w:color="000000"/>
              <w:left w:val="single" w:sz="8" w:space="0" w:color="000000"/>
              <w:bottom w:val="single" w:sz="8" w:space="0" w:color="000000"/>
              <w:right w:val="single" w:sz="8" w:space="0" w:color="000000"/>
            </w:tcBorders>
          </w:tcPr>
          <w:p>
            <w:pPr>
              <w:pStyle w:val="Normal"/>
              <w:widowControl/>
              <w:tabs>
                <w:tab w:val="clear" w:pos="720"/>
                <w:tab w:val="left" w:pos="29" w:leader="none"/>
              </w:tabs>
              <w:spacing w:before="0" w:after="0"/>
              <w:jc w:val="both"/>
              <w:rPr>
                <w:kern w:val="2"/>
                <w:sz w:val="24"/>
                <w:szCs w:val="24"/>
                <w:lang w:val="lt-LT" w:eastAsia="en-US" w:bidi="ar-SA"/>
              </w:rPr>
            </w:pPr>
            <w:r>
              <w:rPr>
                <w:b/>
                <w:bCs/>
                <w:kern w:val="2"/>
                <w:sz w:val="22"/>
                <w:szCs w:val="22"/>
                <w:lang w:val="lt-LT" w:eastAsia="en-US" w:bidi="ar-SA"/>
              </w:rPr>
              <w:t>Pirkimo objektas – praktinio vadovo turinio ekspertinio vertinimo ir veiksmų plano parengimo paslaugos.</w:t>
            </w:r>
            <w:r>
              <w:rPr>
                <w:kern w:val="2"/>
                <w:sz w:val="22"/>
                <w:szCs w:val="22"/>
                <w:lang w:val="lt-LT" w:eastAsia="en-US" w:bidi="ar-SA"/>
              </w:rPr>
              <w:t xml:space="preserve"> Paslaugos teikėjas turės peržiūrėti perkančiosios organizacijos pateiktą išverstą praktinio vadovo versiją, pateikti pastabas dėl turinio kokybės ir aktualumo, bei parengti praktiniam taikymui pritaikytą veiksmų planą.</w:t>
            </w:r>
          </w:p>
          <w:p>
            <w:pPr>
              <w:pStyle w:val="Normal"/>
              <w:widowControl/>
              <w:tabs>
                <w:tab w:val="clear" w:pos="720"/>
                <w:tab w:val="left" w:pos="29" w:leader="none"/>
              </w:tabs>
              <w:spacing w:before="0" w:after="0"/>
              <w:jc w:val="both"/>
              <w:rPr>
                <w:kern w:val="2"/>
                <w:sz w:val="24"/>
                <w:szCs w:val="24"/>
                <w:lang w:val="lt-LT" w:eastAsia="en-US" w:bidi="ar-SA"/>
              </w:rPr>
            </w:pPr>
            <w:r>
              <w:rPr>
                <w:kern w:val="2"/>
                <w:sz w:val="22"/>
                <w:szCs w:val="22"/>
                <w:lang w:val="lt-LT" w:eastAsia="en-US" w:bidi="ar-SA"/>
              </w:rPr>
              <w:t>Perkamos paslaugos:</w:t>
            </w:r>
          </w:p>
        </w:tc>
      </w:tr>
      <w:tr>
        <w:trPr>
          <w:trHeight w:val="300" w:hRule="atLeast"/>
        </w:trPr>
        <w:tc>
          <w:tcPr>
            <w:tcW w:w="709"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b/>
                <w:bCs/>
                <w:kern w:val="2"/>
                <w:sz w:val="22"/>
                <w:szCs w:val="22"/>
                <w:lang w:val="lt-LT" w:eastAsia="en-US" w:bidi="ar-SA"/>
              </w:rPr>
              <w:t>Eil. Nr.</w:t>
            </w:r>
          </w:p>
        </w:tc>
        <w:tc>
          <w:tcPr>
            <w:tcW w:w="5677" w:type="dxa"/>
            <w:tcBorders>
              <w:top w:val="nil"/>
              <w:left w:val="single" w:sz="8" w:space="0" w:color="000000"/>
              <w:bottom w:val="single" w:sz="8" w:space="0" w:color="000000"/>
              <w:right w:val="single" w:sz="8" w:space="0" w:color="000000"/>
            </w:tcBorders>
          </w:tcPr>
          <w:p>
            <w:pPr>
              <w:pStyle w:val="Normal"/>
              <w:widowControl/>
              <w:spacing w:before="0" w:after="0"/>
              <w:ind w:left="786"/>
              <w:jc w:val="both"/>
              <w:rPr>
                <w:kern w:val="2"/>
                <w:sz w:val="24"/>
                <w:szCs w:val="24"/>
                <w:lang w:val="lt-LT" w:eastAsia="en-US" w:bidi="ar-SA"/>
              </w:rPr>
            </w:pPr>
            <w:r>
              <w:rPr>
                <w:b/>
                <w:bCs/>
                <w:kern w:val="2"/>
                <w:sz w:val="22"/>
                <w:szCs w:val="22"/>
                <w:lang w:val="lt-LT" w:eastAsia="en-US" w:bidi="ar-SA"/>
              </w:rPr>
              <w:t xml:space="preserve">Veikla </w:t>
            </w:r>
          </w:p>
        </w:tc>
        <w:tc>
          <w:tcPr>
            <w:tcW w:w="3253" w:type="dxa"/>
            <w:tcBorders>
              <w:top w:val="nil"/>
              <w:left w:val="single" w:sz="8" w:space="0" w:color="000000"/>
              <w:bottom w:val="single" w:sz="8" w:space="0" w:color="000000"/>
              <w:right w:val="single" w:sz="8" w:space="0" w:color="000000"/>
            </w:tcBorders>
          </w:tcPr>
          <w:p>
            <w:pPr>
              <w:pStyle w:val="Normal"/>
              <w:widowControl/>
              <w:spacing w:before="0" w:after="0"/>
              <w:ind w:left="786"/>
              <w:jc w:val="both"/>
              <w:rPr>
                <w:kern w:val="2"/>
                <w:sz w:val="24"/>
                <w:szCs w:val="24"/>
                <w:lang w:val="lt-LT" w:eastAsia="en-US" w:bidi="ar-SA"/>
              </w:rPr>
            </w:pPr>
            <w:r>
              <w:rPr>
                <w:b/>
                <w:bCs/>
                <w:kern w:val="2"/>
                <w:sz w:val="22"/>
                <w:szCs w:val="22"/>
                <w:lang w:val="lt-LT" w:eastAsia="en-US" w:bidi="ar-SA"/>
              </w:rPr>
              <w:t>Rezultatas</w:t>
            </w:r>
          </w:p>
        </w:tc>
      </w:tr>
      <w:tr>
        <w:trPr>
          <w:trHeight w:val="300" w:hRule="atLeast"/>
        </w:trPr>
        <w:tc>
          <w:tcPr>
            <w:tcW w:w="709" w:type="dxa"/>
            <w:gridSpan w:val="3"/>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2"/>
                <w:szCs w:val="22"/>
                <w:lang w:val="lt-LT" w:eastAsia="en-US" w:bidi="ar-SA"/>
              </w:rPr>
              <w:t xml:space="preserve">2.1. </w:t>
            </w:r>
          </w:p>
        </w:tc>
        <w:tc>
          <w:tcPr>
            <w:tcW w:w="567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2"/>
                <w:szCs w:val="22"/>
                <w:lang w:val="lt-LT" w:eastAsia="en-US" w:bidi="ar-SA"/>
              </w:rPr>
              <w:t>Teorinė ir metodinė peržiūra. Įvertinama Vadovo struktūra, temos, terminologija ir taikymo sritis, naudojamų teorinių modelių tinkamumas ir pritaikomumas bei pateikiamos rekomendacijos.</w:t>
            </w:r>
          </w:p>
        </w:tc>
        <w:tc>
          <w:tcPr>
            <w:tcW w:w="325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2"/>
                <w:szCs w:val="22"/>
                <w:lang w:val="lt-LT" w:eastAsia="en-US" w:bidi="ar-SA"/>
              </w:rPr>
              <w:t>Atliktas ekspertinis Vadovo įvertinimas, pateikiamos rekomendacijos</w:t>
            </w:r>
          </w:p>
        </w:tc>
      </w:tr>
      <w:tr>
        <w:trPr>
          <w:trHeight w:val="300" w:hRule="atLeast"/>
        </w:trPr>
        <w:tc>
          <w:tcPr>
            <w:tcW w:w="709" w:type="dxa"/>
            <w:gridSpan w:val="3"/>
            <w:tcBorders>
              <w:top w:val="single" w:sz="8" w:space="0" w:color="000000"/>
              <w:left w:val="single" w:sz="8" w:space="0" w:color="000000"/>
              <w:bottom w:val="single" w:sz="8" w:space="0" w:color="000000"/>
              <w:right w:val="single" w:sz="8" w:space="0" w:color="000000"/>
            </w:tcBorders>
          </w:tcPr>
          <w:p>
            <w:pPr>
              <w:pStyle w:val="ListParagraph"/>
              <w:widowControl/>
              <w:spacing w:before="0" w:after="0"/>
              <w:ind w:left="0"/>
              <w:contextualSpacing/>
              <w:jc w:val="both"/>
              <w:rPr>
                <w:rFonts w:ascii="Times New Roman" w:hAnsi="Times New Roman" w:eastAsia="Calibri" w:cs="Times New Roman"/>
                <w:sz w:val="22"/>
                <w:szCs w:val="22"/>
              </w:rPr>
            </w:pPr>
            <w:r>
              <w:rPr>
                <w:rFonts w:eastAsia="Calibri" w:cs="Times New Roman" w:ascii="Times New Roman" w:hAnsi="Times New Roman"/>
                <w:kern w:val="2"/>
                <w:sz w:val="22"/>
                <w:szCs w:val="22"/>
                <w:lang w:val="lt-LT" w:bidi="ar-SA"/>
              </w:rPr>
              <w:t xml:space="preserve">2.2. </w:t>
            </w:r>
          </w:p>
        </w:tc>
        <w:tc>
          <w:tcPr>
            <w:tcW w:w="5677" w:type="dxa"/>
            <w:tcBorders>
              <w:top w:val="single" w:sz="8" w:space="0" w:color="000000"/>
              <w:left w:val="single" w:sz="8" w:space="0" w:color="000000"/>
              <w:bottom w:val="single" w:sz="8" w:space="0" w:color="000000"/>
              <w:right w:val="single" w:sz="8" w:space="0" w:color="000000"/>
            </w:tcBorders>
          </w:tcPr>
          <w:p>
            <w:pPr>
              <w:pStyle w:val="Normal"/>
              <w:widowControl/>
              <w:spacing w:lineRule="auto" w:line="252" w:before="0" w:after="0"/>
              <w:jc w:val="both"/>
              <w:rPr>
                <w:kern w:val="2"/>
                <w:sz w:val="24"/>
                <w:szCs w:val="24"/>
                <w:lang w:val="lt-LT" w:eastAsia="en-US" w:bidi="ar-SA"/>
              </w:rPr>
            </w:pPr>
            <w:r>
              <w:rPr>
                <w:kern w:val="2"/>
                <w:sz w:val="22"/>
                <w:szCs w:val="22"/>
                <w:lang w:val="lt-LT" w:eastAsia="en-US" w:bidi="ar-SA"/>
              </w:rPr>
              <w:t>Mokymų gairių parengimas. Parengti efektyvias ir įtraukias mokymų turinio gaires specialistams, dirbsiantiems su pasilinksminimo vietų darbuotojais.</w:t>
            </w:r>
          </w:p>
          <w:p>
            <w:pPr>
              <w:pStyle w:val="Normal"/>
              <w:widowControl/>
              <w:spacing w:before="0" w:after="0"/>
              <w:jc w:val="both"/>
              <w:rPr>
                <w:kern w:val="2"/>
                <w:sz w:val="24"/>
                <w:szCs w:val="24"/>
                <w:lang w:val="lt-LT" w:eastAsia="en-US" w:bidi="ar-SA"/>
              </w:rPr>
            </w:pPr>
            <w:r>
              <w:rPr>
                <w:b/>
                <w:bCs/>
                <w:kern w:val="2"/>
                <w:sz w:val="22"/>
                <w:szCs w:val="22"/>
                <w:lang w:val="lt-LT" w:eastAsia="en-US" w:bidi="ar-SA"/>
              </w:rPr>
              <w:t xml:space="preserve"> </w:t>
            </w:r>
          </w:p>
        </w:tc>
        <w:tc>
          <w:tcPr>
            <w:tcW w:w="325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2"/>
                <w:szCs w:val="22"/>
                <w:lang w:val="lt-LT" w:eastAsia="en-US" w:bidi="ar-SA"/>
              </w:rPr>
              <w:t>Parengtos mokymų turinio gairės, kurių pagrindu vėliau bus rengiama mokymų medžiaga.</w:t>
            </w:r>
          </w:p>
        </w:tc>
      </w:tr>
      <w:tr>
        <w:trPr>
          <w:trHeight w:val="300" w:hRule="atLeast"/>
        </w:trPr>
        <w:tc>
          <w:tcPr>
            <w:tcW w:w="709" w:type="dxa"/>
            <w:gridSpan w:val="3"/>
            <w:tcBorders>
              <w:top w:val="single" w:sz="8" w:space="0" w:color="000000"/>
              <w:left w:val="single" w:sz="8" w:space="0" w:color="000000"/>
              <w:bottom w:val="single" w:sz="8" w:space="0" w:color="000000"/>
              <w:right w:val="single" w:sz="8" w:space="0" w:color="000000"/>
            </w:tcBorders>
          </w:tcPr>
          <w:p>
            <w:pPr>
              <w:pStyle w:val="ListParagraph"/>
              <w:widowControl/>
              <w:spacing w:before="0" w:after="0"/>
              <w:ind w:hanging="360" w:left="360"/>
              <w:contextualSpacing/>
              <w:jc w:val="both"/>
              <w:rPr>
                <w:rFonts w:ascii="Times New Roman" w:hAnsi="Times New Roman" w:eastAsia="Calibri" w:cs="Times New Roman"/>
                <w:sz w:val="22"/>
                <w:szCs w:val="22"/>
              </w:rPr>
            </w:pPr>
            <w:r>
              <w:rPr>
                <w:rFonts w:eastAsia="Calibri" w:cs="Times New Roman" w:ascii="Times New Roman" w:hAnsi="Times New Roman"/>
                <w:kern w:val="2"/>
                <w:sz w:val="22"/>
                <w:szCs w:val="22"/>
                <w:lang w:val="lt-LT" w:bidi="ar-SA"/>
              </w:rPr>
              <w:t xml:space="preserve">2.3. </w:t>
            </w:r>
          </w:p>
        </w:tc>
        <w:tc>
          <w:tcPr>
            <w:tcW w:w="567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2"/>
                <w:szCs w:val="22"/>
                <w:lang w:val="lt-LT" w:eastAsia="en-US" w:bidi="ar-SA"/>
              </w:rPr>
              <w:t>Veiksmų plano parengimas. Remiantis pateiktomis rekomendacijomis ir gairėmis, parengti veiksmų planą, padėsiantį efektyviai taikyti numatytą metodą Lietuvoje.</w:t>
            </w:r>
          </w:p>
        </w:tc>
        <w:tc>
          <w:tcPr>
            <w:tcW w:w="325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2"/>
                <w:szCs w:val="22"/>
                <w:lang w:val="lt-LT" w:eastAsia="en-US" w:bidi="ar-SA"/>
              </w:rPr>
              <w:t>Parengtas veiksmų planas.</w:t>
            </w:r>
          </w:p>
        </w:tc>
      </w:tr>
      <w:tr>
        <w:trPr>
          <w:trHeight w:val="300" w:hRule="atLeast"/>
        </w:trPr>
        <w:tc>
          <w:tcPr>
            <w:tcW w:w="709" w:type="dxa"/>
            <w:gridSpan w:val="3"/>
            <w:tcBorders>
              <w:top w:val="single" w:sz="8" w:space="0" w:color="000000"/>
              <w:left w:val="single" w:sz="8" w:space="0" w:color="000000"/>
              <w:bottom w:val="single" w:sz="8" w:space="0" w:color="000000"/>
              <w:right w:val="single" w:sz="8" w:space="0" w:color="000000"/>
            </w:tcBorders>
          </w:tcPr>
          <w:p>
            <w:pPr>
              <w:pStyle w:val="ListParagraph"/>
              <w:widowControl/>
              <w:spacing w:before="0" w:after="0"/>
              <w:ind w:hanging="360" w:left="360"/>
              <w:contextualSpacing/>
              <w:jc w:val="both"/>
              <w:rPr>
                <w:rFonts w:ascii="Times New Roman" w:hAnsi="Times New Roman" w:eastAsia="Calibri" w:cs="Times New Roman"/>
                <w:sz w:val="22"/>
                <w:szCs w:val="22"/>
              </w:rPr>
            </w:pPr>
            <w:r>
              <w:rPr>
                <w:rFonts w:eastAsia="Calibri" w:cs="Times New Roman" w:ascii="Times New Roman" w:hAnsi="Times New Roman"/>
                <w:kern w:val="2"/>
                <w:sz w:val="22"/>
                <w:szCs w:val="22"/>
                <w:lang w:val="lt-LT" w:bidi="ar-SA"/>
              </w:rPr>
              <w:t xml:space="preserve">2.4. </w:t>
            </w:r>
          </w:p>
        </w:tc>
        <w:tc>
          <w:tcPr>
            <w:tcW w:w="5677"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jc w:val="both"/>
              <w:rPr>
                <w:kern w:val="2"/>
                <w:sz w:val="24"/>
                <w:szCs w:val="24"/>
                <w:lang w:val="lt-LT" w:eastAsia="en-US" w:bidi="ar-SA"/>
              </w:rPr>
            </w:pPr>
            <w:r>
              <w:rPr>
                <w:kern w:val="2"/>
                <w:sz w:val="22"/>
                <w:szCs w:val="22"/>
                <w:lang w:val="lt-LT" w:eastAsia="en-US" w:bidi="ar-SA"/>
              </w:rPr>
              <w:t>Galutinių dokumentų (rekomendacijų, gairių ir veiksmų plano) pristatymas užsakovui.</w:t>
            </w:r>
          </w:p>
          <w:p>
            <w:pPr>
              <w:pStyle w:val="Normal"/>
              <w:widowControl/>
              <w:spacing w:before="0" w:after="0"/>
              <w:jc w:val="both"/>
              <w:rPr>
                <w:kern w:val="2"/>
                <w:sz w:val="24"/>
                <w:szCs w:val="24"/>
                <w:lang w:val="lt-LT" w:eastAsia="en-US" w:bidi="ar-SA"/>
              </w:rPr>
            </w:pPr>
            <w:r>
              <w:rPr>
                <w:b/>
                <w:bCs/>
                <w:kern w:val="2"/>
                <w:sz w:val="22"/>
                <w:szCs w:val="22"/>
                <w:lang w:val="lt-LT" w:eastAsia="en-US" w:bidi="ar-SA"/>
              </w:rPr>
              <w:t xml:space="preserve"> </w:t>
            </w:r>
          </w:p>
        </w:tc>
        <w:tc>
          <w:tcPr>
            <w:tcW w:w="3253" w:type="dxa"/>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86"/>
              <w:jc w:val="both"/>
              <w:rPr>
                <w:kern w:val="2"/>
                <w:sz w:val="24"/>
                <w:szCs w:val="24"/>
                <w:lang w:val="lt-LT" w:eastAsia="en-US" w:bidi="ar-SA"/>
              </w:rPr>
            </w:pPr>
            <w:r>
              <w:rPr>
                <w:b/>
                <w:bCs/>
                <w:kern w:val="2"/>
                <w:sz w:val="22"/>
                <w:szCs w:val="22"/>
                <w:lang w:val="lt-LT" w:eastAsia="en-US" w:bidi="ar-SA"/>
              </w:rPr>
              <w:t xml:space="preserve"> </w:t>
            </w:r>
          </w:p>
        </w:tc>
      </w:tr>
      <w:tr>
        <w:trPr>
          <w:trHeight w:val="300" w:hRule="atLeast"/>
        </w:trPr>
        <w:tc>
          <w:tcPr>
            <w:tcW w:w="9" w:type="dxa"/>
            <w:tcBorders>
              <w:top w:val="nil"/>
              <w:left w:val="nil"/>
              <w:bottom w:val="nil"/>
              <w:right w:val="nil"/>
            </w:tcBorders>
          </w:tcPr>
          <w:p>
            <w:pPr>
              <w:pStyle w:val="Normal"/>
              <w:widowControl/>
              <w:spacing w:before="0" w:after="0"/>
              <w:ind w:left="720"/>
              <w:jc w:val="both"/>
              <w:rPr>
                <w:b/>
                <w:bCs/>
                <w:sz w:val="22"/>
                <w:szCs w:val="22"/>
              </w:rPr>
            </w:pPr>
            <w:r>
              <w:rPr>
                <w:kern w:val="2"/>
                <w:sz w:val="24"/>
                <w:szCs w:val="24"/>
                <w:lang w:val="lt-LT" w:eastAsia="en-US" w:bidi="ar-SA"/>
              </w:rPr>
            </w:r>
          </w:p>
        </w:tc>
        <w:tc>
          <w:tcPr>
            <w:tcW w:w="9630" w:type="dxa"/>
            <w:gridSpan w:val="4"/>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720"/>
              <w:jc w:val="both"/>
              <w:rPr>
                <w:kern w:val="2"/>
                <w:sz w:val="24"/>
                <w:szCs w:val="24"/>
                <w:lang w:val="lt-LT" w:eastAsia="en-US" w:bidi="ar-SA"/>
              </w:rPr>
            </w:pPr>
            <w:r>
              <w:rPr>
                <w:b/>
                <w:bCs/>
                <w:kern w:val="2"/>
                <w:sz w:val="22"/>
                <w:szCs w:val="22"/>
                <w:lang w:val="lt-LT" w:eastAsia="en-US" w:bidi="ar-SA"/>
              </w:rPr>
              <w:t>3. PIRKIMO OBJEKTO APIMTYS IR REIKALAVIMAI</w:t>
            </w:r>
          </w:p>
        </w:tc>
      </w:tr>
      <w:tr>
        <w:trPr>
          <w:trHeight w:val="255" w:hRule="atLeast"/>
        </w:trPr>
        <w:tc>
          <w:tcPr>
            <w:tcW w:w="9" w:type="dxa"/>
            <w:tcBorders>
              <w:top w:val="nil"/>
              <w:left w:val="nil"/>
              <w:bottom w:val="nil"/>
              <w:right w:val="nil"/>
            </w:tcBorders>
          </w:tcPr>
          <w:p>
            <w:pPr>
              <w:pStyle w:val="Normal"/>
              <w:widowControl/>
              <w:tabs>
                <w:tab w:val="left" w:pos="720" w:leader="none"/>
              </w:tabs>
              <w:spacing w:before="0" w:after="0"/>
              <w:ind w:right="9"/>
              <w:jc w:val="both"/>
              <w:rPr>
                <w:sz w:val="22"/>
                <w:szCs w:val="22"/>
              </w:rPr>
            </w:pPr>
            <w:r>
              <w:rPr>
                <w:kern w:val="2"/>
                <w:sz w:val="24"/>
                <w:szCs w:val="24"/>
                <w:lang w:val="lt-LT" w:eastAsia="en-US" w:bidi="ar-SA"/>
              </w:rPr>
            </w:r>
          </w:p>
        </w:tc>
        <w:tc>
          <w:tcPr>
            <w:tcW w:w="9630" w:type="dxa"/>
            <w:gridSpan w:val="4"/>
            <w:tcBorders>
              <w:top w:val="single" w:sz="8" w:space="0" w:color="000000"/>
              <w:left w:val="single" w:sz="8" w:space="0" w:color="000000"/>
              <w:bottom w:val="single" w:sz="8" w:space="0" w:color="000000"/>
              <w:right w:val="single" w:sz="8" w:space="0" w:color="000000"/>
            </w:tcBorders>
          </w:tcPr>
          <w:p>
            <w:pPr>
              <w:pStyle w:val="Normal"/>
              <w:widowControl/>
              <w:tabs>
                <w:tab w:val="left" w:pos="720" w:leader="none"/>
              </w:tabs>
              <w:spacing w:before="0" w:after="0"/>
              <w:ind w:right="9"/>
              <w:jc w:val="both"/>
              <w:rPr>
                <w:kern w:val="2"/>
                <w:sz w:val="24"/>
                <w:szCs w:val="24"/>
                <w:lang w:val="lt-LT" w:eastAsia="en-US" w:bidi="ar-SA"/>
              </w:rPr>
            </w:pPr>
            <w:r>
              <w:rPr>
                <w:kern w:val="2"/>
                <w:sz w:val="22"/>
                <w:szCs w:val="22"/>
                <w:lang w:val="lt-LT" w:eastAsia="en-US" w:bidi="ar-SA"/>
              </w:rPr>
              <w:t>3.1. Paslaugos teikėjas privalo pateikti visus galutinius dokumentus redaguojamu formatu – Microsoft Word (DOCX). Tai apima visų paslaugos vykdymo etapų rezultatus: parengtas rekomendacijas, mokymų turinio gaires, veiksmų planą bei visus kitus su paslauga susijusius dokumentus.</w:t>
            </w:r>
          </w:p>
          <w:p>
            <w:pPr>
              <w:pStyle w:val="Normal"/>
              <w:tabs>
                <w:tab w:val="left" w:pos="720" w:leader="none"/>
              </w:tabs>
              <w:ind w:right="9"/>
              <w:jc w:val="both"/>
              <w:rPr/>
            </w:pPr>
            <w:r>
              <w:rPr>
                <w:sz w:val="22"/>
                <w:szCs w:val="22"/>
              </w:rPr>
              <w:t xml:space="preserve">3.2. Paslaugų teikėjas teikia paslaugų perdavimo-priėmimo aktą per Sutartyje numatytą laikotarpį. </w:t>
            </w:r>
          </w:p>
          <w:p>
            <w:pPr>
              <w:pStyle w:val="Normal"/>
              <w:tabs>
                <w:tab w:val="left" w:pos="720" w:leader="none"/>
              </w:tabs>
              <w:ind w:right="9"/>
              <w:jc w:val="both"/>
              <w:rPr/>
            </w:pPr>
            <w:r>
              <w:rPr>
                <w:sz w:val="22"/>
                <w:szCs w:val="22"/>
              </w:rPr>
              <w:t>3.3. Tuo atveju, jei bus reikalingi papildomi pataisymai, Paslaugos teikėjas įsipareigoja juos atlikti ir pateikti per 10 kalendorinių dienų nuo gauto grįžtamojo ryšio.</w:t>
            </w:r>
          </w:p>
        </w:tc>
      </w:tr>
      <w:tr>
        <w:trPr>
          <w:trHeight w:val="300" w:hRule="atLeast"/>
        </w:trPr>
        <w:tc>
          <w:tcPr>
            <w:tcW w:w="9" w:type="dxa"/>
            <w:tcBorders>
              <w:top w:val="nil"/>
              <w:left w:val="nil"/>
              <w:bottom w:val="nil"/>
              <w:right w:val="nil"/>
            </w:tcBorders>
          </w:tcPr>
          <w:p>
            <w:pPr>
              <w:pStyle w:val="Normal"/>
              <w:widowControl/>
              <w:spacing w:before="0" w:after="0"/>
              <w:ind w:left="1146"/>
              <w:jc w:val="both"/>
              <w:rPr>
                <w:b/>
                <w:bCs/>
                <w:sz w:val="22"/>
                <w:szCs w:val="22"/>
              </w:rPr>
            </w:pPr>
            <w:r>
              <w:rPr>
                <w:kern w:val="2"/>
                <w:sz w:val="24"/>
                <w:szCs w:val="24"/>
                <w:lang w:val="lt-LT" w:eastAsia="en-US" w:bidi="ar-SA"/>
              </w:rPr>
            </w:r>
          </w:p>
        </w:tc>
        <w:tc>
          <w:tcPr>
            <w:tcW w:w="9630" w:type="dxa"/>
            <w:gridSpan w:val="4"/>
            <w:tcBorders>
              <w:top w:val="single" w:sz="8" w:space="0" w:color="000000"/>
              <w:left w:val="single" w:sz="8" w:space="0" w:color="000000"/>
              <w:bottom w:val="single" w:sz="8" w:space="0" w:color="000000"/>
              <w:right w:val="single" w:sz="8" w:space="0" w:color="000000"/>
            </w:tcBorders>
          </w:tcPr>
          <w:p>
            <w:pPr>
              <w:pStyle w:val="Normal"/>
              <w:widowControl/>
              <w:spacing w:before="0" w:after="0"/>
              <w:ind w:left="1146"/>
              <w:jc w:val="both"/>
              <w:rPr>
                <w:kern w:val="2"/>
                <w:sz w:val="24"/>
                <w:szCs w:val="24"/>
                <w:lang w:val="lt-LT" w:eastAsia="en-US" w:bidi="ar-SA"/>
              </w:rPr>
            </w:pPr>
            <w:r>
              <w:rPr>
                <w:b/>
                <w:bCs/>
                <w:kern w:val="2"/>
                <w:sz w:val="22"/>
                <w:szCs w:val="22"/>
                <w:lang w:val="lt-LT" w:eastAsia="en-US" w:bidi="ar-SA"/>
              </w:rPr>
              <w:t>4. PASLAUGŲ VYKDYMO TVARKA IR TERMINAI</w:t>
            </w:r>
          </w:p>
        </w:tc>
      </w:tr>
      <w:tr>
        <w:trPr>
          <w:trHeight w:val="300" w:hRule="atLeast"/>
        </w:trPr>
        <w:tc>
          <w:tcPr>
            <w:tcW w:w="9" w:type="dxa"/>
            <w:tcBorders>
              <w:top w:val="nil"/>
              <w:left w:val="nil"/>
              <w:bottom w:val="nil"/>
              <w:right w:val="nil"/>
            </w:tcBorders>
          </w:tcPr>
          <w:p>
            <w:pPr>
              <w:pStyle w:val="Normal"/>
              <w:widowControl/>
              <w:tabs>
                <w:tab w:val="clear" w:pos="720"/>
                <w:tab w:val="left" w:pos="733" w:leader="none"/>
              </w:tabs>
              <w:spacing w:before="0" w:after="0"/>
              <w:jc w:val="both"/>
              <w:rPr>
                <w:b/>
                <w:bCs/>
                <w:sz w:val="22"/>
                <w:szCs w:val="22"/>
              </w:rPr>
            </w:pPr>
            <w:r>
              <w:rPr>
                <w:kern w:val="2"/>
                <w:sz w:val="24"/>
                <w:szCs w:val="24"/>
                <w:lang w:val="lt-LT" w:eastAsia="en-US" w:bidi="ar-SA"/>
              </w:rPr>
            </w:r>
          </w:p>
        </w:tc>
        <w:tc>
          <w:tcPr>
            <w:tcW w:w="9630" w:type="dxa"/>
            <w:gridSpan w:val="4"/>
            <w:tcBorders>
              <w:top w:val="single" w:sz="8" w:space="0" w:color="000000"/>
              <w:left w:val="single" w:sz="8" w:space="0" w:color="000000"/>
              <w:bottom w:val="single" w:sz="8" w:space="0" w:color="000000"/>
              <w:right w:val="single" w:sz="8" w:space="0" w:color="000000"/>
            </w:tcBorders>
          </w:tcPr>
          <w:p>
            <w:pPr>
              <w:pStyle w:val="Normal"/>
              <w:widowControl/>
              <w:tabs>
                <w:tab w:val="clear" w:pos="720"/>
                <w:tab w:val="left" w:pos="733" w:leader="none"/>
              </w:tabs>
              <w:spacing w:before="0" w:after="0"/>
              <w:jc w:val="both"/>
              <w:rPr>
                <w:kern w:val="2"/>
                <w:sz w:val="24"/>
                <w:szCs w:val="24"/>
                <w:lang w:val="lt-LT" w:eastAsia="en-US" w:bidi="ar-SA"/>
              </w:rPr>
            </w:pPr>
            <w:r>
              <w:rPr>
                <w:b/>
                <w:bCs/>
                <w:kern w:val="2"/>
                <w:sz w:val="22"/>
                <w:szCs w:val="22"/>
                <w:lang w:val="lt-LT" w:eastAsia="en-US" w:bidi="ar-SA"/>
              </w:rPr>
              <w:t>4.1.</w:t>
            </w:r>
            <w:r>
              <w:rPr>
                <w:kern w:val="2"/>
                <w:sz w:val="22"/>
                <w:szCs w:val="22"/>
                <w:lang w:val="lt-LT" w:eastAsia="en-US" w:bidi="ar-SA"/>
              </w:rPr>
              <w:t xml:space="preserve"> Paslaugų teikimo terminas – 30 (trisdešimt) darbo dienų nuo Sutarties sudarymo dienos.</w:t>
            </w:r>
          </w:p>
          <w:p>
            <w:pPr>
              <w:pStyle w:val="Normal"/>
              <w:tabs>
                <w:tab w:val="clear" w:pos="720"/>
                <w:tab w:val="left" w:pos="733" w:leader="none"/>
              </w:tabs>
              <w:jc w:val="both"/>
              <w:rPr/>
            </w:pPr>
            <w:r>
              <w:rPr>
                <w:b/>
                <w:bCs/>
                <w:sz w:val="22"/>
                <w:szCs w:val="22"/>
              </w:rPr>
              <w:t>4.2.</w:t>
            </w:r>
            <w:r>
              <w:rPr>
                <w:sz w:val="22"/>
                <w:szCs w:val="22"/>
              </w:rPr>
              <w:t xml:space="preserve"> </w:t>
            </w:r>
            <w:r>
              <w:rPr>
                <w:sz w:val="22"/>
                <w:szCs w:val="22"/>
                <w:lang w:val="en-US"/>
              </w:rPr>
              <w:t xml:space="preserve">Paslaugų teikėjas ne vėliau kaip per </w:t>
            </w:r>
            <w:r>
              <w:rPr>
                <w:sz w:val="22"/>
                <w:szCs w:val="22"/>
                <w:lang w:val="en-US"/>
              </w:rPr>
              <w:t>5</w:t>
            </w:r>
            <w:r>
              <w:rPr>
                <w:sz w:val="22"/>
                <w:szCs w:val="22"/>
                <w:lang w:val="en-US"/>
              </w:rPr>
              <w:t xml:space="preserve"> (</w:t>
            </w:r>
            <w:r>
              <w:rPr>
                <w:sz w:val="22"/>
                <w:szCs w:val="22"/>
                <w:lang w:val="en-US"/>
              </w:rPr>
              <w:t>penkias</w:t>
            </w:r>
            <w:r>
              <w:rPr>
                <w:sz w:val="22"/>
                <w:szCs w:val="22"/>
                <w:lang w:val="en-US"/>
              </w:rPr>
              <w:t>) kalendorin</w:t>
            </w:r>
            <w:r>
              <w:rPr>
                <w:sz w:val="22"/>
                <w:szCs w:val="22"/>
                <w:lang w:val="en-US"/>
              </w:rPr>
              <w:t>es</w:t>
            </w:r>
            <w:r>
              <w:rPr>
                <w:sz w:val="22"/>
                <w:szCs w:val="22"/>
                <w:lang w:val="en-US"/>
              </w:rPr>
              <w:t xml:space="preserve"> dien</w:t>
            </w:r>
            <w:r>
              <w:rPr>
                <w:sz w:val="22"/>
                <w:szCs w:val="22"/>
                <w:lang w:val="en-US"/>
              </w:rPr>
              <w:t>as</w:t>
            </w:r>
            <w:r>
              <w:rPr>
                <w:sz w:val="22"/>
                <w:szCs w:val="22"/>
                <w:lang w:val="en-US"/>
              </w:rPr>
              <w:t xml:space="preserve"> nuo Sutarties įsigaliojimo dienos privalo parengti išsamų darbų atlikimo planą ir jį suderinti su Perkančiąja organizacija, o visi sprendimai, susiję su paslaugos vykdymu (metodai, turinys, dokumentų struktūra ir kt.), turi būti derinami su Perkančiąja organizacija.</w:t>
            </w:r>
          </w:p>
          <w:p>
            <w:pPr>
              <w:pStyle w:val="Normal"/>
              <w:tabs>
                <w:tab w:val="clear" w:pos="720"/>
                <w:tab w:val="left" w:pos="733" w:leader="none"/>
              </w:tabs>
              <w:jc w:val="both"/>
              <w:rPr/>
            </w:pPr>
            <w:r>
              <w:rPr>
                <w:b/>
                <w:bCs/>
                <w:sz w:val="22"/>
                <w:szCs w:val="22"/>
              </w:rPr>
              <w:t>4.5.</w:t>
            </w:r>
            <w:r>
              <w:rPr>
                <w:sz w:val="22"/>
                <w:szCs w:val="22"/>
              </w:rPr>
              <w:t xml:space="preserve"> Paslaugų teikėjas privalo užtikrinti, kad visi galutiniai paslaugos rezultatai (įskaitant rekomendacijas, gaires, veiksmų planą ir kitus susijusius dokumentus) būtų pateikti redaguojamu formatu – </w:t>
            </w:r>
            <w:r>
              <w:rPr>
                <w:b/>
                <w:bCs/>
                <w:sz w:val="22"/>
                <w:szCs w:val="22"/>
              </w:rPr>
              <w:t>Microsoft Word (DOCX)</w:t>
            </w:r>
            <w:r>
              <w:rPr>
                <w:sz w:val="22"/>
                <w:szCs w:val="22"/>
              </w:rPr>
              <w:t>. Dokumentai turi būti parengti aiškiai, nuosekliai, tinkamai suformatuoti.</w:t>
            </w:r>
          </w:p>
        </w:tc>
      </w:tr>
      <w:tr>
        <w:trPr>
          <w:trHeight w:val="300" w:hRule="atLeast"/>
        </w:trPr>
        <w:tc>
          <w:tcPr>
            <w:tcW w:w="9" w:type="dxa"/>
            <w:tcBorders>
              <w:top w:val="nil"/>
              <w:left w:val="nil"/>
              <w:bottom w:val="nil"/>
              <w:right w:val="nil"/>
            </w:tcBorders>
          </w:tcPr>
          <w:p>
            <w:pPr>
              <w:pStyle w:val="Normal"/>
              <w:widowControl/>
              <w:spacing w:before="0" w:after="0"/>
              <w:jc w:val="left"/>
              <w:rPr>
                <w:kern w:val="2"/>
                <w:sz w:val="24"/>
                <w:szCs w:val="24"/>
                <w:lang w:val="lt-LT" w:eastAsia="en-US" w:bidi="ar-SA"/>
              </w:rPr>
            </w:pPr>
            <w:r>
              <w:rPr>
                <w:kern w:val="2"/>
                <w:sz w:val="24"/>
                <w:szCs w:val="24"/>
                <w:lang w:val="lt-LT" w:eastAsia="en-US" w:bidi="ar-SA"/>
              </w:rPr>
            </w:r>
          </w:p>
        </w:tc>
        <w:tc>
          <w:tcPr>
            <w:tcW w:w="236" w:type="dxa"/>
            <w:tcBorders>
              <w:top w:val="single" w:sz="8" w:space="0" w:color="000000"/>
              <w:left w:val="nil"/>
              <w:bottom w:val="nil"/>
              <w:right w:val="nil"/>
            </w:tcBorders>
            <w:vAlign w:val="center"/>
          </w:tcPr>
          <w:p>
            <w:pPr>
              <w:pStyle w:val="Normal"/>
              <w:widowControl/>
              <w:spacing w:before="0" w:after="0"/>
              <w:jc w:val="left"/>
              <w:rPr>
                <w:kern w:val="2"/>
                <w:sz w:val="24"/>
                <w:szCs w:val="24"/>
                <w:lang w:val="lt-LT" w:eastAsia="en-US" w:bidi="ar-SA"/>
              </w:rPr>
            </w:pPr>
            <w:r>
              <w:rPr>
                <w:kern w:val="2"/>
                <w:sz w:val="24"/>
                <w:szCs w:val="24"/>
                <w:lang w:val="lt-LT" w:eastAsia="en-US" w:bidi="ar-SA"/>
              </w:rPr>
            </w:r>
          </w:p>
        </w:tc>
        <w:tc>
          <w:tcPr>
            <w:tcW w:w="464" w:type="dxa"/>
            <w:tcBorders>
              <w:top w:val="nil"/>
              <w:left w:val="nil"/>
              <w:bottom w:val="nil"/>
              <w:right w:val="nil"/>
            </w:tcBorders>
            <w:vAlign w:val="center"/>
          </w:tcPr>
          <w:p>
            <w:pPr>
              <w:pStyle w:val="Normal"/>
              <w:widowControl/>
              <w:spacing w:before="0" w:after="0"/>
              <w:jc w:val="left"/>
              <w:rPr>
                <w:kern w:val="2"/>
                <w:sz w:val="24"/>
                <w:szCs w:val="24"/>
                <w:lang w:val="lt-LT" w:eastAsia="en-US" w:bidi="ar-SA"/>
              </w:rPr>
            </w:pPr>
            <w:r>
              <w:rPr>
                <w:kern w:val="2"/>
                <w:sz w:val="24"/>
                <w:szCs w:val="24"/>
                <w:lang w:val="lt-LT" w:eastAsia="en-US" w:bidi="ar-SA"/>
              </w:rPr>
            </w:r>
          </w:p>
        </w:tc>
        <w:tc>
          <w:tcPr>
            <w:tcW w:w="5677" w:type="dxa"/>
            <w:tcBorders>
              <w:top w:val="nil"/>
              <w:left w:val="nil"/>
              <w:bottom w:val="nil"/>
              <w:right w:val="nil"/>
            </w:tcBorders>
            <w:vAlign w:val="center"/>
          </w:tcPr>
          <w:p>
            <w:pPr>
              <w:pStyle w:val="Normal"/>
              <w:widowControl/>
              <w:spacing w:before="0" w:after="0"/>
              <w:jc w:val="left"/>
              <w:rPr>
                <w:kern w:val="2"/>
                <w:sz w:val="24"/>
                <w:szCs w:val="24"/>
                <w:lang w:val="lt-LT" w:eastAsia="en-US" w:bidi="ar-SA"/>
              </w:rPr>
            </w:pPr>
            <w:r>
              <w:rPr>
                <w:kern w:val="2"/>
                <w:sz w:val="24"/>
                <w:szCs w:val="24"/>
                <w:lang w:val="lt-LT" w:eastAsia="en-US" w:bidi="ar-SA"/>
              </w:rPr>
            </w:r>
          </w:p>
        </w:tc>
        <w:tc>
          <w:tcPr>
            <w:tcW w:w="3253" w:type="dxa"/>
            <w:tcBorders>
              <w:top w:val="nil"/>
              <w:left w:val="nil"/>
              <w:bottom w:val="nil"/>
              <w:right w:val="nil"/>
            </w:tcBorders>
            <w:vAlign w:val="center"/>
          </w:tcPr>
          <w:p>
            <w:pPr>
              <w:pStyle w:val="Normal"/>
              <w:widowControl/>
              <w:spacing w:before="0" w:after="0"/>
              <w:jc w:val="left"/>
              <w:rPr>
                <w:kern w:val="2"/>
                <w:sz w:val="24"/>
                <w:szCs w:val="24"/>
                <w:lang w:val="lt-LT" w:eastAsia="en-US" w:bidi="ar-SA"/>
              </w:rPr>
            </w:pPr>
            <w:r>
              <w:rPr>
                <w:kern w:val="2"/>
                <w:sz w:val="24"/>
                <w:szCs w:val="24"/>
                <w:lang w:val="lt-LT" w:eastAsia="en-US" w:bidi="ar-SA"/>
              </w:rPr>
            </w:r>
          </w:p>
        </w:tc>
      </w:tr>
    </w:tbl>
    <w:p>
      <w:pPr>
        <w:pStyle w:val="Normal"/>
        <w:widowControl/>
        <w:bidi w:val="0"/>
        <w:spacing w:before="0" w:after="0"/>
        <w:jc w:val="left"/>
        <w:rPr>
          <w:sz w:val="22"/>
          <w:szCs w:val="22"/>
        </w:rPr>
      </w:pPr>
      <w:r>
        <w:rPr/>
      </w:r>
    </w:p>
    <w:p>
      <w:pPr>
        <w:pStyle w:val="Normal"/>
        <w:rPr>
          <w:sz w:val="22"/>
          <w:szCs w:val="22"/>
        </w:rPr>
      </w:pPr>
      <w:r>
        <w:rPr>
          <w:sz w:val="22"/>
          <w:szCs w:val="22"/>
        </w:rPr>
      </w:r>
    </w:p>
    <w:sectPr>
      <w:footerReference w:type="default" r:id="rId2"/>
      <w:type w:val="nextPage"/>
      <w:pgSz w:w="11906" w:h="16838"/>
      <w:pgMar w:left="1701" w:right="567"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spacing w:lineRule="auto" w:line="276"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ac89159"/>
    <w:pPr>
      <w:widowControl/>
      <w:bidi w:val="0"/>
      <w:spacing w:before="0" w:after="0"/>
      <w:jc w:val="left"/>
    </w:pPr>
    <w:rPr>
      <w:rFonts w:ascii="Times New Roman" w:hAnsi="Times New Roman" w:eastAsia="Times New Roman" w:cs="Times New Roman"/>
      <w:color w:val="auto"/>
      <w:kern w:val="2"/>
      <w:sz w:val="24"/>
      <w:szCs w:val="24"/>
      <w:lang w:val="lt-LT" w:eastAsia="en-US" w:bidi="ar-SA"/>
      <w14:ligatures w14:val="standardContextual"/>
    </w:rPr>
  </w:style>
  <w:style w:type="paragraph" w:styleId="Heading1">
    <w:name w:val="Heading 1"/>
    <w:basedOn w:val="Normal"/>
    <w:next w:val="Normal"/>
    <w:link w:val="Antrat1Diagrama"/>
    <w:uiPriority w:val="9"/>
    <w:qFormat/>
    <w:rsid w:val="4ac89159"/>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Antrat2Diagrama"/>
    <w:uiPriority w:val="9"/>
    <w:unhideWhenUsed/>
    <w:qFormat/>
    <w:rsid w:val="4ac89159"/>
    <w:pPr>
      <w:keepNext w:val="true"/>
      <w:keepLines/>
      <w:spacing w:before="120" w:after="0"/>
      <w:outlineLvl w:val="1"/>
    </w:pPr>
    <w:rPr>
      <w:rFonts w:ascii="Calibri Light" w:hAnsi="Calibri Light" w:eastAsia="" w:cs="" w:asciiTheme="majorHAnsi" w:cstheme="majorBidi" w:eastAsiaTheme="majorEastAsia" w:hAnsiTheme="majorHAnsi"/>
      <w:color w:themeColor="accent2" w:val="ED7D31"/>
      <w:sz w:val="36"/>
      <w:szCs w:val="36"/>
      <w:lang w:eastAsia="lt-LT"/>
    </w:rPr>
  </w:style>
  <w:style w:type="paragraph" w:styleId="Heading3">
    <w:name w:val="Heading 3"/>
    <w:basedOn w:val="Normal"/>
    <w:next w:val="Normal"/>
    <w:link w:val="Antrat3Diagrama"/>
    <w:uiPriority w:val="9"/>
    <w:semiHidden/>
    <w:unhideWhenUsed/>
    <w:qFormat/>
    <w:rsid w:val="4ac89159"/>
    <w:pPr>
      <w:keepNext w:val="true"/>
      <w:keepLines/>
      <w:spacing w:before="40" w:after="0"/>
      <w:outlineLvl w:val="2"/>
    </w:pPr>
    <w:rPr>
      <w:rFonts w:ascii="Calibri Light" w:hAnsi="Calibri Light" w:eastAsia="" w:cs="" w:asciiTheme="majorHAnsi" w:cstheme="majorBidi" w:eastAsiaTheme="majorEastAsia" w:hAnsiTheme="majorHAnsi"/>
      <w:color w:val="1F3763"/>
    </w:rPr>
  </w:style>
  <w:style w:type="character" w:styleId="DefaultParagraphFont" w:default="1">
    <w:name w:val="Default Paragraph Font"/>
    <w:uiPriority w:val="1"/>
    <w:unhideWhenUsed/>
    <w:qFormat/>
    <w:rPr/>
  </w:style>
  <w:style w:type="character" w:styleId="Antrat2Diagrama" w:customStyle="1">
    <w:name w:val="Antraštė 2 Diagrama"/>
    <w:basedOn w:val="DefaultParagraphFont"/>
    <w:link w:val="Heading2"/>
    <w:uiPriority w:val="9"/>
    <w:qFormat/>
    <w:rsid w:val="000b6a7e"/>
    <w:rPr>
      <w:rFonts w:ascii="Calibri Light" w:hAnsi="Calibri Light" w:eastAsia="" w:cs="" w:asciiTheme="majorHAnsi" w:cstheme="majorBidi" w:eastAsiaTheme="majorEastAsia" w:hAnsiTheme="majorHAnsi"/>
      <w:color w:themeColor="accent2" w:val="ED7D31"/>
      <w:kern w:val="0"/>
      <w:sz w:val="36"/>
      <w:szCs w:val="36"/>
      <w:lang w:val="lt-LT" w:eastAsia="lt-LT"/>
      <w14:ligatures w14:val="none"/>
    </w:rPr>
  </w:style>
  <w:style w:type="character" w:styleId="PoratDiagrama" w:customStyle="1">
    <w:name w:val="Poraštė Diagrama"/>
    <w:basedOn w:val="DefaultParagraphFont"/>
    <w:link w:val="Footer"/>
    <w:uiPriority w:val="99"/>
    <w:qFormat/>
    <w:rsid w:val="000b6a7e"/>
    <w:rPr>
      <w:rFonts w:eastAsia="" w:eastAsiaTheme="minorEastAsia"/>
      <w:kern w:val="0"/>
      <w:sz w:val="21"/>
      <w:szCs w:val="21"/>
      <w:lang w:val="lt-LT" w:eastAsia="lt-LT"/>
      <w14:ligatures w14:val="none"/>
    </w:rPr>
  </w:style>
  <w:style w:type="character" w:styleId="Hyperlink">
    <w:name w:val="Hyperlink"/>
    <w:basedOn w:val="DefaultParagraphFont"/>
    <w:uiPriority w:val="99"/>
    <w:unhideWhenUsed/>
    <w:rsid w:val="009f57c6"/>
    <w:rPr>
      <w:color w:themeColor="hyperlink" w:val="0563C1"/>
      <w:u w:val="single"/>
    </w:rPr>
  </w:style>
  <w:style w:type="character" w:styleId="UnresolvedMention">
    <w:name w:val="Unresolved Mention"/>
    <w:basedOn w:val="DefaultParagraphFont"/>
    <w:uiPriority w:val="99"/>
    <w:semiHidden/>
    <w:unhideWhenUsed/>
    <w:qFormat/>
    <w:rsid w:val="009f57c6"/>
    <w:rPr>
      <w:color w:val="605E5C"/>
      <w:shd w:fill="E1DFDD" w:val="clear"/>
    </w:rPr>
  </w:style>
  <w:style w:type="character" w:styleId="Apple-converted-space" w:customStyle="1">
    <w:name w:val="apple-converted-space"/>
    <w:basedOn w:val="DefaultParagraphFont"/>
    <w:qFormat/>
    <w:rsid w:val="002b026e"/>
    <w:rPr/>
  </w:style>
  <w:style w:type="character" w:styleId="AntratsDiagrama" w:customStyle="1">
    <w:name w:val="Antraštės Diagrama"/>
    <w:basedOn w:val="DefaultParagraphFont"/>
    <w:link w:val="Header"/>
    <w:uiPriority w:val="99"/>
    <w:qFormat/>
    <w:rsid w:val="00ef2207"/>
    <w:rPr>
      <w:rFonts w:eastAsia="" w:eastAsiaTheme="minorEastAsia"/>
      <w:kern w:val="0"/>
      <w:sz w:val="21"/>
      <w:szCs w:val="21"/>
      <w:lang w:val="lt-LT" w:eastAsia="lt-LT"/>
      <w14:ligatures w14:val="none"/>
    </w:rPr>
  </w:style>
  <w:style w:type="character" w:styleId="Annotationreference">
    <w:name w:val="annotation reference"/>
    <w:basedOn w:val="DefaultParagraphFont"/>
    <w:uiPriority w:val="99"/>
    <w:semiHidden/>
    <w:unhideWhenUsed/>
    <w:qFormat/>
    <w:rsid w:val="00f006ff"/>
    <w:rPr>
      <w:sz w:val="16"/>
      <w:szCs w:val="16"/>
    </w:rPr>
  </w:style>
  <w:style w:type="character" w:styleId="KomentarotekstasDiagrama" w:customStyle="1">
    <w:name w:val="Komentaro tekstas Diagrama"/>
    <w:basedOn w:val="DefaultParagraphFont"/>
    <w:link w:val="Annotationtext"/>
    <w:uiPriority w:val="99"/>
    <w:qFormat/>
    <w:rsid w:val="00f006ff"/>
    <w:rPr>
      <w:rFonts w:eastAsia="" w:eastAsiaTheme="minorEastAsia"/>
      <w:kern w:val="0"/>
      <w:sz w:val="20"/>
      <w:szCs w:val="20"/>
      <w:lang w:val="lt-LT" w:eastAsia="lt-LT"/>
      <w14:ligatures w14:val="none"/>
    </w:rPr>
  </w:style>
  <w:style w:type="character" w:styleId="KomentarotemaDiagrama" w:customStyle="1">
    <w:name w:val="Komentaro tema Diagrama"/>
    <w:basedOn w:val="KomentarotekstasDiagrama"/>
    <w:link w:val="Annotationsubject"/>
    <w:uiPriority w:val="99"/>
    <w:semiHidden/>
    <w:qFormat/>
    <w:rsid w:val="00f006ff"/>
    <w:rPr>
      <w:rFonts w:eastAsia="" w:eastAsiaTheme="minorEastAsia"/>
      <w:b/>
      <w:bCs/>
      <w:kern w:val="0"/>
      <w:sz w:val="20"/>
      <w:szCs w:val="20"/>
      <w:lang w:val="lt-LT" w:eastAsia="lt-LT"/>
      <w14:ligatures w14:val="none"/>
    </w:rPr>
  </w:style>
  <w:style w:type="character" w:styleId="Strong">
    <w:name w:val="Strong"/>
    <w:basedOn w:val="DefaultParagraphFont"/>
    <w:uiPriority w:val="22"/>
    <w:qFormat/>
    <w:rsid w:val="00c70304"/>
    <w:rPr>
      <w:b/>
      <w:bCs/>
    </w:rPr>
  </w:style>
  <w:style w:type="character" w:styleId="Sr-only" w:customStyle="1">
    <w:name w:val="sr-only"/>
    <w:basedOn w:val="DefaultParagraphFont"/>
    <w:qFormat/>
    <w:rsid w:val="00c70304"/>
    <w:rPr/>
  </w:style>
  <w:style w:type="character" w:styleId="Z-FormospradiaDiagrama" w:customStyle="1">
    <w:name w:val="Z-Formos pradžia Diagrama"/>
    <w:basedOn w:val="DefaultParagraphFont"/>
    <w:link w:val="HTMLTopofForm"/>
    <w:uiPriority w:val="99"/>
    <w:semiHidden/>
    <w:qFormat/>
    <w:rsid w:val="00c70304"/>
    <w:rPr>
      <w:rFonts w:ascii="Arial" w:hAnsi="Arial" w:eastAsia="Times New Roman" w:cs="Arial"/>
      <w:vanish/>
      <w:kern w:val="0"/>
      <w:sz w:val="16"/>
      <w:szCs w:val="16"/>
      <w:lang w:val="en-US"/>
      <w14:ligatures w14:val="none"/>
    </w:rPr>
  </w:style>
  <w:style w:type="character" w:styleId="Z-FormospabaigaDiagrama" w:customStyle="1">
    <w:name w:val="Z-Formos pabaiga Diagrama"/>
    <w:basedOn w:val="DefaultParagraphFont"/>
    <w:link w:val="HTMLBottomofForm"/>
    <w:uiPriority w:val="99"/>
    <w:semiHidden/>
    <w:qFormat/>
    <w:rsid w:val="00c70304"/>
    <w:rPr>
      <w:rFonts w:ascii="Arial" w:hAnsi="Arial" w:eastAsia="Times New Roman" w:cs="Arial"/>
      <w:vanish/>
      <w:kern w:val="0"/>
      <w:sz w:val="16"/>
      <w:szCs w:val="16"/>
      <w:lang w:val="en-US"/>
      <w14:ligatures w14:val="none"/>
    </w:rPr>
  </w:style>
  <w:style w:type="character" w:styleId="Antrat3Diagrama" w:customStyle="1">
    <w:name w:val="Antraštė 3 Diagrama"/>
    <w:basedOn w:val="DefaultParagraphFont"/>
    <w:link w:val="Heading3"/>
    <w:uiPriority w:val="9"/>
    <w:semiHidden/>
    <w:qFormat/>
    <w:rsid w:val="00f92102"/>
    <w:rPr>
      <w:rFonts w:ascii="Calibri Light" w:hAnsi="Calibri Light" w:eastAsia="" w:cs="" w:asciiTheme="majorHAnsi" w:cstheme="majorBidi" w:eastAsiaTheme="majorEastAsia" w:hAnsiTheme="majorHAnsi"/>
      <w:color w:themeColor="accent1" w:themeShade="7f" w:val="1F3763"/>
      <w:kern w:val="0"/>
      <w:lang w:val="en-US"/>
      <w14:ligatures w14:val="none"/>
    </w:rPr>
  </w:style>
  <w:style w:type="character" w:styleId="Antrat1Diagrama" w:customStyle="1">
    <w:name w:val="Antraštė 1 Diagrama"/>
    <w:basedOn w:val="DefaultParagraphFont"/>
    <w:link w:val="Heading1"/>
    <w:uiPriority w:val="9"/>
    <w:qFormat/>
    <w:rsid w:val="001d607d"/>
    <w:rPr>
      <w:rFonts w:ascii="Calibri Light" w:hAnsi="Calibri Light" w:eastAsia="" w:cs="" w:asciiTheme="majorHAnsi" w:cstheme="majorBidi" w:eastAsiaTheme="majorEastAsia" w:hAnsiTheme="majorHAnsi"/>
      <w:color w:themeColor="accent1" w:themeShade="bf" w:val="2F5496"/>
      <w:kern w:val="0"/>
      <w:sz w:val="32"/>
      <w:szCs w:val="32"/>
      <w:lang w:val="en-US"/>
      <w14:ligatures w14:val="none"/>
    </w:rPr>
  </w:style>
  <w:style w:type="character" w:styleId="PuslapioinaostekstasDiagrama" w:customStyle="1">
    <w:name w:val="Puslapio išnašos tekstas Diagrama"/>
    <w:basedOn w:val="DefaultParagraphFont"/>
    <w:link w:val="FootnoteText"/>
    <w:uiPriority w:val="99"/>
    <w:semiHidden/>
    <w:qFormat/>
    <w:rsid w:val="0029512b"/>
    <w:rPr>
      <w:rFonts w:ascii="Times New Roman" w:hAnsi="Times New Roman" w:eastAsia="Times New Roman" w:cs="Times New Roman"/>
      <w:kern w:val="0"/>
      <w:sz w:val="20"/>
      <w:szCs w:val="20"/>
      <w:lang w:val="en-US"/>
      <w14:ligatures w14:val="none"/>
    </w:rPr>
  </w:style>
  <w:style w:type="character" w:styleId="FootnoteCharacters">
    <w:name w:val="Footnote Characters"/>
    <w:uiPriority w:val="99"/>
    <w:semiHidden/>
    <w:unhideWhenUsed/>
    <w:qFormat/>
    <w:rsid w:val="0029512b"/>
    <w:rPr>
      <w:vertAlign w:val="superscript"/>
    </w:rPr>
  </w:style>
  <w:style w:type="character" w:styleId="FootnoteReference">
    <w:name w:val="Footnote Reference"/>
    <w:rPr>
      <w:vertAlign w:val="superscrip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PoratDiagrama"/>
    <w:uiPriority w:val="99"/>
    <w:unhideWhenUsed/>
    <w:rsid w:val="4ac89159"/>
    <w:pPr>
      <w:tabs>
        <w:tab w:val="clear" w:pos="720"/>
        <w:tab w:val="center" w:pos="4513" w:leader="none"/>
        <w:tab w:val="right" w:pos="9026" w:leader="none"/>
      </w:tabs>
      <w:spacing w:lineRule="auto" w:line="276" w:before="0" w:after="160"/>
    </w:pPr>
    <w:rPr>
      <w:rFonts w:ascii="Calibri" w:hAnsi="Calibri" w:eastAsia="" w:cs="" w:asciiTheme="minorHAnsi" w:cstheme="minorBidi" w:eastAsiaTheme="minorEastAsia" w:hAnsiTheme="minorHAnsi"/>
      <w:sz w:val="21"/>
      <w:szCs w:val="21"/>
      <w:lang w:eastAsia="lt-LT"/>
    </w:rPr>
  </w:style>
  <w:style w:type="paragraph" w:styleId="ListParagraph">
    <w:name w:val="List Paragraph"/>
    <w:basedOn w:val="Normal"/>
    <w:uiPriority w:val="34"/>
    <w:qFormat/>
    <w:rsid w:val="4ac89159"/>
    <w:pPr>
      <w:spacing w:lineRule="auto" w:line="276" w:before="0" w:after="160"/>
      <w:ind w:left="720"/>
      <w:contextualSpacing/>
    </w:pPr>
    <w:rPr>
      <w:rFonts w:ascii="Calibri" w:hAnsi="Calibri" w:eastAsia="" w:cs="" w:asciiTheme="minorHAnsi" w:cstheme="minorBidi" w:eastAsiaTheme="minorEastAsia" w:hAnsiTheme="minorHAnsi"/>
      <w:sz w:val="21"/>
      <w:szCs w:val="21"/>
      <w:lang w:eastAsia="lt-LT"/>
    </w:rPr>
  </w:style>
  <w:style w:type="paragraph" w:styleId="NormalWeb">
    <w:name w:val="Normal (Web)"/>
    <w:basedOn w:val="Normal"/>
    <w:uiPriority w:val="99"/>
    <w:unhideWhenUsed/>
    <w:qFormat/>
    <w:rsid w:val="4ac89159"/>
    <w:pPr>
      <w:spacing w:beforeAutospacing="1" w:afterAutospacing="1"/>
    </w:pPr>
    <w:rPr>
      <w:lang w:eastAsia="en-GB"/>
    </w:rPr>
  </w:style>
  <w:style w:type="paragraph" w:styleId="Header">
    <w:name w:val="Header"/>
    <w:basedOn w:val="Normal"/>
    <w:link w:val="AntratsDiagrama"/>
    <w:uiPriority w:val="99"/>
    <w:unhideWhenUsed/>
    <w:rsid w:val="4ac89159"/>
    <w:pPr>
      <w:tabs>
        <w:tab w:val="clear" w:pos="720"/>
        <w:tab w:val="center" w:pos="4513" w:leader="none"/>
        <w:tab w:val="right" w:pos="9026" w:leader="none"/>
      </w:tabs>
    </w:pPr>
    <w:rPr>
      <w:rFonts w:ascii="Calibri" w:hAnsi="Calibri" w:eastAsia="" w:cs="" w:asciiTheme="minorHAnsi" w:cstheme="minorBidi" w:eastAsiaTheme="minorEastAsia" w:hAnsiTheme="minorHAnsi"/>
      <w:sz w:val="21"/>
      <w:szCs w:val="21"/>
      <w:lang w:eastAsia="lt-LT"/>
    </w:rPr>
  </w:style>
  <w:style w:type="paragraph" w:styleId="Annotationtext">
    <w:name w:val="annotation text"/>
    <w:basedOn w:val="Normal"/>
    <w:link w:val="KomentarotekstasDiagrama"/>
    <w:uiPriority w:val="99"/>
    <w:unhideWhenUsed/>
    <w:qFormat/>
    <w:rsid w:val="4ac89159"/>
    <w:pPr>
      <w:spacing w:before="0" w:after="160"/>
    </w:pPr>
    <w:rPr>
      <w:rFonts w:ascii="Calibri" w:hAnsi="Calibri" w:eastAsia="" w:cs="" w:asciiTheme="minorHAnsi" w:cstheme="minorBidi" w:eastAsiaTheme="minorEastAsia" w:hAnsiTheme="minorHAnsi"/>
      <w:sz w:val="20"/>
      <w:szCs w:val="20"/>
      <w:lang w:eastAsia="lt-LT"/>
    </w:rPr>
  </w:style>
  <w:style w:type="paragraph" w:styleId="Annotationsubject">
    <w:name w:val="annotation subject"/>
    <w:basedOn w:val="Annotationtext"/>
    <w:next w:val="Annotationtext"/>
    <w:link w:val="KomentarotemaDiagrama"/>
    <w:uiPriority w:val="99"/>
    <w:semiHidden/>
    <w:unhideWhenUsed/>
    <w:qFormat/>
    <w:rsid w:val="00f006ff"/>
    <w:pPr/>
    <w:rPr>
      <w:b/>
      <w:bCs/>
    </w:rPr>
  </w:style>
  <w:style w:type="paragraph" w:styleId="Revision">
    <w:name w:val="Revision"/>
    <w:uiPriority w:val="99"/>
    <w:semiHidden/>
    <w:qFormat/>
    <w:rsid w:val="000b7cb6"/>
    <w:pPr>
      <w:widowControl/>
      <w:bidi w:val="0"/>
      <w:spacing w:before="0" w:after="0"/>
      <w:jc w:val="left"/>
    </w:pPr>
    <w:rPr>
      <w:rFonts w:eastAsia="" w:eastAsiaTheme="minorEastAsia" w:ascii="Calibri" w:hAnsi="Calibri" w:cs=""/>
      <w:color w:val="auto"/>
      <w:kern w:val="0"/>
      <w:sz w:val="21"/>
      <w:szCs w:val="21"/>
      <w:lang w:eastAsia="lt-LT" w:val="lt-LT" w:bidi="ar-SA"/>
      <w14:ligatures w14:val="none"/>
    </w:rPr>
  </w:style>
  <w:style w:type="paragraph" w:styleId="HTMLTopofForm">
    <w:name w:val="HTML Top of Form"/>
    <w:basedOn w:val="Normal"/>
    <w:next w:val="Normal"/>
    <w:link w:val="Z-FormospradiaDiagrama"/>
    <w:uiPriority w:val="99"/>
    <w:semiHidden/>
    <w:unhideWhenUsed/>
    <w:qFormat/>
    <w:rsid w:val="4ac89159"/>
    <w:pPr>
      <w:pBdr>
        <w:bottom w:val="single" w:sz="6" w:space="1" w:color="000000"/>
      </w:pBdr>
      <w:jc w:val="center"/>
    </w:pPr>
    <w:rPr>
      <w:rFonts w:ascii="Arial" w:hAnsi="Arial" w:cs="Arial"/>
      <w:sz w:val="16"/>
      <w:szCs w:val="16"/>
    </w:rPr>
  </w:style>
  <w:style w:type="paragraph" w:styleId="HTMLBottomofForm">
    <w:name w:val="HTML Bottom of Form"/>
    <w:basedOn w:val="Normal"/>
    <w:next w:val="Normal"/>
    <w:link w:val="Z-FormospabaigaDiagrama"/>
    <w:uiPriority w:val="99"/>
    <w:semiHidden/>
    <w:unhideWhenUsed/>
    <w:qFormat/>
    <w:rsid w:val="4ac89159"/>
    <w:pPr>
      <w:pBdr>
        <w:top w:val="single" w:sz="6" w:space="1" w:color="000000"/>
      </w:pBdr>
      <w:jc w:val="center"/>
    </w:pPr>
    <w:rPr>
      <w:rFonts w:ascii="Arial" w:hAnsi="Arial" w:cs="Arial"/>
      <w:sz w:val="16"/>
      <w:szCs w:val="16"/>
    </w:rPr>
  </w:style>
  <w:style w:type="paragraph" w:styleId="NoSpacing">
    <w:name w:val="No Spacing"/>
    <w:uiPriority w:val="1"/>
    <w:qFormat/>
    <w:rsid w:val="0029512b"/>
    <w:pPr>
      <w:widowControl/>
      <w:bidi w:val="0"/>
      <w:spacing w:before="0" w:after="0"/>
      <w:jc w:val="left"/>
    </w:pPr>
    <w:rPr>
      <w:rFonts w:ascii="Times New Roman" w:hAnsi="Times New Roman" w:eastAsia="Times New Roman" w:cs="Times New Roman"/>
      <w:color w:val="auto"/>
      <w:kern w:val="0"/>
      <w:sz w:val="24"/>
      <w:szCs w:val="24"/>
      <w:lang w:val="en-US" w:eastAsia="en-US" w:bidi="ar-SA"/>
      <w14:ligatures w14:val="none"/>
    </w:rPr>
  </w:style>
  <w:style w:type="paragraph" w:styleId="FootnoteText">
    <w:name w:val="Footnote Text"/>
    <w:basedOn w:val="Normal"/>
    <w:link w:val="PuslapioinaostekstasDiagrama"/>
    <w:uiPriority w:val="99"/>
    <w:semiHidden/>
    <w:unhideWhenUsed/>
    <w:rsid w:val="4ac89159"/>
    <w:pPr/>
    <w:rPr>
      <w:sz w:val="20"/>
      <w:szCs w:val="20"/>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Lentelstinklelis4">
    <w:name w:val="Lentelės tinklelis4"/>
    <w:basedOn w:val="prastojilentel"/>
    <w:uiPriority w:val="39"/>
    <w:rsid w:val="000b6a7e"/>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5">
    <w:name w:val="Lentelės tinklelis5"/>
    <w:basedOn w:val="prastojilentel"/>
    <w:uiPriority w:val="59"/>
    <w:rsid w:val="000b6a7e"/>
    <w:rPr>
      <w:lang w:val="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0b6a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fffe2c-c0f8-49d2-8dec-6f11642b36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189B348132024B82148FCA8B2B7D01" ma:contentTypeVersion="15" ma:contentTypeDescription="Create a new document." ma:contentTypeScope="" ma:versionID="5ede303286aa81b0fd3188ec3ec27241">
  <xsd:schema xmlns:xsd="http://www.w3.org/2001/XMLSchema" xmlns:xs="http://www.w3.org/2001/XMLSchema" xmlns:p="http://schemas.microsoft.com/office/2006/metadata/properties" xmlns:ns3="a7fffe2c-c0f8-49d2-8dec-6f11642b3650" xmlns:ns4="ffb263e6-20f5-4ce8-a304-a46da38424e8" targetNamespace="http://schemas.microsoft.com/office/2006/metadata/properties" ma:root="true" ma:fieldsID="194bffb99bce6084863c1c1897a0481a" ns3:_="" ns4:_="">
    <xsd:import namespace="a7fffe2c-c0f8-49d2-8dec-6f11642b3650"/>
    <xsd:import namespace="ffb263e6-20f5-4ce8-a304-a46da38424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ffe2c-c0f8-49d2-8dec-6f11642b3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263e6-20f5-4ce8-a304-a46da38424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7ED60-5CF0-44DC-B9C3-20CE02036A58}">
  <ds:schemaRefs>
    <ds:schemaRef ds:uri="http://schemas.microsoft.com/office/2006/metadata/properties"/>
    <ds:schemaRef ds:uri="http://schemas.microsoft.com/office/infopath/2007/PartnerControls"/>
    <ds:schemaRef ds:uri="a7fffe2c-c0f8-49d2-8dec-6f11642b3650"/>
  </ds:schemaRefs>
</ds:datastoreItem>
</file>

<file path=customXml/itemProps2.xml><?xml version="1.0" encoding="utf-8"?>
<ds:datastoreItem xmlns:ds="http://schemas.openxmlformats.org/officeDocument/2006/customXml" ds:itemID="{71D6C876-3504-433A-9A5C-2F8475E488AF}">
  <ds:schemaRefs>
    <ds:schemaRef ds:uri="http://schemas.openxmlformats.org/officeDocument/2006/bibliography"/>
  </ds:schemaRefs>
</ds:datastoreItem>
</file>

<file path=customXml/itemProps3.xml><?xml version="1.0" encoding="utf-8"?>
<ds:datastoreItem xmlns:ds="http://schemas.openxmlformats.org/officeDocument/2006/customXml" ds:itemID="{68AB878B-3A7E-4EC8-BE40-27F8DE0C3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ffe2c-c0f8-49d2-8dec-6f11642b3650"/>
    <ds:schemaRef ds:uri="ffb263e6-20f5-4ce8-a304-a46da3842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E5B59-5330-4270-8839-F519F4FD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LibreOffice/7.6.4.1$Windows_X86_64 LibreOffice_project/e19e193f88cd6c0525a17fb7a176ed8e6a3e2aa1</Application>
  <AppVersion>15.0000</AppVersion>
  <Pages>5</Pages>
  <Words>1641</Words>
  <Characters>12185</Characters>
  <CharactersWithSpaces>13710</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2025-07-11T09:38:00Z</dcterms:created>
  <dc:creator>Only Media</dc:creator>
  <dc:description/>
  <dc:language>en-US</dc:language>
  <cp:lastModifiedBy/>
  <dcterms:modified xsi:type="dcterms:W3CDTF">2025-07-22T16:04:08Z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0x010100D4189B348132024B82148FCA8B2B7D01</vt:lpwstr>
  </property>
</Properties>
</file>