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7A76" w14:textId="73B58578" w:rsidR="008E492E" w:rsidRPr="006F334F" w:rsidRDefault="005E6006" w:rsidP="00693245">
      <w:pPr>
        <w:spacing w:line="240" w:lineRule="auto"/>
        <w:jc w:val="right"/>
        <w:rPr>
          <w:rFonts w:ascii="Times New Roman" w:eastAsia="Calibri" w:hAnsi="Times New Roman" w:cs="Times New Roman"/>
        </w:rPr>
      </w:pPr>
      <w:r>
        <w:rPr>
          <w:rFonts w:ascii="Times New Roman" w:eastAsia="Calibri" w:hAnsi="Times New Roman" w:cs="Times New Roman"/>
        </w:rPr>
        <w:t>Projektas</w:t>
      </w:r>
    </w:p>
    <w:tbl>
      <w:tblPr>
        <w:tblpPr w:leftFromText="180" w:rightFromText="180" w:bottomFromText="16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675"/>
        <w:gridCol w:w="4353"/>
        <w:gridCol w:w="3122"/>
      </w:tblGrid>
      <w:tr w:rsidR="007E2342" w:rsidRPr="006F334F" w14:paraId="1691CC94" w14:textId="4991DE4A" w:rsidTr="00902CA8">
        <w:trPr>
          <w:trHeight w:val="841"/>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098B7B" w14:textId="542F92DD" w:rsidR="007E2342" w:rsidRPr="006F334F" w:rsidRDefault="007E2342" w:rsidP="007E2342">
            <w:pPr>
              <w:spacing w:line="240" w:lineRule="auto"/>
              <w:contextualSpacing/>
              <w:jc w:val="center"/>
              <w:rPr>
                <w:rFonts w:ascii="Times New Roman" w:eastAsia="Times New Roman" w:hAnsi="Times New Roman" w:cs="Times New Roman"/>
                <w:b/>
                <w:bCs/>
              </w:rPr>
            </w:pPr>
            <w:r w:rsidRPr="006F334F">
              <w:rPr>
                <w:rFonts w:ascii="Times New Roman" w:eastAsia="Times New Roman" w:hAnsi="Times New Roman" w:cs="Times New Roman"/>
                <w:b/>
                <w:bCs/>
              </w:rPr>
              <w:t>TARNYBINĖS STOTIES TECHNINĖ SPECIFIKACIJA</w:t>
            </w:r>
          </w:p>
        </w:tc>
      </w:tr>
      <w:tr w:rsidR="007E2342" w:rsidRPr="006F334F" w14:paraId="0653AFE2" w14:textId="1538DC48" w:rsidTr="007E2342">
        <w:trPr>
          <w:tblHeader/>
          <w:jc w:val="center"/>
        </w:trPr>
        <w:tc>
          <w:tcPr>
            <w:tcW w:w="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AD2DA7" w14:textId="77777777" w:rsidR="007E2342" w:rsidRPr="006F334F" w:rsidRDefault="007E2342" w:rsidP="007E2342">
            <w:pPr>
              <w:spacing w:after="0" w:line="240" w:lineRule="auto"/>
              <w:ind w:left="-113" w:right="-124"/>
              <w:contextualSpacing/>
              <w:jc w:val="center"/>
              <w:rPr>
                <w:rFonts w:ascii="Times New Roman" w:eastAsia="Times New Roman" w:hAnsi="Times New Roman" w:cs="Times New Roman"/>
                <w:b/>
                <w:bCs/>
              </w:rPr>
            </w:pPr>
            <w:r w:rsidRPr="006F334F">
              <w:rPr>
                <w:rFonts w:ascii="Times New Roman" w:eastAsia="Times New Roman" w:hAnsi="Times New Roman" w:cs="Times New Roman"/>
                <w:b/>
                <w:bCs/>
              </w:rPr>
              <w:t>Eil. Nr.</w:t>
            </w:r>
          </w:p>
        </w:tc>
        <w:tc>
          <w:tcPr>
            <w:tcW w:w="1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BD627F" w14:textId="77777777" w:rsidR="007E2342" w:rsidRPr="006F334F" w:rsidRDefault="007E2342" w:rsidP="007E2342">
            <w:pPr>
              <w:spacing w:line="240" w:lineRule="auto"/>
              <w:contextualSpacing/>
              <w:jc w:val="center"/>
              <w:rPr>
                <w:rFonts w:ascii="Times New Roman" w:eastAsia="Times New Roman" w:hAnsi="Times New Roman" w:cs="Times New Roman"/>
                <w:b/>
                <w:bCs/>
              </w:rPr>
            </w:pPr>
            <w:r w:rsidRPr="006F334F">
              <w:rPr>
                <w:rFonts w:ascii="Times New Roman" w:eastAsia="Times New Roman" w:hAnsi="Times New Roman" w:cs="Times New Roman"/>
                <w:b/>
                <w:bCs/>
              </w:rPr>
              <w:t>Parametrai</w:t>
            </w:r>
          </w:p>
        </w:tc>
        <w:tc>
          <w:tcPr>
            <w:tcW w:w="4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785B4F" w14:textId="77777777" w:rsidR="007E2342" w:rsidRPr="006F334F" w:rsidRDefault="007E2342" w:rsidP="007E2342">
            <w:pPr>
              <w:spacing w:line="240" w:lineRule="auto"/>
              <w:contextualSpacing/>
              <w:jc w:val="center"/>
              <w:rPr>
                <w:rFonts w:ascii="Times New Roman" w:eastAsia="Times New Roman" w:hAnsi="Times New Roman" w:cs="Times New Roman"/>
                <w:b/>
                <w:bCs/>
              </w:rPr>
            </w:pPr>
            <w:r w:rsidRPr="006F334F">
              <w:rPr>
                <w:rFonts w:ascii="Times New Roman" w:eastAsia="Times New Roman" w:hAnsi="Times New Roman" w:cs="Times New Roman"/>
                <w:b/>
                <w:bCs/>
              </w:rPr>
              <w:t>Minimalūs reikalavimai</w:t>
            </w:r>
          </w:p>
        </w:tc>
        <w:tc>
          <w:tcPr>
            <w:tcW w:w="3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76D87" w14:textId="5DF65497" w:rsidR="007E2342" w:rsidRPr="006F334F" w:rsidRDefault="005E6006" w:rsidP="007E2342">
            <w:pPr>
              <w:spacing w:line="240" w:lineRule="auto"/>
              <w:contextualSpacing/>
              <w:jc w:val="center"/>
              <w:rPr>
                <w:rFonts w:ascii="Times New Roman" w:eastAsia="Times New Roman" w:hAnsi="Times New Roman" w:cs="Times New Roman"/>
                <w:b/>
                <w:bCs/>
              </w:rPr>
            </w:pPr>
            <w:r>
              <w:rPr>
                <w:rFonts w:ascii="Times New Roman" w:eastAsia="Times New Roman" w:hAnsi="Times New Roman" w:cs="Times New Roman"/>
                <w:b/>
                <w:bCs/>
              </w:rPr>
              <w:t>Siūlomi pastebėjimai/korekcijos</w:t>
            </w:r>
          </w:p>
        </w:tc>
      </w:tr>
      <w:tr w:rsidR="007E2342" w:rsidRPr="006F334F" w14:paraId="39B4603E" w14:textId="37E1B6CD" w:rsidTr="007E2342">
        <w:trPr>
          <w:jc w:val="center"/>
        </w:trPr>
        <w:tc>
          <w:tcPr>
            <w:tcW w:w="478" w:type="dxa"/>
            <w:tcBorders>
              <w:top w:val="single" w:sz="4" w:space="0" w:color="auto"/>
              <w:left w:val="single" w:sz="4" w:space="0" w:color="auto"/>
              <w:bottom w:val="single" w:sz="4" w:space="0" w:color="auto"/>
              <w:right w:val="single" w:sz="4" w:space="0" w:color="auto"/>
            </w:tcBorders>
            <w:hideMark/>
          </w:tcPr>
          <w:p w14:paraId="538F1DD5" w14:textId="77777777" w:rsidR="007E2342" w:rsidRPr="006F334F" w:rsidRDefault="007E2342" w:rsidP="007E2342">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w:t>
            </w:r>
          </w:p>
        </w:tc>
        <w:tc>
          <w:tcPr>
            <w:tcW w:w="1675" w:type="dxa"/>
            <w:tcBorders>
              <w:top w:val="single" w:sz="4" w:space="0" w:color="auto"/>
              <w:left w:val="single" w:sz="4" w:space="0" w:color="auto"/>
              <w:bottom w:val="single" w:sz="4" w:space="0" w:color="auto"/>
              <w:right w:val="single" w:sz="4" w:space="0" w:color="auto"/>
            </w:tcBorders>
            <w:hideMark/>
          </w:tcPr>
          <w:p w14:paraId="34785F14" w14:textId="77777777" w:rsidR="007E2342" w:rsidRPr="006F334F" w:rsidRDefault="007E2342" w:rsidP="007E2342">
            <w:pPr>
              <w:spacing w:line="240" w:lineRule="auto"/>
              <w:contextualSpacing/>
              <w:rPr>
                <w:rFonts w:ascii="Times New Roman" w:eastAsia="Times New Roman" w:hAnsi="Times New Roman" w:cs="Times New Roman"/>
              </w:rPr>
            </w:pPr>
            <w:r w:rsidRPr="006F334F">
              <w:rPr>
                <w:rFonts w:ascii="Times New Roman" w:eastAsia="Times New Roman" w:hAnsi="Times New Roman" w:cs="Times New Roman"/>
              </w:rPr>
              <w:t>Gamintojas</w:t>
            </w:r>
          </w:p>
        </w:tc>
        <w:tc>
          <w:tcPr>
            <w:tcW w:w="4353" w:type="dxa"/>
            <w:tcBorders>
              <w:top w:val="single" w:sz="4" w:space="0" w:color="auto"/>
              <w:left w:val="single" w:sz="4" w:space="0" w:color="auto"/>
              <w:bottom w:val="single" w:sz="4" w:space="0" w:color="auto"/>
              <w:right w:val="single" w:sz="4" w:space="0" w:color="auto"/>
            </w:tcBorders>
            <w:hideMark/>
          </w:tcPr>
          <w:p w14:paraId="08E44EEC" w14:textId="77777777" w:rsidR="007E2342" w:rsidRPr="006F334F" w:rsidRDefault="007E2342" w:rsidP="007E2342">
            <w:pPr>
              <w:spacing w:line="240" w:lineRule="auto"/>
              <w:contextualSpacing/>
              <w:jc w:val="both"/>
              <w:rPr>
                <w:rFonts w:ascii="Times New Roman" w:eastAsia="Times New Roman" w:hAnsi="Times New Roman" w:cs="Times New Roman"/>
              </w:rPr>
            </w:pPr>
            <w:r w:rsidRPr="006F334F">
              <w:rPr>
                <w:rFonts w:ascii="Times New Roman" w:eastAsia="Times New Roman" w:hAnsi="Times New Roman" w:cs="Times New Roman"/>
              </w:rPr>
              <w:t>Nurodyti gamintoją.</w:t>
            </w:r>
          </w:p>
        </w:tc>
        <w:tc>
          <w:tcPr>
            <w:tcW w:w="3122" w:type="dxa"/>
            <w:tcBorders>
              <w:top w:val="single" w:sz="4" w:space="0" w:color="auto"/>
              <w:left w:val="single" w:sz="4" w:space="0" w:color="auto"/>
              <w:bottom w:val="single" w:sz="4" w:space="0" w:color="auto"/>
              <w:right w:val="single" w:sz="4" w:space="0" w:color="auto"/>
            </w:tcBorders>
          </w:tcPr>
          <w:p w14:paraId="692E9962" w14:textId="77777777" w:rsidR="007E2342" w:rsidRPr="006F334F" w:rsidRDefault="007E2342" w:rsidP="007E2342">
            <w:pPr>
              <w:spacing w:line="240" w:lineRule="auto"/>
              <w:contextualSpacing/>
              <w:jc w:val="both"/>
              <w:rPr>
                <w:rFonts w:ascii="Times New Roman" w:eastAsia="Times New Roman" w:hAnsi="Times New Roman" w:cs="Times New Roman"/>
              </w:rPr>
            </w:pPr>
          </w:p>
        </w:tc>
      </w:tr>
      <w:tr w:rsidR="007E2342" w:rsidRPr="006F334F" w14:paraId="54B8DBB2" w14:textId="3BBF264F" w:rsidTr="007E2342">
        <w:trPr>
          <w:jc w:val="center"/>
        </w:trPr>
        <w:tc>
          <w:tcPr>
            <w:tcW w:w="478" w:type="dxa"/>
            <w:tcBorders>
              <w:top w:val="single" w:sz="4" w:space="0" w:color="auto"/>
              <w:left w:val="single" w:sz="4" w:space="0" w:color="auto"/>
              <w:bottom w:val="single" w:sz="4" w:space="0" w:color="auto"/>
              <w:right w:val="single" w:sz="4" w:space="0" w:color="auto"/>
            </w:tcBorders>
            <w:hideMark/>
          </w:tcPr>
          <w:p w14:paraId="57DD0051" w14:textId="77777777" w:rsidR="007E2342" w:rsidRPr="006F334F" w:rsidRDefault="007E2342" w:rsidP="007E2342">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2.</w:t>
            </w:r>
          </w:p>
        </w:tc>
        <w:tc>
          <w:tcPr>
            <w:tcW w:w="1675" w:type="dxa"/>
            <w:tcBorders>
              <w:top w:val="single" w:sz="4" w:space="0" w:color="auto"/>
              <w:left w:val="single" w:sz="4" w:space="0" w:color="auto"/>
              <w:bottom w:val="single" w:sz="4" w:space="0" w:color="auto"/>
              <w:right w:val="single" w:sz="4" w:space="0" w:color="auto"/>
            </w:tcBorders>
            <w:hideMark/>
          </w:tcPr>
          <w:p w14:paraId="5461FC71" w14:textId="77777777" w:rsidR="007E2342" w:rsidRPr="006F334F" w:rsidRDefault="007E2342" w:rsidP="007E2342">
            <w:pPr>
              <w:spacing w:line="240" w:lineRule="auto"/>
              <w:contextualSpacing/>
              <w:rPr>
                <w:rFonts w:ascii="Times New Roman" w:eastAsia="Times New Roman" w:hAnsi="Times New Roman" w:cs="Times New Roman"/>
              </w:rPr>
            </w:pPr>
            <w:r w:rsidRPr="006F334F">
              <w:rPr>
                <w:rFonts w:ascii="Times New Roman" w:eastAsia="Times New Roman" w:hAnsi="Times New Roman" w:cs="Times New Roman"/>
              </w:rPr>
              <w:t>Produkto pavadinimas</w:t>
            </w:r>
          </w:p>
        </w:tc>
        <w:tc>
          <w:tcPr>
            <w:tcW w:w="4353" w:type="dxa"/>
            <w:tcBorders>
              <w:top w:val="single" w:sz="4" w:space="0" w:color="auto"/>
              <w:left w:val="single" w:sz="4" w:space="0" w:color="auto"/>
              <w:bottom w:val="single" w:sz="4" w:space="0" w:color="auto"/>
              <w:right w:val="single" w:sz="4" w:space="0" w:color="auto"/>
            </w:tcBorders>
            <w:hideMark/>
          </w:tcPr>
          <w:p w14:paraId="4E1E4CCC" w14:textId="77777777" w:rsidR="007E2342" w:rsidRPr="006F334F" w:rsidRDefault="007E2342" w:rsidP="007E2342">
            <w:pPr>
              <w:spacing w:line="240" w:lineRule="auto"/>
              <w:contextualSpacing/>
              <w:jc w:val="both"/>
              <w:rPr>
                <w:rFonts w:ascii="Times New Roman" w:eastAsia="Times New Roman" w:hAnsi="Times New Roman" w:cs="Times New Roman"/>
              </w:rPr>
            </w:pPr>
            <w:r w:rsidRPr="006F334F">
              <w:rPr>
                <w:rFonts w:ascii="Times New Roman" w:eastAsia="Times New Roman" w:hAnsi="Times New Roman" w:cs="Times New Roman"/>
              </w:rPr>
              <w:t>Nurodyti produkto pavadinimą, modelį.</w:t>
            </w:r>
          </w:p>
          <w:p w14:paraId="7B750E77" w14:textId="77777777" w:rsidR="007E2342" w:rsidRPr="006F334F" w:rsidRDefault="007E2342" w:rsidP="007E2342">
            <w:pPr>
              <w:spacing w:line="240" w:lineRule="auto"/>
              <w:contextualSpacing/>
              <w:jc w:val="both"/>
              <w:rPr>
                <w:rFonts w:ascii="Times New Roman" w:eastAsia="Times New Roman" w:hAnsi="Times New Roman" w:cs="Times New Roman"/>
              </w:rPr>
            </w:pPr>
            <w:r w:rsidRPr="006F334F">
              <w:rPr>
                <w:rFonts w:ascii="Times New Roman" w:eastAsia="Times New Roman" w:hAnsi="Times New Roman" w:cs="Times New Roman"/>
              </w:rPr>
              <w:t>Pateikti nuorodą į viešai prieinamą informaciją gamintojo interneto svetainėje, kurioje pateikiama informacija apie siūlomos prekės charakteristikas.</w:t>
            </w:r>
          </w:p>
        </w:tc>
        <w:tc>
          <w:tcPr>
            <w:tcW w:w="3122" w:type="dxa"/>
            <w:tcBorders>
              <w:top w:val="single" w:sz="4" w:space="0" w:color="auto"/>
              <w:left w:val="single" w:sz="4" w:space="0" w:color="auto"/>
              <w:bottom w:val="single" w:sz="4" w:space="0" w:color="auto"/>
              <w:right w:val="single" w:sz="4" w:space="0" w:color="auto"/>
            </w:tcBorders>
          </w:tcPr>
          <w:p w14:paraId="2F2D7925" w14:textId="77777777" w:rsidR="007E2342" w:rsidRPr="006F334F" w:rsidRDefault="007E2342" w:rsidP="007E2342">
            <w:pPr>
              <w:spacing w:line="240" w:lineRule="auto"/>
              <w:contextualSpacing/>
              <w:jc w:val="both"/>
              <w:rPr>
                <w:rFonts w:ascii="Times New Roman" w:eastAsia="Times New Roman" w:hAnsi="Times New Roman" w:cs="Times New Roman"/>
              </w:rPr>
            </w:pPr>
          </w:p>
        </w:tc>
      </w:tr>
      <w:tr w:rsidR="006F334F" w:rsidRPr="006F334F" w14:paraId="210878BF" w14:textId="7E8D4F1D"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52D12E3B"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3.</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3DE75CDC" w14:textId="1B51F13F"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GPU akseleratoriai</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1A0B051" w14:textId="3B9C8FCD" w:rsidR="006F334F" w:rsidRPr="006F334F" w:rsidRDefault="00155425" w:rsidP="006F334F">
            <w:pPr>
              <w:widowControl w:val="0"/>
              <w:spacing w:line="252" w:lineRule="auto"/>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Tarnybinė stotis</w:t>
            </w:r>
            <w:r w:rsidR="006F334F" w:rsidRPr="006F334F">
              <w:rPr>
                <w:rFonts w:ascii="Times New Roman" w:hAnsi="Times New Roman" w:cs="Times New Roman"/>
                <w:kern w:val="2"/>
                <w14:ligatures w14:val="standardContextual"/>
              </w:rPr>
              <w:t xml:space="preserve"> turi būti komplektuojamas su ne mažiau kaip keturiais grafiniais </w:t>
            </w:r>
            <w:proofErr w:type="spellStart"/>
            <w:r w:rsidR="006F334F" w:rsidRPr="006F334F">
              <w:rPr>
                <w:rFonts w:ascii="Times New Roman" w:hAnsi="Times New Roman" w:cs="Times New Roman"/>
                <w:kern w:val="2"/>
                <w14:ligatures w14:val="standardContextual"/>
              </w:rPr>
              <w:t>spartintuvais</w:t>
            </w:r>
            <w:proofErr w:type="spellEnd"/>
            <w:r w:rsidR="006F334F" w:rsidRPr="006F334F">
              <w:rPr>
                <w:rFonts w:ascii="Times New Roman" w:hAnsi="Times New Roman" w:cs="Times New Roman"/>
                <w:kern w:val="2"/>
                <w14:ligatures w14:val="standardContextual"/>
              </w:rPr>
              <w:t xml:space="preserve"> (akseleratoriais), optimizuotais dirbtiniam intelektui / mašininiam mokymui:</w:t>
            </w:r>
          </w:p>
          <w:p w14:paraId="7C98D044" w14:textId="6D188F79" w:rsidR="006F334F" w:rsidRPr="006F334F" w:rsidRDefault="006F334F" w:rsidP="006F334F">
            <w:pPr>
              <w:pStyle w:val="Sraopastraipa"/>
              <w:widowControl w:val="0"/>
              <w:numPr>
                <w:ilvl w:val="0"/>
                <w:numId w:val="18"/>
              </w:numPr>
              <w:tabs>
                <w:tab w:val="left" w:pos="312"/>
              </w:tabs>
              <w:suppressAutoHyphens/>
              <w:spacing w:line="252" w:lineRule="auto"/>
              <w:ind w:left="0" w:firstLine="66"/>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Akseleratorius privalo turėti ne mažiau kaip 140</w:t>
            </w:r>
            <w:r>
              <w:rPr>
                <w:rFonts w:ascii="Times New Roman" w:hAnsi="Times New Roman" w:cs="Times New Roman"/>
                <w:kern w:val="2"/>
                <w14:ligatures w14:val="standardContextual"/>
              </w:rPr>
              <w:t xml:space="preserve"> </w:t>
            </w:r>
            <w:r w:rsidRPr="006F334F">
              <w:rPr>
                <w:rFonts w:ascii="Times New Roman" w:hAnsi="Times New Roman" w:cs="Times New Roman"/>
                <w:kern w:val="2"/>
                <w14:ligatures w14:val="standardContextual"/>
              </w:rPr>
              <w:t xml:space="preserve">GB atminties, FP64 našumas ne mažiau nei 30 TFLOPS. Turi būti suderinama su MIG, DPX instrukcijomis. </w:t>
            </w:r>
          </w:p>
          <w:p w14:paraId="0D7AAD6D" w14:textId="77777777" w:rsidR="006F334F" w:rsidRPr="006F334F" w:rsidRDefault="006F334F" w:rsidP="006F334F">
            <w:pPr>
              <w:pStyle w:val="Sraopastraipa"/>
              <w:widowControl w:val="0"/>
              <w:numPr>
                <w:ilvl w:val="0"/>
                <w:numId w:val="18"/>
              </w:numPr>
              <w:tabs>
                <w:tab w:val="left" w:pos="312"/>
              </w:tabs>
              <w:suppressAutoHyphens/>
              <w:spacing w:line="252" w:lineRule="auto"/>
              <w:ind w:left="0" w:firstLine="66"/>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GPU akseleratoriai privalo būti apjungi į </w:t>
            </w:r>
            <w:proofErr w:type="spellStart"/>
            <w:r w:rsidRPr="006F334F">
              <w:rPr>
                <w:rFonts w:ascii="Times New Roman" w:hAnsi="Times New Roman" w:cs="Times New Roman"/>
                <w:kern w:val="2"/>
                <w14:ligatures w14:val="standardContextual"/>
              </w:rPr>
              <w:t>NVLink</w:t>
            </w:r>
            <w:proofErr w:type="spellEnd"/>
            <w:r w:rsidRPr="006F334F">
              <w:rPr>
                <w:rFonts w:ascii="Times New Roman" w:hAnsi="Times New Roman" w:cs="Times New Roman"/>
                <w:kern w:val="2"/>
                <w14:ligatures w14:val="standardContextual"/>
              </w:rPr>
              <w:t xml:space="preserve"> (arba lygiavertį) ne mažesniu kaip  900 GB/s greičiu. </w:t>
            </w:r>
          </w:p>
          <w:p w14:paraId="473D984C" w14:textId="51DDCBBC"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Privalo būti galimybė išplėsti grafinių </w:t>
            </w:r>
            <w:proofErr w:type="spellStart"/>
            <w:r w:rsidRPr="006F334F">
              <w:rPr>
                <w:rFonts w:ascii="Times New Roman" w:hAnsi="Times New Roman" w:cs="Times New Roman"/>
                <w:kern w:val="2"/>
                <w14:ligatures w14:val="standardContextual"/>
              </w:rPr>
              <w:t>spartintuvų</w:t>
            </w:r>
            <w:proofErr w:type="spellEnd"/>
            <w:r w:rsidRPr="006F334F">
              <w:rPr>
                <w:rFonts w:ascii="Times New Roman" w:hAnsi="Times New Roman" w:cs="Times New Roman"/>
                <w:kern w:val="2"/>
                <w14:ligatures w14:val="standardContextual"/>
              </w:rPr>
              <w:t xml:space="preserve"> skaičių iki 8 vnt. (Nenaudojant jokių papildomų išplėtimų ar keičiant esamos </w:t>
            </w:r>
            <w:r w:rsidR="00263272">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konfigūracijos).</w:t>
            </w:r>
          </w:p>
        </w:tc>
        <w:tc>
          <w:tcPr>
            <w:tcW w:w="3122" w:type="dxa"/>
            <w:tcBorders>
              <w:top w:val="single" w:sz="4" w:space="0" w:color="auto"/>
              <w:left w:val="single" w:sz="4" w:space="0" w:color="auto"/>
              <w:bottom w:val="single" w:sz="4" w:space="0" w:color="auto"/>
              <w:right w:val="single" w:sz="4" w:space="0" w:color="auto"/>
            </w:tcBorders>
          </w:tcPr>
          <w:p w14:paraId="0E21011A"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53027AD2" w14:textId="2333F5C6"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5D0D08C2"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4.</w:t>
            </w:r>
          </w:p>
        </w:tc>
        <w:tc>
          <w:tcPr>
            <w:tcW w:w="1675" w:type="dxa"/>
            <w:tcBorders>
              <w:top w:val="single" w:sz="4" w:space="0" w:color="000001"/>
              <w:left w:val="single" w:sz="4" w:space="0" w:color="000001"/>
              <w:bottom w:val="nil"/>
              <w:right w:val="nil"/>
            </w:tcBorders>
            <w:shd w:val="clear" w:color="auto" w:fill="FFFFFF" w:themeFill="background1"/>
          </w:tcPr>
          <w:p w14:paraId="5815DE5B" w14:textId="01389F55"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CPU</w:t>
            </w:r>
          </w:p>
        </w:tc>
        <w:tc>
          <w:tcPr>
            <w:tcW w:w="4353" w:type="dxa"/>
            <w:tcBorders>
              <w:top w:val="single" w:sz="4" w:space="0" w:color="000001"/>
              <w:left w:val="single" w:sz="4" w:space="0" w:color="000001"/>
              <w:bottom w:val="nil"/>
              <w:right w:val="single" w:sz="4" w:space="0" w:color="000001"/>
            </w:tcBorders>
            <w:shd w:val="clear" w:color="auto" w:fill="FFFFFF" w:themeFill="background1"/>
          </w:tcPr>
          <w:p w14:paraId="7445354D"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Privalo būti ne mažiau kaip 2 procesoriai (x86-64 tipo), bei privalo palaikyti 32 ir 64 bitų operacines sistemas ir taikomąsias programas. Ne mažiau kaip 64 fiziniai branduoliais kiekviename procesoriuje. Ne mažiau kaip 8 atminties kanalais viename procesoriuje. Procesorių dažnis ne mažesnis kaip 2.4 </w:t>
            </w:r>
            <w:proofErr w:type="spellStart"/>
            <w:r w:rsidRPr="006F334F">
              <w:rPr>
                <w:rFonts w:ascii="Times New Roman" w:hAnsi="Times New Roman" w:cs="Times New Roman"/>
                <w:kern w:val="2"/>
                <w14:ligatures w14:val="standardContextual"/>
              </w:rPr>
              <w:t>Ghz</w:t>
            </w:r>
            <w:proofErr w:type="spellEnd"/>
            <w:r w:rsidRPr="006F334F">
              <w:rPr>
                <w:rFonts w:ascii="Times New Roman" w:hAnsi="Times New Roman" w:cs="Times New Roman"/>
                <w:kern w:val="2"/>
                <w14:ligatures w14:val="standardContextual"/>
              </w:rPr>
              <w:t xml:space="preserve">, L3 atmintis ne mažiau negu 330 MB. Turi palaikyti AMX ir AVX instrukcijas. </w:t>
            </w:r>
          </w:p>
          <w:p w14:paraId="1E1AB85F"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Procesoriai privalo būti pradėti gaminti ne anksčiau kaip 2024 metais.</w:t>
            </w:r>
          </w:p>
          <w:p w14:paraId="021FDB06"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Siūlomų procesorių našumo parametrai privalo būti viešai publikuojami puslapyje </w:t>
            </w:r>
            <w:hyperlink r:id="rId8" w:history="1">
              <w:r w:rsidRPr="006F334F">
                <w:rPr>
                  <w:rStyle w:val="Hipersaitas"/>
                  <w:rFonts w:ascii="Times New Roman" w:hAnsi="Times New Roman" w:cs="Times New Roman"/>
                  <w:kern w:val="2"/>
                  <w14:ligatures w14:val="standardContextual"/>
                </w:rPr>
                <w:t>www.spec.org</w:t>
              </w:r>
            </w:hyperlink>
            <w:r w:rsidRPr="006F334F">
              <w:rPr>
                <w:rFonts w:ascii="Times New Roman" w:hAnsi="Times New Roman" w:cs="Times New Roman"/>
                <w:kern w:val="2"/>
                <w14:ligatures w14:val="standardContextual"/>
              </w:rPr>
              <w:t xml:space="preserve"> ir privalo būti pateikiamos rezultatų galiojančios nuorodos į internetinį puslapį. Procesorių testai turi būti atlikti siūlomo gamintojo siūlomame modelyje ir privalo atitikti procesorių bazinio našumo rodiklį. Matavimai privalo būti atlikti 2 procesorių sistemai ir būti ne mažesni nei:</w:t>
            </w:r>
          </w:p>
          <w:p w14:paraId="1B2225BC"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SPECrate2017_int_base = 1300</w:t>
            </w:r>
          </w:p>
          <w:p w14:paraId="080E6BC1"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proofErr w:type="spellStart"/>
            <w:r w:rsidRPr="006F334F">
              <w:rPr>
                <w:rFonts w:ascii="Times New Roman" w:hAnsi="Times New Roman" w:cs="Times New Roman"/>
                <w:kern w:val="2"/>
                <w14:ligatures w14:val="standardContextual"/>
              </w:rPr>
              <w:t>SPECrate_fp_base</w:t>
            </w:r>
            <w:proofErr w:type="spellEnd"/>
            <w:r w:rsidRPr="006F334F">
              <w:rPr>
                <w:rFonts w:ascii="Times New Roman" w:hAnsi="Times New Roman" w:cs="Times New Roman"/>
                <w:kern w:val="2"/>
                <w14:ligatures w14:val="standardContextual"/>
              </w:rPr>
              <w:t xml:space="preserve"> = 1440.</w:t>
            </w:r>
          </w:p>
          <w:p w14:paraId="5A0027C4" w14:textId="2C48760C"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lastRenderedPageBreak/>
              <w:t>Procesorių našumas negali būti dirbtinai padidintas.</w:t>
            </w:r>
          </w:p>
        </w:tc>
        <w:tc>
          <w:tcPr>
            <w:tcW w:w="3122" w:type="dxa"/>
            <w:tcBorders>
              <w:top w:val="single" w:sz="4" w:space="0" w:color="auto"/>
              <w:left w:val="single" w:sz="4" w:space="0" w:color="auto"/>
              <w:bottom w:val="single" w:sz="4" w:space="0" w:color="auto"/>
              <w:right w:val="single" w:sz="4" w:space="0" w:color="auto"/>
            </w:tcBorders>
          </w:tcPr>
          <w:p w14:paraId="1B6870AB"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3BF41ABF" w14:textId="10B70B65"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212EA45B"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5.</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1563F746" w14:textId="72E58745"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GPU vidinis apjungimas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A8344E5" w14:textId="200196C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Privalo būti naudojamas 900 </w:t>
            </w:r>
            <w:proofErr w:type="spellStart"/>
            <w:r w:rsidRPr="006F334F">
              <w:rPr>
                <w:rFonts w:ascii="Times New Roman" w:hAnsi="Times New Roman" w:cs="Times New Roman"/>
                <w:kern w:val="2"/>
                <w14:ligatures w14:val="standardContextual"/>
              </w:rPr>
              <w:t>Gbps</w:t>
            </w:r>
            <w:proofErr w:type="spellEnd"/>
            <w:r w:rsidRPr="006F334F">
              <w:rPr>
                <w:rFonts w:ascii="Times New Roman" w:hAnsi="Times New Roman" w:cs="Times New Roman"/>
                <w:kern w:val="2"/>
                <w14:ligatures w14:val="standardContextual"/>
              </w:rPr>
              <w:t xml:space="preserve"> greitaveikos, dvikryptis (angl. </w:t>
            </w:r>
            <w:proofErr w:type="spellStart"/>
            <w:r w:rsidRPr="006F334F">
              <w:rPr>
                <w:rFonts w:ascii="Times New Roman" w:hAnsi="Times New Roman" w:cs="Times New Roman"/>
                <w:kern w:val="2"/>
                <w14:ligatures w14:val="standardContextual"/>
              </w:rPr>
              <w:t>Bi-directional</w:t>
            </w:r>
            <w:proofErr w:type="spellEnd"/>
            <w:r w:rsidRPr="006F334F">
              <w:rPr>
                <w:rFonts w:ascii="Times New Roman" w:hAnsi="Times New Roman" w:cs="Times New Roman"/>
                <w:kern w:val="2"/>
                <w14:ligatures w14:val="standardContextual"/>
              </w:rPr>
              <w:t xml:space="preserve">) protokolas, apjungiantis GPU akseleratorius vienoje </w:t>
            </w:r>
            <w:r w:rsidR="00155425">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komponentėje</w:t>
            </w:r>
            <w:r>
              <w:rPr>
                <w:rFonts w:ascii="Times New Roman" w:hAnsi="Times New Roman" w:cs="Times New Roman"/>
                <w:kern w:val="2"/>
                <w14:ligatures w14:val="standardContextual"/>
              </w:rPr>
              <w:t>.</w:t>
            </w:r>
          </w:p>
          <w:p w14:paraId="496828DA" w14:textId="0A810EBD"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Turi būti galimybė naudoti GPU</w:t>
            </w:r>
            <w:r>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Direct</w:t>
            </w:r>
            <w:proofErr w:type="spellEnd"/>
            <w:r w:rsidRPr="006F334F">
              <w:rPr>
                <w:rFonts w:ascii="Times New Roman" w:hAnsi="Times New Roman" w:cs="Times New Roman"/>
                <w:kern w:val="2"/>
                <w14:ligatures w14:val="standardContextual"/>
              </w:rPr>
              <w:t xml:space="preserve"> RDMA metodą, kai duomenų srautai tiesiogiai perduodami tarp GPU sistemų nenaudojant CPU procesorių ar sisteminės atminties.</w:t>
            </w:r>
          </w:p>
        </w:tc>
        <w:tc>
          <w:tcPr>
            <w:tcW w:w="3122" w:type="dxa"/>
            <w:tcBorders>
              <w:top w:val="single" w:sz="4" w:space="0" w:color="auto"/>
              <w:left w:val="single" w:sz="4" w:space="0" w:color="auto"/>
              <w:bottom w:val="single" w:sz="4" w:space="0" w:color="auto"/>
              <w:right w:val="single" w:sz="4" w:space="0" w:color="auto"/>
            </w:tcBorders>
          </w:tcPr>
          <w:p w14:paraId="593CC8CE"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7E6B8691" w14:textId="0BF059A3"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1EB2EC47"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6.</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511F1FEE" w14:textId="453560C8"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color w:val="000000"/>
                <w:kern w:val="2"/>
                <w14:ligatures w14:val="standardContextual"/>
              </w:rPr>
              <w:t>Operatyvioji atmintis (RAM)</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BCEA95B" w14:textId="3FF949F2" w:rsidR="006F334F" w:rsidRPr="006F334F" w:rsidRDefault="00155425" w:rsidP="006F334F">
            <w:pPr>
              <w:widowControl w:val="0"/>
              <w:spacing w:line="252" w:lineRule="auto"/>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Tarnybinėje stotyje </w:t>
            </w:r>
            <w:r w:rsidR="006F334F" w:rsidRPr="006F334F">
              <w:rPr>
                <w:rFonts w:ascii="Times New Roman" w:hAnsi="Times New Roman" w:cs="Times New Roman"/>
                <w:kern w:val="2"/>
                <w14:ligatures w14:val="standardContextual"/>
              </w:rPr>
              <w:t xml:space="preserve">turi būti ne mažiau kaip 16 GB atminties, tenkančios vienam procesoriaus branduoliui. </w:t>
            </w:r>
            <w:r>
              <w:rPr>
                <w:rFonts w:ascii="Times New Roman" w:hAnsi="Times New Roman" w:cs="Times New Roman"/>
                <w:kern w:val="2"/>
                <w14:ligatures w14:val="standardContextual"/>
              </w:rPr>
              <w:t>Tarnybinėje stotyje</w:t>
            </w:r>
            <w:r w:rsidR="006F334F" w:rsidRPr="006F334F">
              <w:rPr>
                <w:rFonts w:ascii="Times New Roman" w:hAnsi="Times New Roman" w:cs="Times New Roman"/>
                <w:kern w:val="2"/>
                <w14:ligatures w14:val="standardContextual"/>
              </w:rPr>
              <w:t xml:space="preserve"> turi būti įdiegta ne mažiau kaip 2 TB RAM.</w:t>
            </w:r>
          </w:p>
          <w:p w14:paraId="3243D396"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Atminties greitaveika ne mažesnė kaip 6400 MT/s, DDR5 tipo. </w:t>
            </w:r>
          </w:p>
          <w:p w14:paraId="6F18FEED" w14:textId="026F421D"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Visi atminties moduliai privalo būti vienodo dydžio ir parametrų. Atminties modulių kiekis </w:t>
            </w:r>
            <w:r w:rsidR="00145E8C">
              <w:rPr>
                <w:rFonts w:ascii="Times New Roman" w:hAnsi="Times New Roman" w:cs="Times New Roman"/>
                <w:kern w:val="2"/>
                <w14:ligatures w14:val="standardContextual"/>
              </w:rPr>
              <w:t>tarnybinėje stotyje</w:t>
            </w:r>
            <w:r w:rsidRPr="006F334F">
              <w:rPr>
                <w:rFonts w:ascii="Times New Roman" w:hAnsi="Times New Roman" w:cs="Times New Roman"/>
                <w:kern w:val="2"/>
                <w14:ligatures w14:val="standardContextual"/>
              </w:rPr>
              <w:t xml:space="preserve"> privalo būti įdiegtas taip, kad tolygiai užimtų visus siūlomo procesoriaus atminties kanalus. Procesorius kiekvieno skaičiavimo ciklo metu privalo galėti naudoti tokį patį atminties kiekį.  </w:t>
            </w:r>
          </w:p>
          <w:p w14:paraId="2CF8B758"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Privalo būti ne mažiau kaip 32 atminties kanalai.</w:t>
            </w:r>
          </w:p>
          <w:p w14:paraId="5C9E7E83"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Style w:val="normaltextrun"/>
                <w:rFonts w:ascii="Times New Roman" w:hAnsi="Times New Roman" w:cs="Times New Roman"/>
                <w:color w:val="000000"/>
                <w:kern w:val="2"/>
                <w:shd w:val="clear" w:color="auto" w:fill="FFFFFF"/>
                <w14:ligatures w14:val="standardContextual"/>
              </w:rPr>
              <w:t>P</w:t>
            </w:r>
            <w:r w:rsidRPr="006F334F">
              <w:rPr>
                <w:rFonts w:ascii="Times New Roman" w:hAnsi="Times New Roman" w:cs="Times New Roman"/>
                <w:kern w:val="2"/>
                <w14:ligatures w14:val="standardContextual"/>
              </w:rPr>
              <w:t>rivalo būti galimybė išplėsti atminties dydį ne mažiau kaip 50%.</w:t>
            </w:r>
          </w:p>
          <w:p w14:paraId="3218D9E2" w14:textId="15C403CD" w:rsidR="006F334F" w:rsidRPr="006F334F" w:rsidRDefault="006F334F" w:rsidP="006F334F">
            <w:pPr>
              <w:spacing w:line="240" w:lineRule="auto"/>
              <w:contextualSpacing/>
              <w:jc w:val="both"/>
              <w:rPr>
                <w:rFonts w:ascii="Times New Roman" w:eastAsia="Times New Roman" w:hAnsi="Times New Roman" w:cs="Times New Roman"/>
              </w:rPr>
            </w:pPr>
            <w:r w:rsidRPr="006F334F">
              <w:rPr>
                <w:rStyle w:val="normaltextrun"/>
                <w:rFonts w:ascii="Times New Roman" w:hAnsi="Times New Roman" w:cs="Times New Roman"/>
                <w:color w:val="000000"/>
                <w:kern w:val="2"/>
                <w:shd w:val="clear" w:color="auto" w:fill="FFFFFF"/>
                <w14:ligatures w14:val="standardContextual"/>
              </w:rPr>
              <w:t>P</w:t>
            </w:r>
            <w:r w:rsidRPr="006F334F">
              <w:rPr>
                <w:rFonts w:ascii="Times New Roman" w:hAnsi="Times New Roman" w:cs="Times New Roman"/>
                <w:kern w:val="2"/>
                <w14:ligatures w14:val="standardContextual"/>
              </w:rPr>
              <w:t xml:space="preserve">rivalu nurodyti </w:t>
            </w:r>
            <w:r w:rsidR="00145E8C">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komplektacijoje siūlomų atminties modulių kiekį, talpą, tipą. </w:t>
            </w:r>
            <w:r w:rsidRPr="006F334F">
              <w:rPr>
                <w:rStyle w:val="normaltextrun"/>
                <w:rFonts w:ascii="Times New Roman" w:hAnsi="Times New Roman" w:cs="Times New Roman"/>
                <w:kern w:val="2"/>
                <w:shd w:val="clear" w:color="auto" w:fill="FFFFFF"/>
                <w14:ligatures w14:val="standardContextual"/>
              </w:rPr>
              <w:t>P</w:t>
            </w:r>
            <w:r w:rsidRPr="006F334F">
              <w:rPr>
                <w:rFonts w:ascii="Times New Roman" w:hAnsi="Times New Roman" w:cs="Times New Roman"/>
                <w:kern w:val="2"/>
                <w14:ligatures w14:val="standardContextual"/>
              </w:rPr>
              <w:t xml:space="preserve">rivalu nurodyti atminties lizdų skaičių </w:t>
            </w:r>
            <w:r w:rsidR="00145E8C">
              <w:rPr>
                <w:rFonts w:ascii="Times New Roman" w:hAnsi="Times New Roman" w:cs="Times New Roman"/>
                <w:kern w:val="2"/>
                <w14:ligatures w14:val="standardContextual"/>
              </w:rPr>
              <w:t>tarnybinėje stotyje</w:t>
            </w:r>
            <w:r w:rsidRPr="006F334F">
              <w:rPr>
                <w:rFonts w:ascii="Times New Roman" w:hAnsi="Times New Roman" w:cs="Times New Roman"/>
                <w:kern w:val="2"/>
                <w14:ligatures w14:val="standardContextual"/>
              </w:rPr>
              <w:t>.</w:t>
            </w:r>
          </w:p>
        </w:tc>
        <w:tc>
          <w:tcPr>
            <w:tcW w:w="3122" w:type="dxa"/>
            <w:tcBorders>
              <w:top w:val="single" w:sz="4" w:space="0" w:color="auto"/>
              <w:left w:val="single" w:sz="4" w:space="0" w:color="auto"/>
              <w:bottom w:val="single" w:sz="4" w:space="0" w:color="auto"/>
              <w:right w:val="single" w:sz="4" w:space="0" w:color="auto"/>
            </w:tcBorders>
          </w:tcPr>
          <w:p w14:paraId="1EAB6AAE"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73E6777C" w14:textId="31284BFC"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7E167636"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7.</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3EC1FA77" w14:textId="08ADE797"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Diskai duomenų saugojimui</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300E1E3" w14:textId="383F3907"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Ne mažiau kaip 4 vnt. 7.68 TB talpos E3.S formos NVME technologijos </w:t>
            </w:r>
            <w:proofErr w:type="spellStart"/>
            <w:r w:rsidRPr="006F334F">
              <w:rPr>
                <w:rFonts w:ascii="Times New Roman" w:hAnsi="Times New Roman" w:cs="Times New Roman"/>
                <w:kern w:val="2"/>
                <w14:ligatures w14:val="standardContextual"/>
              </w:rPr>
              <w:t>Read</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Intensive</w:t>
            </w:r>
            <w:proofErr w:type="spellEnd"/>
            <w:r w:rsidRPr="006F334F">
              <w:rPr>
                <w:rFonts w:ascii="Times New Roman" w:hAnsi="Times New Roman" w:cs="Times New Roman"/>
                <w:kern w:val="2"/>
                <w14:ligatures w14:val="standardContextual"/>
              </w:rPr>
              <w:t xml:space="preserve"> karšto keitimo diskai. Diskai turi būti jungiami nenaudojant RAID valdiklio. Turi būti galimybė diskų kiekį </w:t>
            </w:r>
            <w:r w:rsidR="00263272">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viduje išplėsti iki 8 diskų.</w:t>
            </w:r>
          </w:p>
        </w:tc>
        <w:tc>
          <w:tcPr>
            <w:tcW w:w="3122" w:type="dxa"/>
            <w:tcBorders>
              <w:top w:val="single" w:sz="4" w:space="0" w:color="auto"/>
              <w:left w:val="single" w:sz="4" w:space="0" w:color="auto"/>
              <w:bottom w:val="single" w:sz="4" w:space="0" w:color="auto"/>
              <w:right w:val="single" w:sz="4" w:space="0" w:color="auto"/>
            </w:tcBorders>
          </w:tcPr>
          <w:p w14:paraId="71F7D3EB" w14:textId="77777777" w:rsidR="006F334F" w:rsidRPr="006F334F" w:rsidRDefault="006F334F" w:rsidP="006F334F">
            <w:pPr>
              <w:spacing w:line="240" w:lineRule="auto"/>
              <w:contextualSpacing/>
              <w:rPr>
                <w:rFonts w:ascii="Times New Roman" w:eastAsia="Times New Roman" w:hAnsi="Times New Roman" w:cs="Times New Roman"/>
                <w14:ligatures w14:val="standardContextual"/>
              </w:rPr>
            </w:pPr>
          </w:p>
        </w:tc>
      </w:tr>
      <w:tr w:rsidR="006F334F" w:rsidRPr="006F334F" w14:paraId="204080D4" w14:textId="4B89C240"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6B82CED3"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8.</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14455B62" w14:textId="41C759B3"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LAN tinklas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88638DF" w14:textId="17C8F881"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Ne mažiau 4 vnt. 25 </w:t>
            </w:r>
            <w:proofErr w:type="spellStart"/>
            <w:r w:rsidRPr="006F334F">
              <w:rPr>
                <w:rFonts w:ascii="Times New Roman" w:hAnsi="Times New Roman" w:cs="Times New Roman"/>
                <w:kern w:val="2"/>
                <w14:ligatures w14:val="standardContextual"/>
              </w:rPr>
              <w:t>Gbps</w:t>
            </w:r>
            <w:proofErr w:type="spellEnd"/>
            <w:r w:rsidRPr="006F334F">
              <w:rPr>
                <w:rFonts w:ascii="Times New Roman" w:hAnsi="Times New Roman" w:cs="Times New Roman"/>
                <w:kern w:val="2"/>
                <w14:ligatures w14:val="standardContextual"/>
              </w:rPr>
              <w:t xml:space="preserve"> greitaveikos SFP28 prievadų realizuotų atskiromis </w:t>
            </w:r>
            <w:proofErr w:type="spellStart"/>
            <w:r w:rsidRPr="006F334F">
              <w:rPr>
                <w:rFonts w:ascii="Times New Roman" w:hAnsi="Times New Roman" w:cs="Times New Roman"/>
                <w:kern w:val="2"/>
                <w14:ligatures w14:val="standardContextual"/>
              </w:rPr>
              <w:t>PCIe</w:t>
            </w:r>
            <w:proofErr w:type="spellEnd"/>
            <w:r w:rsidRPr="006F334F">
              <w:rPr>
                <w:rFonts w:ascii="Times New Roman" w:hAnsi="Times New Roman" w:cs="Times New Roman"/>
                <w:kern w:val="2"/>
                <w14:ligatures w14:val="standardContextual"/>
              </w:rPr>
              <w:t xml:space="preserve"> plokštėmis. Į komplektaciją turi būti įtraukti SFP28 moduliai.</w:t>
            </w:r>
          </w:p>
        </w:tc>
        <w:tc>
          <w:tcPr>
            <w:tcW w:w="3122" w:type="dxa"/>
            <w:tcBorders>
              <w:top w:val="single" w:sz="4" w:space="0" w:color="auto"/>
              <w:left w:val="single" w:sz="4" w:space="0" w:color="auto"/>
              <w:bottom w:val="single" w:sz="4" w:space="0" w:color="auto"/>
              <w:right w:val="single" w:sz="4" w:space="0" w:color="auto"/>
            </w:tcBorders>
          </w:tcPr>
          <w:p w14:paraId="7EEDF008"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5D2383D1" w14:textId="091E5A7F"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659B193C"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9.</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0A23F2EF" w14:textId="13F2237D"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Valdymo tinklas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3D756EAC" w14:textId="279BC4A1"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1GbE RJ45 prievadas, skirtas  komponenčių valdymui.</w:t>
            </w:r>
          </w:p>
        </w:tc>
        <w:tc>
          <w:tcPr>
            <w:tcW w:w="3122" w:type="dxa"/>
            <w:tcBorders>
              <w:top w:val="single" w:sz="4" w:space="0" w:color="auto"/>
              <w:left w:val="single" w:sz="4" w:space="0" w:color="auto"/>
              <w:bottom w:val="single" w:sz="4" w:space="0" w:color="auto"/>
              <w:right w:val="single" w:sz="4" w:space="0" w:color="auto"/>
            </w:tcBorders>
          </w:tcPr>
          <w:p w14:paraId="6C8269B7"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528DA151" w14:textId="621E786E"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3684BFC5"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10.</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1DBDB00D" w14:textId="2C468B98"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Operacinei sistemai skirta atmintis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117A124" w14:textId="2965FDD1"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Atskiras dedikuotas diskų valdiklis su 2 vnt. SSD, </w:t>
            </w:r>
            <w:proofErr w:type="spellStart"/>
            <w:r w:rsidRPr="006F334F">
              <w:rPr>
                <w:rFonts w:ascii="Times New Roman" w:hAnsi="Times New Roman" w:cs="Times New Roman"/>
                <w:kern w:val="2"/>
                <w14:ligatures w14:val="standardContextual"/>
              </w:rPr>
              <w:t>NVMe</w:t>
            </w:r>
            <w:proofErr w:type="spellEnd"/>
            <w:r w:rsidRPr="006F334F">
              <w:rPr>
                <w:rFonts w:ascii="Times New Roman" w:hAnsi="Times New Roman" w:cs="Times New Roman"/>
                <w:kern w:val="2"/>
                <w14:ligatures w14:val="standardContextual"/>
              </w:rPr>
              <w:t xml:space="preserve"> tipo, 960 GB karšto keitimo diskais, apjungtais į aparatinį RAID 1 masyvą.</w:t>
            </w:r>
          </w:p>
        </w:tc>
        <w:tc>
          <w:tcPr>
            <w:tcW w:w="3122" w:type="dxa"/>
            <w:tcBorders>
              <w:top w:val="single" w:sz="4" w:space="0" w:color="auto"/>
              <w:left w:val="single" w:sz="4" w:space="0" w:color="auto"/>
              <w:bottom w:val="single" w:sz="4" w:space="0" w:color="auto"/>
              <w:right w:val="single" w:sz="4" w:space="0" w:color="auto"/>
            </w:tcBorders>
          </w:tcPr>
          <w:p w14:paraId="45FF03FB"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567B9E8F" w14:textId="63487CDD"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1E7285F5"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11.</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2A89C034" w14:textId="48C70C39"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Kitos išorinės jungtys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72CC39F"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Ne mažiau kaip: </w:t>
            </w:r>
          </w:p>
          <w:p w14:paraId="2B59673B"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2 x USB.</w:t>
            </w:r>
          </w:p>
          <w:p w14:paraId="019F4736" w14:textId="1FDA0C51"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1 x VGA.</w:t>
            </w:r>
          </w:p>
        </w:tc>
        <w:tc>
          <w:tcPr>
            <w:tcW w:w="3122" w:type="dxa"/>
            <w:tcBorders>
              <w:top w:val="single" w:sz="4" w:space="0" w:color="auto"/>
              <w:left w:val="single" w:sz="4" w:space="0" w:color="auto"/>
              <w:bottom w:val="single" w:sz="4" w:space="0" w:color="auto"/>
              <w:right w:val="single" w:sz="4" w:space="0" w:color="auto"/>
            </w:tcBorders>
          </w:tcPr>
          <w:p w14:paraId="6EEB0B77"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3A0F00AD" w14:textId="4A23C49F" w:rsidTr="002B6A69">
        <w:trPr>
          <w:jc w:val="center"/>
        </w:trPr>
        <w:tc>
          <w:tcPr>
            <w:tcW w:w="478" w:type="dxa"/>
            <w:tcBorders>
              <w:top w:val="single" w:sz="4" w:space="0" w:color="auto"/>
              <w:left w:val="single" w:sz="4" w:space="0" w:color="auto"/>
              <w:bottom w:val="single" w:sz="4" w:space="0" w:color="auto"/>
              <w:right w:val="single" w:sz="4" w:space="0" w:color="auto"/>
            </w:tcBorders>
          </w:tcPr>
          <w:p w14:paraId="5F7EB9C7"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lastRenderedPageBreak/>
              <w:t>12.</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1BA9E6D4" w14:textId="0B1736A7"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Saugumo funkcijos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8B1DA42" w14:textId="14985320"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Įjungimo ir administravimo slaptažodis, integruotas </w:t>
            </w:r>
            <w:proofErr w:type="spellStart"/>
            <w:r w:rsidRPr="006F334F">
              <w:rPr>
                <w:rFonts w:ascii="Times New Roman" w:hAnsi="Times New Roman" w:cs="Times New Roman"/>
                <w:kern w:val="2"/>
                <w14:ligatures w14:val="standardContextual"/>
              </w:rPr>
              <w:t>Trusted</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Platform</w:t>
            </w:r>
            <w:proofErr w:type="spellEnd"/>
            <w:r w:rsidRPr="006F334F">
              <w:rPr>
                <w:rFonts w:ascii="Times New Roman" w:hAnsi="Times New Roman" w:cs="Times New Roman"/>
                <w:kern w:val="2"/>
                <w14:ligatures w14:val="standardContextual"/>
              </w:rPr>
              <w:t xml:space="preserve"> Module (TPM 2.0) ar lygiavertis modulis.</w:t>
            </w:r>
          </w:p>
        </w:tc>
        <w:tc>
          <w:tcPr>
            <w:tcW w:w="3122" w:type="dxa"/>
            <w:tcBorders>
              <w:top w:val="single" w:sz="4" w:space="0" w:color="auto"/>
              <w:left w:val="single" w:sz="4" w:space="0" w:color="auto"/>
              <w:bottom w:val="single" w:sz="4" w:space="0" w:color="auto"/>
              <w:right w:val="single" w:sz="4" w:space="0" w:color="auto"/>
            </w:tcBorders>
          </w:tcPr>
          <w:p w14:paraId="593AF348"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24C91760" w14:textId="45940419" w:rsidTr="002B6A69">
        <w:trPr>
          <w:jc w:val="center"/>
        </w:trPr>
        <w:tc>
          <w:tcPr>
            <w:tcW w:w="478" w:type="dxa"/>
            <w:tcBorders>
              <w:top w:val="single" w:sz="4" w:space="0" w:color="auto"/>
              <w:left w:val="single" w:sz="4" w:space="0" w:color="auto"/>
              <w:bottom w:val="single" w:sz="4" w:space="0" w:color="auto"/>
              <w:right w:val="single" w:sz="4" w:space="0" w:color="auto"/>
            </w:tcBorders>
          </w:tcPr>
          <w:p w14:paraId="6C99B97F"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13.</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606E365E" w14:textId="32B9BDC7"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Perteklinių karšto keitimo aušinimo modulių sistema</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57063917" w14:textId="475024D7"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Nepertraukiamas tarnybinės stoties veikimas ne mažesniame kaip 10°C - 35°C laipsnių temperatūros bei 10-80% drėgmės diapazone.</w:t>
            </w:r>
          </w:p>
        </w:tc>
        <w:tc>
          <w:tcPr>
            <w:tcW w:w="3122" w:type="dxa"/>
            <w:tcBorders>
              <w:top w:val="single" w:sz="4" w:space="0" w:color="auto"/>
              <w:left w:val="single" w:sz="4" w:space="0" w:color="auto"/>
              <w:bottom w:val="single" w:sz="4" w:space="0" w:color="auto"/>
              <w:right w:val="single" w:sz="4" w:space="0" w:color="auto"/>
            </w:tcBorders>
          </w:tcPr>
          <w:p w14:paraId="5A6DFEFC"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408C249A" w14:textId="48DBE376"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5192868E"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14.</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7D40D6C4" w14:textId="4789DEBD" w:rsidR="006F334F" w:rsidRPr="006F334F" w:rsidRDefault="006F334F" w:rsidP="006F334F">
            <w:pPr>
              <w:spacing w:line="240" w:lineRule="auto"/>
              <w:contextualSpacing/>
              <w:rPr>
                <w:rFonts w:ascii="Times New Roman" w:eastAsia="Times New Roman" w:hAnsi="Times New Roman" w:cs="Times New Roman"/>
              </w:rPr>
            </w:pPr>
            <w:proofErr w:type="spellStart"/>
            <w:r w:rsidRPr="006F334F">
              <w:rPr>
                <w:rFonts w:ascii="Times New Roman" w:hAnsi="Times New Roman" w:cs="Times New Roman"/>
                <w:kern w:val="2"/>
                <w14:ligatures w14:val="standardContextual"/>
              </w:rPr>
              <w:t>Video</w:t>
            </w:r>
            <w:proofErr w:type="spellEnd"/>
            <w:r w:rsidRPr="006F334F">
              <w:rPr>
                <w:rFonts w:ascii="Times New Roman" w:hAnsi="Times New Roman" w:cs="Times New Roman"/>
                <w:kern w:val="2"/>
                <w14:ligatures w14:val="standardContextual"/>
              </w:rPr>
              <w:t xml:space="preserve"> kontroleris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1226BBE" w14:textId="0F32CA2F" w:rsidR="006F334F" w:rsidRPr="006F334F" w:rsidRDefault="006F334F" w:rsidP="006F334F">
            <w:pPr>
              <w:spacing w:after="0" w:line="240" w:lineRule="auto"/>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Privalo būti integruotas, palaikantis ne mažiau kaip </w:t>
            </w:r>
            <w:proofErr w:type="spellStart"/>
            <w:r w:rsidRPr="006F334F">
              <w:rPr>
                <w:rFonts w:ascii="Times New Roman" w:hAnsi="Times New Roman" w:cs="Times New Roman"/>
                <w:kern w:val="2"/>
                <w14:ligatures w14:val="standardContextual"/>
              </w:rPr>
              <w:t>Full</w:t>
            </w:r>
            <w:proofErr w:type="spellEnd"/>
            <w:r w:rsidRPr="006F334F">
              <w:rPr>
                <w:rFonts w:ascii="Times New Roman" w:hAnsi="Times New Roman" w:cs="Times New Roman"/>
                <w:kern w:val="2"/>
                <w14:ligatures w14:val="standardContextual"/>
              </w:rPr>
              <w:t xml:space="preserve"> HD rezoliuciją.</w:t>
            </w:r>
          </w:p>
        </w:tc>
        <w:tc>
          <w:tcPr>
            <w:tcW w:w="3122" w:type="dxa"/>
            <w:tcBorders>
              <w:top w:val="single" w:sz="4" w:space="0" w:color="auto"/>
              <w:left w:val="single" w:sz="4" w:space="0" w:color="auto"/>
              <w:bottom w:val="single" w:sz="4" w:space="0" w:color="auto"/>
              <w:right w:val="single" w:sz="4" w:space="0" w:color="auto"/>
            </w:tcBorders>
          </w:tcPr>
          <w:p w14:paraId="36B1FE82" w14:textId="77777777" w:rsidR="006F334F" w:rsidRPr="006F334F" w:rsidRDefault="006F334F" w:rsidP="006F334F">
            <w:pPr>
              <w:spacing w:after="0" w:line="240" w:lineRule="auto"/>
              <w:jc w:val="both"/>
              <w:rPr>
                <w:rFonts w:ascii="Times New Roman" w:eastAsia="Times New Roman" w:hAnsi="Times New Roman" w:cs="Times New Roman"/>
              </w:rPr>
            </w:pPr>
          </w:p>
        </w:tc>
      </w:tr>
      <w:tr w:rsidR="006F334F" w:rsidRPr="006F334F" w14:paraId="4C7F9B7D" w14:textId="657D967E" w:rsidTr="002B6A69">
        <w:trPr>
          <w:jc w:val="center"/>
        </w:trPr>
        <w:tc>
          <w:tcPr>
            <w:tcW w:w="478" w:type="dxa"/>
            <w:tcBorders>
              <w:top w:val="single" w:sz="4" w:space="0" w:color="auto"/>
              <w:left w:val="single" w:sz="4" w:space="0" w:color="auto"/>
              <w:bottom w:val="single" w:sz="4" w:space="0" w:color="auto"/>
              <w:right w:val="single" w:sz="4" w:space="0" w:color="auto"/>
            </w:tcBorders>
          </w:tcPr>
          <w:p w14:paraId="5B64F3D9"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15.</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4AEBA5BF" w14:textId="2A833887"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PCI jungtys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646282B" w14:textId="071C6984" w:rsidR="006F334F" w:rsidRPr="006F334F" w:rsidRDefault="006F334F" w:rsidP="006F334F">
            <w:pPr>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Privalo būti sukonfigūruoti ne mažiau kaip 8 vnt. </w:t>
            </w:r>
            <w:proofErr w:type="spellStart"/>
            <w:r w:rsidRPr="006F334F">
              <w:rPr>
                <w:rFonts w:ascii="Times New Roman" w:hAnsi="Times New Roman" w:cs="Times New Roman"/>
                <w:kern w:val="2"/>
                <w14:ligatures w14:val="standardContextual"/>
              </w:rPr>
              <w:t>PCIe</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Gen</w:t>
            </w:r>
            <w:proofErr w:type="spellEnd"/>
            <w:r w:rsidRPr="006F334F">
              <w:rPr>
                <w:rFonts w:ascii="Times New Roman" w:hAnsi="Times New Roman" w:cs="Times New Roman"/>
                <w:kern w:val="2"/>
                <w14:ligatures w14:val="standardContextual"/>
              </w:rPr>
              <w:t xml:space="preserve"> 5 lizdų (Lizdai turi būti neskirti GPU apjungimui).</w:t>
            </w:r>
          </w:p>
        </w:tc>
        <w:tc>
          <w:tcPr>
            <w:tcW w:w="3122" w:type="dxa"/>
            <w:tcBorders>
              <w:top w:val="single" w:sz="4" w:space="0" w:color="auto"/>
              <w:left w:val="single" w:sz="4" w:space="0" w:color="auto"/>
              <w:bottom w:val="single" w:sz="4" w:space="0" w:color="auto"/>
              <w:right w:val="single" w:sz="4" w:space="0" w:color="auto"/>
            </w:tcBorders>
          </w:tcPr>
          <w:p w14:paraId="1E0354BD" w14:textId="77777777" w:rsidR="006F334F" w:rsidRPr="006F334F" w:rsidRDefault="006F334F" w:rsidP="006F334F">
            <w:pPr>
              <w:spacing w:after="0" w:line="240" w:lineRule="auto"/>
              <w:jc w:val="both"/>
              <w:rPr>
                <w:rFonts w:ascii="Times New Roman" w:eastAsia="Times New Roman" w:hAnsi="Times New Roman" w:cs="Times New Roman"/>
              </w:rPr>
            </w:pPr>
          </w:p>
        </w:tc>
      </w:tr>
      <w:tr w:rsidR="006F334F" w:rsidRPr="006F334F" w14:paraId="1BD38667" w14:textId="00D69EE5"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567CE825"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16.</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10E2B633" w14:textId="68089197"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Konstrukcija</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CF05AAE" w14:textId="749FAEB6" w:rsidR="006F334F" w:rsidRPr="006F334F" w:rsidRDefault="00145E8C" w:rsidP="006F334F">
            <w:pPr>
              <w:spacing w:line="240" w:lineRule="auto"/>
              <w:contextualSpacing/>
              <w:rPr>
                <w:rFonts w:ascii="Times New Roman" w:eastAsia="Times New Roman" w:hAnsi="Times New Roman" w:cs="Times New Roman"/>
              </w:rPr>
            </w:pPr>
            <w:r>
              <w:rPr>
                <w:rFonts w:ascii="Times New Roman" w:hAnsi="Times New Roman" w:cs="Times New Roman"/>
                <w:kern w:val="2"/>
                <w14:ligatures w14:val="standardContextual"/>
              </w:rPr>
              <w:t xml:space="preserve">Tarnybinė stotis </w:t>
            </w:r>
            <w:r w:rsidR="006F334F" w:rsidRPr="006F334F">
              <w:rPr>
                <w:rFonts w:ascii="Times New Roman" w:hAnsi="Times New Roman" w:cs="Times New Roman"/>
                <w:kern w:val="2"/>
                <w14:ligatures w14:val="standardContextual"/>
              </w:rPr>
              <w:t>privalo būti montuojam</w:t>
            </w:r>
            <w:r>
              <w:rPr>
                <w:rFonts w:ascii="Times New Roman" w:hAnsi="Times New Roman" w:cs="Times New Roman"/>
                <w:kern w:val="2"/>
                <w14:ligatures w14:val="standardContextual"/>
              </w:rPr>
              <w:t>a</w:t>
            </w:r>
            <w:r w:rsidR="006F334F" w:rsidRPr="006F334F">
              <w:rPr>
                <w:rFonts w:ascii="Times New Roman" w:hAnsi="Times New Roman" w:cs="Times New Roman"/>
                <w:kern w:val="2"/>
                <w14:ligatures w14:val="standardContextual"/>
              </w:rPr>
              <w:t xml:space="preserve"> į standartinę 19“ spintą . Bėgiai privalo būti pritaikyti greitam montavimui bei </w:t>
            </w:r>
            <w:r>
              <w:rPr>
                <w:rFonts w:ascii="Times New Roman" w:hAnsi="Times New Roman" w:cs="Times New Roman"/>
                <w:kern w:val="2"/>
                <w14:ligatures w14:val="standardContextual"/>
              </w:rPr>
              <w:t>tarnybinės stoties</w:t>
            </w:r>
            <w:r w:rsidR="006F334F" w:rsidRPr="006F334F">
              <w:rPr>
                <w:rFonts w:ascii="Times New Roman" w:hAnsi="Times New Roman" w:cs="Times New Roman"/>
                <w:kern w:val="2"/>
                <w14:ligatures w14:val="standardContextual"/>
              </w:rPr>
              <w:t xml:space="preserve"> ištraukimui („</w:t>
            </w:r>
            <w:proofErr w:type="spellStart"/>
            <w:r w:rsidR="006F334F" w:rsidRPr="006F334F">
              <w:rPr>
                <w:rFonts w:ascii="Times New Roman" w:hAnsi="Times New Roman" w:cs="Times New Roman"/>
                <w:kern w:val="2"/>
                <w14:ligatures w14:val="standardContextual"/>
              </w:rPr>
              <w:t>sliding</w:t>
            </w:r>
            <w:proofErr w:type="spellEnd"/>
            <w:r w:rsidR="006F334F" w:rsidRPr="006F334F">
              <w:rPr>
                <w:rFonts w:ascii="Times New Roman" w:hAnsi="Times New Roman" w:cs="Times New Roman"/>
                <w:kern w:val="2"/>
                <w14:ligatures w14:val="standardContextual"/>
              </w:rPr>
              <w:t xml:space="preserve"> </w:t>
            </w:r>
            <w:proofErr w:type="spellStart"/>
            <w:r w:rsidR="006F334F" w:rsidRPr="006F334F">
              <w:rPr>
                <w:rFonts w:ascii="Times New Roman" w:hAnsi="Times New Roman" w:cs="Times New Roman"/>
                <w:kern w:val="2"/>
                <w14:ligatures w14:val="standardContextual"/>
              </w:rPr>
              <w:t>rails</w:t>
            </w:r>
            <w:proofErr w:type="spellEnd"/>
            <w:r w:rsidR="006F334F" w:rsidRPr="006F334F">
              <w:rPr>
                <w:rFonts w:ascii="Times New Roman" w:hAnsi="Times New Roman" w:cs="Times New Roman"/>
                <w:kern w:val="2"/>
                <w14:ligatures w14:val="standardContextual"/>
              </w:rPr>
              <w:t xml:space="preserve">“) bei privalo turėti tvirtinimo elementus skirtus montavimui į 19“ spintą. Korpuso aukštis neturi viršyti 4U. </w:t>
            </w:r>
            <w:r>
              <w:rPr>
                <w:rFonts w:ascii="Times New Roman" w:hAnsi="Times New Roman" w:cs="Times New Roman"/>
                <w:kern w:val="2"/>
                <w14:ligatures w14:val="standardContextual"/>
              </w:rPr>
              <w:t>Tarnybinės stoties</w:t>
            </w:r>
            <w:r w:rsidR="006F334F" w:rsidRPr="006F334F">
              <w:rPr>
                <w:rFonts w:ascii="Times New Roman" w:hAnsi="Times New Roman" w:cs="Times New Roman"/>
                <w:kern w:val="2"/>
                <w14:ligatures w14:val="standardContextual"/>
              </w:rPr>
              <w:t xml:space="preserve"> priekinėje dalyje privalo būti sumontuota gedimų indikacijos sistema. </w:t>
            </w:r>
          </w:p>
        </w:tc>
        <w:tc>
          <w:tcPr>
            <w:tcW w:w="3122" w:type="dxa"/>
            <w:tcBorders>
              <w:top w:val="single" w:sz="4" w:space="0" w:color="auto"/>
              <w:left w:val="single" w:sz="4" w:space="0" w:color="auto"/>
              <w:bottom w:val="single" w:sz="4" w:space="0" w:color="auto"/>
              <w:right w:val="single" w:sz="4" w:space="0" w:color="auto"/>
            </w:tcBorders>
          </w:tcPr>
          <w:p w14:paraId="449A6E90"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6C3835D9" w14:textId="73906D11"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1CD7D1F2"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17.</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1E9DF10E" w14:textId="70A7D2E3"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Maitinimo šaltiniai</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00237B27" w14:textId="052224BD"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Maitinimu šaltinių galingumas turi būti toks, kad užtikrintų </w:t>
            </w:r>
            <w:r w:rsidR="00145E8C">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veikimą, bet ne mažiau kaip aštuoni, 3200 W „karšto keitimo“ (</w:t>
            </w:r>
            <w:proofErr w:type="spellStart"/>
            <w:r w:rsidRPr="006F334F">
              <w:rPr>
                <w:rFonts w:ascii="Times New Roman" w:hAnsi="Times New Roman" w:cs="Times New Roman"/>
                <w:kern w:val="2"/>
                <w14:ligatures w14:val="standardContextual"/>
              </w:rPr>
              <w:t>angl.Hot-plug</w:t>
            </w:r>
            <w:proofErr w:type="spellEnd"/>
            <w:r w:rsidRPr="006F334F">
              <w:rPr>
                <w:rFonts w:ascii="Times New Roman" w:hAnsi="Times New Roman" w:cs="Times New Roman"/>
                <w:kern w:val="2"/>
                <w14:ligatures w14:val="standardContextual"/>
              </w:rPr>
              <w:t>) ~230 V 50 Hz įrenginiai, su atskirais įvadais ir ne mažiau kaip 90 % efektyvumo. Pateikiami su maitinimo kabeliais ne trumpesniais kaip 0,6 m.</w:t>
            </w:r>
          </w:p>
        </w:tc>
        <w:tc>
          <w:tcPr>
            <w:tcW w:w="3122" w:type="dxa"/>
            <w:tcBorders>
              <w:top w:val="single" w:sz="4" w:space="0" w:color="auto"/>
              <w:left w:val="single" w:sz="4" w:space="0" w:color="auto"/>
              <w:bottom w:val="single" w:sz="4" w:space="0" w:color="auto"/>
              <w:right w:val="single" w:sz="4" w:space="0" w:color="auto"/>
            </w:tcBorders>
          </w:tcPr>
          <w:p w14:paraId="06B519EB"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5CECDAF9" w14:textId="6CAFFFD8"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4376A5E4"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18.</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39C6FECF" w14:textId="7C44F796"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Valdymo sistema</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CDB432E" w14:textId="3A56A242"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Dedikuotas valdymo kontroleris, nepriklausantis nuo OS, turintis dedikuotą valdymo tinklo jungtį 100/1000 </w:t>
            </w:r>
            <w:proofErr w:type="spellStart"/>
            <w:r w:rsidRPr="006F334F">
              <w:rPr>
                <w:rFonts w:ascii="Times New Roman" w:hAnsi="Times New Roman" w:cs="Times New Roman"/>
                <w:kern w:val="2"/>
                <w14:ligatures w14:val="standardContextual"/>
              </w:rPr>
              <w:t>baseT</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Ethernet</w:t>
            </w:r>
            <w:proofErr w:type="spellEnd"/>
            <w:r w:rsidRPr="006F334F">
              <w:rPr>
                <w:rFonts w:ascii="Times New Roman" w:hAnsi="Times New Roman" w:cs="Times New Roman"/>
                <w:kern w:val="2"/>
                <w14:ligatures w14:val="standardContextual"/>
              </w:rPr>
              <w:t xml:space="preserve"> RJ-45 bei galimybę prisijungti per USB jungtį iš </w:t>
            </w:r>
            <w:r w:rsidR="00145E8C">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priekio. </w:t>
            </w:r>
            <w:proofErr w:type="spellStart"/>
            <w:r w:rsidRPr="006F334F">
              <w:rPr>
                <w:rFonts w:ascii="Times New Roman" w:hAnsi="Times New Roman" w:cs="Times New Roman"/>
                <w:kern w:val="2"/>
                <w14:ligatures w14:val="standardContextual"/>
              </w:rPr>
              <w:t>Ethernet</w:t>
            </w:r>
            <w:proofErr w:type="spellEnd"/>
            <w:r w:rsidRPr="006F334F">
              <w:rPr>
                <w:rFonts w:ascii="Times New Roman" w:hAnsi="Times New Roman" w:cs="Times New Roman"/>
                <w:kern w:val="2"/>
                <w14:ligatures w14:val="standardContextual"/>
              </w:rPr>
              <w:t xml:space="preserve"> ryšys privalo būti apsaugotas ne silpnesniu nei 128 bitų raktu (SSL). Valdymo kontroleris privalo gauti ir registruoti pranešimus apie procesoriaus, atminties, diskų valdiklio, diskų ir kitų serverinės sistemos dalių darbo parametrų nukrypimus nuo normos. Privalo palaikyti automatinio informavimo apie sistemos sutrikimus siuntimą elektroniniu paštu. Valdymo kontroleris privalo stebėti bei palaikyti </w:t>
            </w:r>
            <w:r w:rsidR="00145E8C">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komponentų sisteminio kodo (</w:t>
            </w:r>
            <w:proofErr w:type="spellStart"/>
            <w:r w:rsidRPr="006F334F">
              <w:rPr>
                <w:rFonts w:ascii="Times New Roman" w:hAnsi="Times New Roman" w:cs="Times New Roman"/>
                <w:kern w:val="2"/>
                <w14:ligatures w14:val="standardContextual"/>
              </w:rPr>
              <w:t>firmware</w:t>
            </w:r>
            <w:proofErr w:type="spellEnd"/>
            <w:r w:rsidRPr="006F334F">
              <w:rPr>
                <w:rFonts w:ascii="Times New Roman" w:hAnsi="Times New Roman" w:cs="Times New Roman"/>
                <w:kern w:val="2"/>
                <w14:ligatures w14:val="standardContextual"/>
              </w:rPr>
              <w:t>) atnaujinimus.</w:t>
            </w:r>
          </w:p>
          <w:p w14:paraId="02AD2823"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Privalo būti „KVM </w:t>
            </w:r>
            <w:proofErr w:type="spellStart"/>
            <w:r w:rsidRPr="006F334F">
              <w:rPr>
                <w:rFonts w:ascii="Times New Roman" w:hAnsi="Times New Roman" w:cs="Times New Roman"/>
                <w:kern w:val="2"/>
                <w14:ligatures w14:val="standardContextual"/>
              </w:rPr>
              <w:t>over</w:t>
            </w:r>
            <w:proofErr w:type="spellEnd"/>
            <w:r w:rsidRPr="006F334F">
              <w:rPr>
                <w:rFonts w:ascii="Times New Roman" w:hAnsi="Times New Roman" w:cs="Times New Roman"/>
                <w:kern w:val="2"/>
                <w14:ligatures w14:val="standardContextual"/>
              </w:rPr>
              <w:t xml:space="preserve"> IP“ funkcionalumas (grafinė nepriklausoma nuo operacinės sistemos sąsaja, virtuali grafinė konsolė, virtualių CD-ROM įrenginių valdymas).</w:t>
            </w:r>
          </w:p>
          <w:p w14:paraId="47E973E5"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Privalo palaikyti ne mažiau nei 16 vietinių vartotojų (angl. </w:t>
            </w:r>
            <w:proofErr w:type="spellStart"/>
            <w:r w:rsidRPr="006F334F">
              <w:rPr>
                <w:rFonts w:ascii="Times New Roman" w:hAnsi="Times New Roman" w:cs="Times New Roman"/>
                <w:kern w:val="2"/>
                <w14:ligatures w14:val="standardContextual"/>
              </w:rPr>
              <w:t>Local</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users</w:t>
            </w:r>
            <w:proofErr w:type="spellEnd"/>
            <w:r w:rsidRPr="006F334F">
              <w:rPr>
                <w:rFonts w:ascii="Times New Roman" w:hAnsi="Times New Roman" w:cs="Times New Roman"/>
                <w:kern w:val="2"/>
                <w14:ligatures w14:val="standardContextual"/>
              </w:rPr>
              <w:t xml:space="preserve">). </w:t>
            </w:r>
          </w:p>
          <w:p w14:paraId="62100656"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Privalo būti HTML 5 arba lygiavertė vartotojo sąsaja tiek vartotojo aplinkai, tiek virtualiai konsolei.</w:t>
            </w:r>
          </w:p>
          <w:p w14:paraId="1BD00289"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lastRenderedPageBreak/>
              <w:t xml:space="preserve">Sistemos </w:t>
            </w:r>
            <w:proofErr w:type="spellStart"/>
            <w:r w:rsidRPr="006F334F">
              <w:rPr>
                <w:rFonts w:ascii="Times New Roman" w:hAnsi="Times New Roman" w:cs="Times New Roman"/>
                <w:kern w:val="2"/>
                <w14:ligatures w14:val="standardContextual"/>
              </w:rPr>
              <w:t>mikrokodo</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firmware</w:t>
            </w:r>
            <w:proofErr w:type="spellEnd"/>
            <w:r w:rsidRPr="006F334F">
              <w:rPr>
                <w:rFonts w:ascii="Times New Roman" w:hAnsi="Times New Roman" w:cs="Times New Roman"/>
                <w:kern w:val="2"/>
                <w14:ligatures w14:val="standardContextual"/>
              </w:rPr>
              <w:t>“) atnaujinimai privalo būti apsaugoti kriptografiniu parašu.</w:t>
            </w:r>
          </w:p>
          <w:p w14:paraId="15FE0DD3" w14:textId="61FAD4BE"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Privalo  palaikyti saugų visišką duomenų sunaikinimą nuotoliniu būdu visų tipų laikmenose, sunaikinant saugomus duomenis (HDD, SSD, </w:t>
            </w:r>
            <w:proofErr w:type="spellStart"/>
            <w:r w:rsidRPr="006F334F">
              <w:rPr>
                <w:rFonts w:ascii="Times New Roman" w:hAnsi="Times New Roman" w:cs="Times New Roman"/>
                <w:kern w:val="2"/>
                <w14:ligatures w14:val="standardContextual"/>
              </w:rPr>
              <w:t>NVMe</w:t>
            </w:r>
            <w:proofErr w:type="spellEnd"/>
            <w:r w:rsidRPr="006F334F">
              <w:rPr>
                <w:rFonts w:ascii="Times New Roman" w:hAnsi="Times New Roman" w:cs="Times New Roman"/>
                <w:kern w:val="2"/>
                <w14:ligatures w14:val="standardContextual"/>
              </w:rPr>
              <w:t xml:space="preserve">). Privalo palaikyti nuotolinį pilną </w:t>
            </w:r>
            <w:r w:rsidR="00145E8C">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įtampos išjungimą.</w:t>
            </w:r>
          </w:p>
          <w:p w14:paraId="4E651924"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Privalo turėti funkciją kuri turi apsaugoti sistemą nuo atsitiktinių ar tyčinių (kenkėjiškų) pakeitimų. Užrakinimo režimas (angl. System </w:t>
            </w:r>
            <w:proofErr w:type="spellStart"/>
            <w:r w:rsidRPr="006F334F">
              <w:rPr>
                <w:rFonts w:ascii="Times New Roman" w:hAnsi="Times New Roman" w:cs="Times New Roman"/>
                <w:kern w:val="2"/>
                <w14:ligatures w14:val="standardContextual"/>
              </w:rPr>
              <w:t>Lockdown</w:t>
            </w:r>
            <w:proofErr w:type="spellEnd"/>
            <w:r w:rsidRPr="006F334F">
              <w:rPr>
                <w:rFonts w:ascii="Times New Roman" w:hAnsi="Times New Roman" w:cs="Times New Roman"/>
                <w:kern w:val="2"/>
                <w14:ligatures w14:val="standardContextual"/>
              </w:rPr>
              <w:t>). turi būti taikomas tiek konfigūracijos, tiek programinės aparatinės įrangos (</w:t>
            </w:r>
            <w:proofErr w:type="spellStart"/>
            <w:r w:rsidRPr="006F334F">
              <w:rPr>
                <w:rFonts w:ascii="Times New Roman" w:hAnsi="Times New Roman" w:cs="Times New Roman"/>
                <w:kern w:val="2"/>
                <w14:ligatures w14:val="standardContextual"/>
              </w:rPr>
              <w:t>firmware</w:t>
            </w:r>
            <w:proofErr w:type="spellEnd"/>
            <w:r w:rsidRPr="006F334F">
              <w:rPr>
                <w:rFonts w:ascii="Times New Roman" w:hAnsi="Times New Roman" w:cs="Times New Roman"/>
                <w:kern w:val="2"/>
                <w14:ligatures w14:val="standardContextual"/>
              </w:rPr>
              <w:t>) atnaujinimams.</w:t>
            </w:r>
          </w:p>
          <w:p w14:paraId="17824A7B" w14:textId="13B2B25B" w:rsidR="006F334F" w:rsidRPr="006F334F" w:rsidRDefault="00145E8C" w:rsidP="006F334F">
            <w:pPr>
              <w:widowControl w:val="0"/>
              <w:spacing w:line="252" w:lineRule="auto"/>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Tarnybinė stotis</w:t>
            </w:r>
            <w:r w:rsidR="006F334F" w:rsidRPr="006F334F">
              <w:rPr>
                <w:rFonts w:ascii="Times New Roman" w:hAnsi="Times New Roman" w:cs="Times New Roman"/>
                <w:kern w:val="2"/>
                <w14:ligatures w14:val="standardContextual"/>
              </w:rPr>
              <w:t xml:space="preserve"> privalo informuoti valdymo sąsajoje bei el. paštu apie standžiųjų diskų, valdiklių, maitinimo šaltinių gedimus, sutrikimus ir nukrypimus nuo normalaus darbo.</w:t>
            </w:r>
          </w:p>
          <w:p w14:paraId="14214F53" w14:textId="7C700056"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Programinė stebėjimo (monitoringo) įranga privalo gebėti atlikti nuolatinį įrangos parametrų stebėjimą, kaupti istorinę veiklos duomenų statistiką ne mažiau kaip 2 metus ir atlikti jų analizę.  </w:t>
            </w:r>
          </w:p>
        </w:tc>
        <w:tc>
          <w:tcPr>
            <w:tcW w:w="3122" w:type="dxa"/>
            <w:tcBorders>
              <w:top w:val="single" w:sz="4" w:space="0" w:color="auto"/>
              <w:left w:val="single" w:sz="4" w:space="0" w:color="auto"/>
              <w:bottom w:val="single" w:sz="4" w:space="0" w:color="auto"/>
              <w:right w:val="single" w:sz="4" w:space="0" w:color="auto"/>
            </w:tcBorders>
          </w:tcPr>
          <w:p w14:paraId="36F6F981"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7BD60CA0" w14:textId="3BCEA367"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059968AA"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19.</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6950EBF1" w14:textId="6FC9D129"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Komplektacija</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2C69FDB8"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Privalo būti pateikti visi reikiami jungiamieji  kabeliai, jungtys, tvirtinimo detalės bei priemonės, skirtos įrangos pajungimui ir montavimui į 19“ montažinę spintą  bei apjungimui su tinklo įranga.</w:t>
            </w:r>
          </w:p>
          <w:p w14:paraId="051B1A8B" w14:textId="79373E01"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 Privalo būti pateikti papildomi 4 vnt. </w:t>
            </w:r>
            <w:bookmarkStart w:id="0" w:name="_Hlk201232728"/>
            <w:r w:rsidRPr="006F334F">
              <w:rPr>
                <w:rFonts w:ascii="Times New Roman" w:hAnsi="Times New Roman" w:cs="Times New Roman"/>
                <w:kern w:val="2"/>
                <w14:ligatures w14:val="standardContextual"/>
              </w:rPr>
              <w:t>SFP28 moduliai skirti Aruba JL717C 8360-32Y4C v2</w:t>
            </w:r>
            <w:bookmarkEnd w:id="0"/>
            <w:r w:rsidRPr="006F334F">
              <w:rPr>
                <w:rFonts w:ascii="Times New Roman" w:hAnsi="Times New Roman" w:cs="Times New Roman"/>
                <w:kern w:val="2"/>
                <w14:ligatures w14:val="standardContextual"/>
              </w:rPr>
              <w:t xml:space="preserve"> komutatoriui.</w:t>
            </w:r>
          </w:p>
        </w:tc>
        <w:tc>
          <w:tcPr>
            <w:tcW w:w="3122" w:type="dxa"/>
            <w:tcBorders>
              <w:top w:val="single" w:sz="4" w:space="0" w:color="auto"/>
              <w:left w:val="single" w:sz="4" w:space="0" w:color="auto"/>
              <w:bottom w:val="single" w:sz="4" w:space="0" w:color="auto"/>
              <w:right w:val="single" w:sz="4" w:space="0" w:color="auto"/>
            </w:tcBorders>
          </w:tcPr>
          <w:p w14:paraId="015F8295"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6F334F" w:rsidRPr="006F334F" w14:paraId="6EA0B3DA" w14:textId="482151A4"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5DAF56ED" w14:textId="77777777"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20.</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2AA6A53B" w14:textId="5752951D"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Garantinė techninė priežiūra</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162F50FB"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Ne trumpesnė nei 5 (penkerių) metų trukmės gamintojo garantija. Gamintojo serviso pasiekiamumas 24x7x365. G</w:t>
            </w:r>
            <w:r w:rsidRPr="006F334F">
              <w:rPr>
                <w:rFonts w:ascii="Times New Roman" w:eastAsia="SimSun" w:hAnsi="Times New Roman" w:cs="Times New Roman"/>
                <w:kern w:val="2"/>
                <w14:ligatures w14:val="standardContextual"/>
              </w:rPr>
              <w:t>amintojo įgalioto specialisto</w:t>
            </w:r>
            <w:r w:rsidRPr="006F334F">
              <w:rPr>
                <w:rFonts w:ascii="Times New Roman" w:hAnsi="Times New Roman" w:cs="Times New Roman"/>
                <w:kern w:val="2"/>
                <w14:ligatures w14:val="standardContextual"/>
              </w:rPr>
              <w:t xml:space="preserve"> aptarnavimu įrangos buvimo vietoje ne vėliau kaip sekančią darbo dieną nuo gedimo identifikavimo /fiksavimo/ pranešimo. Reakcija </w:t>
            </w:r>
            <w:r w:rsidRPr="006F334F">
              <w:rPr>
                <w:rFonts w:ascii="Times New Roman" w:hAnsi="Times New Roman" w:cs="Times New Roman"/>
                <w:kern w:val="2"/>
                <w:lang w:eastAsia="lt-LT"/>
                <w14:ligatures w14:val="standardContextual"/>
              </w:rPr>
              <w:t>(</w:t>
            </w:r>
            <w:r w:rsidRPr="006F334F">
              <w:rPr>
                <w:rFonts w:ascii="Times New Roman" w:hAnsi="Times New Roman" w:cs="Times New Roman"/>
                <w:kern w:val="2"/>
                <w14:ligatures w14:val="standardContextual"/>
              </w:rPr>
              <w:t>laiko tarpas nuo gedimo registravimo iki gedimo  sprendimo pradžios) į pranešimą apie įrangos gedimą – 4 val.</w:t>
            </w:r>
          </w:p>
          <w:p w14:paraId="30425FB0"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Privalo būti pateiktas gamintojo raštas nurodantis techninių ir garantinių sąlygų atitikimą.</w:t>
            </w:r>
          </w:p>
          <w:p w14:paraId="7D5DA6BF"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Privalo būti įtraukta diskų negrąžinimo garantija.</w:t>
            </w:r>
          </w:p>
          <w:p w14:paraId="0CD2D5FD" w14:textId="77777777" w:rsidR="006F334F" w:rsidRPr="006F334F" w:rsidRDefault="006F334F" w:rsidP="006F334F">
            <w:pPr>
              <w:widowControl w:val="0"/>
              <w:spacing w:line="252" w:lineRule="auto"/>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Kietieji diskai (angl. HDD) ar puslaidininkiniai diskai (angl. SSD) ar atminties kortelės, gedimo atveju turi būti  keičiamos naujomis.. Tiekėjas turi pateikti nuorodą į gamintojo internetinę prieigą, kuri įgalina produkto kodo </w:t>
            </w:r>
            <w:r w:rsidRPr="006F334F">
              <w:rPr>
                <w:rFonts w:ascii="Times New Roman" w:hAnsi="Times New Roman" w:cs="Times New Roman"/>
                <w:kern w:val="2"/>
                <w14:ligatures w14:val="standardContextual"/>
              </w:rPr>
              <w:lastRenderedPageBreak/>
              <w:t>ir serijinio numerio pagalba patikrinti suteiktą gamintojo garantiją internetiniame puslapyje.</w:t>
            </w:r>
          </w:p>
          <w:p w14:paraId="0F681445" w14:textId="77777777" w:rsidR="006F334F" w:rsidRPr="006F334F" w:rsidRDefault="006F334F" w:rsidP="006F334F">
            <w:pPr>
              <w:widowControl w:val="0"/>
              <w:spacing w:after="0" w:line="256" w:lineRule="auto"/>
              <w:ind w:left="-25" w:right="57"/>
              <w:jc w:val="both"/>
              <w:rPr>
                <w:rFonts w:ascii="Times New Roman" w:hAnsi="Times New Roman" w:cs="Times New Roman"/>
                <w:kern w:val="2"/>
                <w14:ligatures w14:val="standardContextual"/>
              </w:rPr>
            </w:pPr>
            <w:r w:rsidRPr="006F334F">
              <w:rPr>
                <w:rFonts w:ascii="Times New Roman" w:hAnsi="Times New Roman" w:cs="Times New Roman"/>
                <w:kern w:val="2"/>
                <w14:ligatures w14:val="standardContextual"/>
              </w:rPr>
              <w:t xml:space="preserve">Teikėjas turi pateikti gamintojo dokumentaciją liudijančią oficialius gamintojo garantinius įsipareigojimus, nurodant siūlomos įrangos kodus ir pavadinimus). </w:t>
            </w:r>
          </w:p>
          <w:p w14:paraId="26DE47E0" w14:textId="77777777" w:rsidR="006F334F" w:rsidRPr="006F334F" w:rsidRDefault="006F334F" w:rsidP="006F334F">
            <w:pPr>
              <w:widowControl w:val="0"/>
              <w:spacing w:after="0" w:line="256" w:lineRule="auto"/>
              <w:ind w:left="-25" w:right="57"/>
              <w:jc w:val="both"/>
              <w:rPr>
                <w:rFonts w:ascii="Times New Roman" w:hAnsi="Times New Roman" w:cs="Times New Roman"/>
                <w:kern w:val="2"/>
                <w14:ligatures w14:val="standardContextual"/>
              </w:rPr>
            </w:pPr>
          </w:p>
          <w:p w14:paraId="6341CEA0" w14:textId="558C5625" w:rsidR="006F334F" w:rsidRPr="006F334F" w:rsidRDefault="006F334F" w:rsidP="006F334F">
            <w:pPr>
              <w:rPr>
                <w:rFonts w:ascii="Times New Roman" w:hAnsi="Times New Roman" w:cs="Times New Roman"/>
              </w:rPr>
            </w:pPr>
            <w:r w:rsidRPr="006F334F">
              <w:rPr>
                <w:rFonts w:ascii="Times New Roman" w:hAnsi="Times New Roman" w:cs="Times New Roman"/>
                <w:kern w:val="2"/>
                <w14:ligatures w14:val="standardContextual"/>
              </w:rPr>
              <w:t>Siūlomos įrangos techninis aptarnavimas turi būti atliekamas tik įrangos gamintojo sertifikuotuose techninio aptarnavimo centruose</w:t>
            </w:r>
          </w:p>
        </w:tc>
        <w:tc>
          <w:tcPr>
            <w:tcW w:w="3122" w:type="dxa"/>
            <w:tcBorders>
              <w:top w:val="single" w:sz="4" w:space="0" w:color="auto"/>
              <w:left w:val="single" w:sz="4" w:space="0" w:color="auto"/>
              <w:bottom w:val="single" w:sz="4" w:space="0" w:color="auto"/>
              <w:right w:val="single" w:sz="4" w:space="0" w:color="auto"/>
            </w:tcBorders>
          </w:tcPr>
          <w:p w14:paraId="4145CD4E"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072A0A" w:rsidRPr="006F334F" w14:paraId="618F7C25" w14:textId="77777777" w:rsidTr="002B6A69">
        <w:trPr>
          <w:jc w:val="center"/>
        </w:trPr>
        <w:tc>
          <w:tcPr>
            <w:tcW w:w="478" w:type="dxa"/>
            <w:tcBorders>
              <w:top w:val="single" w:sz="4" w:space="0" w:color="auto"/>
              <w:left w:val="single" w:sz="4" w:space="0" w:color="auto"/>
              <w:bottom w:val="single" w:sz="4" w:space="0" w:color="auto"/>
              <w:right w:val="single" w:sz="4" w:space="0" w:color="auto"/>
            </w:tcBorders>
          </w:tcPr>
          <w:p w14:paraId="5757E48B" w14:textId="6140FCDE" w:rsidR="00072A0A" w:rsidRPr="006F334F" w:rsidRDefault="00B30CDD" w:rsidP="006F334F">
            <w:pPr>
              <w:spacing w:after="0" w:line="240" w:lineRule="auto"/>
              <w:ind w:left="-113" w:right="-124"/>
              <w:contextualSpacing/>
              <w:jc w:val="center"/>
              <w:rPr>
                <w:rFonts w:ascii="Times New Roman" w:eastAsia="Times New Roman" w:hAnsi="Times New Roman" w:cs="Times New Roman"/>
              </w:rPr>
            </w:pPr>
            <w:r>
              <w:rPr>
                <w:rFonts w:ascii="Times New Roman" w:eastAsia="Times New Roman" w:hAnsi="Times New Roman" w:cs="Times New Roman"/>
              </w:rPr>
              <w:t>21.</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61E78422" w14:textId="4B1B08DD" w:rsidR="00072A0A" w:rsidRPr="006F334F" w:rsidRDefault="00072A0A" w:rsidP="006F334F">
            <w:pPr>
              <w:spacing w:line="240" w:lineRule="auto"/>
              <w:contextualSpacing/>
              <w:rPr>
                <w:rFonts w:ascii="Times New Roman" w:hAnsi="Times New Roman" w:cs="Times New Roman"/>
                <w:kern w:val="2"/>
                <w14:ligatures w14:val="standardContextual"/>
              </w:rPr>
            </w:pPr>
            <w:r w:rsidRPr="00072A0A">
              <w:rPr>
                <w:rFonts w:ascii="Times New Roman" w:hAnsi="Times New Roman" w:cs="Times New Roman"/>
                <w:kern w:val="2"/>
                <w14:ligatures w14:val="standardContextual"/>
              </w:rPr>
              <w:t>Surinkimo reikalavimai</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329ECED" w14:textId="672FE704" w:rsidR="00072A0A" w:rsidRPr="00072A0A" w:rsidRDefault="00072A0A" w:rsidP="00072A0A">
            <w:pPr>
              <w:widowControl w:val="0"/>
              <w:spacing w:line="252" w:lineRule="auto"/>
              <w:jc w:val="both"/>
              <w:rPr>
                <w:rFonts w:ascii="Times New Roman" w:hAnsi="Times New Roman" w:cs="Times New Roman"/>
                <w:kern w:val="2"/>
                <w14:ligatures w14:val="standardContextual"/>
              </w:rPr>
            </w:pPr>
            <w:r w:rsidRPr="00072A0A">
              <w:rPr>
                <w:rFonts w:ascii="Times New Roman" w:hAnsi="Times New Roman" w:cs="Times New Roman"/>
                <w:kern w:val="2"/>
                <w14:ligatures w14:val="standardContextual"/>
              </w:rPr>
              <w:t>Siūloma įranga turi būti nauja ir anksčiau nenaudota.</w:t>
            </w:r>
          </w:p>
          <w:p w14:paraId="2A733B0E" w14:textId="77777777" w:rsidR="00072A0A" w:rsidRPr="00072A0A" w:rsidRDefault="00072A0A" w:rsidP="00072A0A">
            <w:pPr>
              <w:widowControl w:val="0"/>
              <w:spacing w:line="252" w:lineRule="auto"/>
              <w:jc w:val="both"/>
              <w:rPr>
                <w:rFonts w:ascii="Times New Roman" w:hAnsi="Times New Roman" w:cs="Times New Roman"/>
                <w:kern w:val="2"/>
                <w14:ligatures w14:val="standardContextual"/>
              </w:rPr>
            </w:pPr>
            <w:proofErr w:type="spellStart"/>
            <w:r w:rsidRPr="00072A0A">
              <w:rPr>
                <w:rFonts w:ascii="Times New Roman" w:hAnsi="Times New Roman" w:cs="Times New Roman"/>
                <w:kern w:val="2"/>
                <w14:ligatures w14:val="standardContextual"/>
              </w:rPr>
              <w:t>Gamykliškai</w:t>
            </w:r>
            <w:proofErr w:type="spellEnd"/>
            <w:r w:rsidRPr="00072A0A">
              <w:rPr>
                <w:rFonts w:ascii="Times New Roman" w:hAnsi="Times New Roman" w:cs="Times New Roman"/>
                <w:kern w:val="2"/>
                <w14:ligatures w14:val="standardContextual"/>
              </w:rPr>
              <w:t xml:space="preserve"> atnaujinti (</w:t>
            </w:r>
            <w:proofErr w:type="spellStart"/>
            <w:r w:rsidRPr="00072A0A">
              <w:rPr>
                <w:rFonts w:ascii="Times New Roman" w:hAnsi="Times New Roman" w:cs="Times New Roman"/>
                <w:kern w:val="2"/>
                <w14:ligatures w14:val="standardContextual"/>
              </w:rPr>
              <w:t>ang</w:t>
            </w:r>
            <w:proofErr w:type="spellEnd"/>
            <w:r w:rsidRPr="00072A0A">
              <w:rPr>
                <w:rFonts w:ascii="Times New Roman" w:hAnsi="Times New Roman" w:cs="Times New Roman"/>
                <w:kern w:val="2"/>
                <w14:ligatures w14:val="standardContextual"/>
              </w:rPr>
              <w:t xml:space="preserve">. </w:t>
            </w:r>
            <w:proofErr w:type="spellStart"/>
            <w:r w:rsidRPr="00072A0A">
              <w:rPr>
                <w:rFonts w:ascii="Times New Roman" w:hAnsi="Times New Roman" w:cs="Times New Roman"/>
                <w:kern w:val="2"/>
                <w14:ligatures w14:val="standardContextual"/>
              </w:rPr>
              <w:t>renew</w:t>
            </w:r>
            <w:proofErr w:type="spellEnd"/>
            <w:r w:rsidRPr="00072A0A">
              <w:rPr>
                <w:rFonts w:ascii="Times New Roman" w:hAnsi="Times New Roman" w:cs="Times New Roman"/>
                <w:kern w:val="2"/>
                <w14:ligatures w14:val="standardContextual"/>
              </w:rPr>
              <w:t xml:space="preserve">, </w:t>
            </w:r>
            <w:proofErr w:type="spellStart"/>
            <w:r w:rsidRPr="00072A0A">
              <w:rPr>
                <w:rFonts w:ascii="Times New Roman" w:hAnsi="Times New Roman" w:cs="Times New Roman"/>
                <w:kern w:val="2"/>
                <w14:ligatures w14:val="standardContextual"/>
              </w:rPr>
              <w:t>refurbished</w:t>
            </w:r>
            <w:proofErr w:type="spellEnd"/>
            <w:r w:rsidRPr="00072A0A">
              <w:rPr>
                <w:rFonts w:ascii="Times New Roman" w:hAnsi="Times New Roman" w:cs="Times New Roman"/>
                <w:kern w:val="2"/>
                <w14:ligatures w14:val="standardContextual"/>
              </w:rPr>
              <w:t xml:space="preserve">, </w:t>
            </w:r>
            <w:proofErr w:type="spellStart"/>
            <w:r w:rsidRPr="00072A0A">
              <w:rPr>
                <w:rFonts w:ascii="Times New Roman" w:hAnsi="Times New Roman" w:cs="Times New Roman"/>
                <w:kern w:val="2"/>
                <w14:ligatures w14:val="standardContextual"/>
              </w:rPr>
              <w:t>remarketed</w:t>
            </w:r>
            <w:proofErr w:type="spellEnd"/>
            <w:r w:rsidRPr="00072A0A">
              <w:rPr>
                <w:rFonts w:ascii="Times New Roman" w:hAnsi="Times New Roman" w:cs="Times New Roman"/>
                <w:kern w:val="2"/>
                <w14:ligatures w14:val="standardContextual"/>
              </w:rPr>
              <w:t>) komponentai neleistini.</w:t>
            </w:r>
          </w:p>
          <w:p w14:paraId="21AD64C6" w14:textId="77777777" w:rsidR="00072A0A" w:rsidRPr="00072A0A" w:rsidRDefault="00072A0A" w:rsidP="00072A0A">
            <w:pPr>
              <w:widowControl w:val="0"/>
              <w:spacing w:line="252" w:lineRule="auto"/>
              <w:jc w:val="both"/>
              <w:rPr>
                <w:rFonts w:ascii="Times New Roman" w:hAnsi="Times New Roman" w:cs="Times New Roman"/>
                <w:kern w:val="2"/>
                <w14:ligatures w14:val="standardContextual"/>
              </w:rPr>
            </w:pPr>
            <w:r w:rsidRPr="00072A0A">
              <w:rPr>
                <w:rFonts w:ascii="Times New Roman" w:hAnsi="Times New Roman" w:cs="Times New Roman"/>
                <w:kern w:val="2"/>
                <w14:ligatures w14:val="standardContextual"/>
              </w:rPr>
              <w:t>Visos komplektuojamos tarnybinės stoties dalys privalo būti komplektuojamos tarnybinės stoties gamintojo ir pažymėtos gamintojo gamykliniais kodais.</w:t>
            </w:r>
          </w:p>
          <w:p w14:paraId="09C4EBD0" w14:textId="13FFCDDC" w:rsidR="00072A0A" w:rsidRPr="006F334F" w:rsidRDefault="00072A0A" w:rsidP="00072A0A">
            <w:pPr>
              <w:widowControl w:val="0"/>
              <w:spacing w:line="252" w:lineRule="auto"/>
              <w:jc w:val="both"/>
              <w:rPr>
                <w:rFonts w:ascii="Times New Roman" w:hAnsi="Times New Roman" w:cs="Times New Roman"/>
                <w:kern w:val="2"/>
                <w14:ligatures w14:val="standardContextual"/>
              </w:rPr>
            </w:pPr>
            <w:r w:rsidRPr="00072A0A">
              <w:rPr>
                <w:rFonts w:ascii="Times New Roman" w:hAnsi="Times New Roman" w:cs="Times New Roman"/>
                <w:kern w:val="2"/>
                <w14:ligatures w14:val="standardContextual"/>
              </w:rPr>
              <w:t>Turi būti pateikta gamintojo pažyma, kad visa siūloma įranga yra skirta Perkančiajai Organizacijai.</w:t>
            </w:r>
          </w:p>
        </w:tc>
        <w:tc>
          <w:tcPr>
            <w:tcW w:w="3122" w:type="dxa"/>
            <w:tcBorders>
              <w:top w:val="single" w:sz="4" w:space="0" w:color="auto"/>
              <w:left w:val="single" w:sz="4" w:space="0" w:color="auto"/>
              <w:bottom w:val="single" w:sz="4" w:space="0" w:color="auto"/>
              <w:right w:val="single" w:sz="4" w:space="0" w:color="auto"/>
            </w:tcBorders>
          </w:tcPr>
          <w:p w14:paraId="62974DC5" w14:textId="77777777" w:rsidR="00072A0A" w:rsidRPr="006F334F" w:rsidRDefault="00072A0A" w:rsidP="006F334F">
            <w:pPr>
              <w:spacing w:line="240" w:lineRule="auto"/>
              <w:contextualSpacing/>
              <w:jc w:val="both"/>
              <w:rPr>
                <w:rFonts w:ascii="Times New Roman" w:eastAsia="Times New Roman" w:hAnsi="Times New Roman" w:cs="Times New Roman"/>
              </w:rPr>
            </w:pPr>
          </w:p>
        </w:tc>
      </w:tr>
      <w:tr w:rsidR="006F334F" w:rsidRPr="006F334F" w14:paraId="3FBD52D7" w14:textId="2DE20EA4" w:rsidTr="002B6A69">
        <w:trPr>
          <w:jc w:val="center"/>
        </w:trPr>
        <w:tc>
          <w:tcPr>
            <w:tcW w:w="478" w:type="dxa"/>
            <w:tcBorders>
              <w:top w:val="single" w:sz="4" w:space="0" w:color="auto"/>
              <w:left w:val="single" w:sz="4" w:space="0" w:color="auto"/>
              <w:bottom w:val="single" w:sz="4" w:space="0" w:color="auto"/>
              <w:right w:val="single" w:sz="4" w:space="0" w:color="auto"/>
            </w:tcBorders>
            <w:hideMark/>
          </w:tcPr>
          <w:p w14:paraId="2620A955" w14:textId="3165A10B" w:rsidR="006F334F" w:rsidRPr="006F334F" w:rsidRDefault="006F334F" w:rsidP="006F334F">
            <w:pPr>
              <w:spacing w:after="0" w:line="240" w:lineRule="auto"/>
              <w:ind w:left="-113" w:right="-124"/>
              <w:contextualSpacing/>
              <w:jc w:val="center"/>
              <w:rPr>
                <w:rFonts w:ascii="Times New Roman" w:eastAsia="Times New Roman" w:hAnsi="Times New Roman" w:cs="Times New Roman"/>
              </w:rPr>
            </w:pPr>
            <w:r w:rsidRPr="006F334F">
              <w:rPr>
                <w:rFonts w:ascii="Times New Roman" w:eastAsia="Times New Roman" w:hAnsi="Times New Roman" w:cs="Times New Roman"/>
              </w:rPr>
              <w:t>2</w:t>
            </w:r>
            <w:r w:rsidR="00B30CDD">
              <w:rPr>
                <w:rFonts w:ascii="Times New Roman" w:eastAsia="Times New Roman" w:hAnsi="Times New Roman" w:cs="Times New Roman"/>
              </w:rPr>
              <w:t>2</w:t>
            </w:r>
            <w:r w:rsidRPr="006F334F">
              <w:rPr>
                <w:rFonts w:ascii="Times New Roman" w:eastAsia="Times New Roman" w:hAnsi="Times New Roman" w:cs="Times New Roman"/>
              </w:rPr>
              <w:t>.</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4E0CF486" w14:textId="749706BD" w:rsidR="006F334F" w:rsidRPr="006F334F" w:rsidRDefault="006F334F" w:rsidP="006F334F">
            <w:pPr>
              <w:spacing w:line="240" w:lineRule="auto"/>
              <w:contextualSpacing/>
              <w:rPr>
                <w:rFonts w:ascii="Times New Roman" w:eastAsia="Times New Roman" w:hAnsi="Times New Roman" w:cs="Times New Roman"/>
              </w:rPr>
            </w:pPr>
            <w:r w:rsidRPr="006F334F">
              <w:rPr>
                <w:rFonts w:ascii="Times New Roman" w:hAnsi="Times New Roman" w:cs="Times New Roman"/>
                <w:kern w:val="2"/>
                <w14:ligatures w14:val="standardContextual"/>
              </w:rPr>
              <w:t>Suderinamumas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620D9FEE" w14:textId="44BF8F69" w:rsidR="006F334F" w:rsidRPr="006F334F" w:rsidRDefault="006F334F" w:rsidP="006F334F">
            <w:pPr>
              <w:spacing w:line="240" w:lineRule="auto"/>
              <w:contextualSpacing/>
              <w:jc w:val="both"/>
              <w:rPr>
                <w:rFonts w:ascii="Times New Roman" w:eastAsia="Times New Roman" w:hAnsi="Times New Roman" w:cs="Times New Roman"/>
              </w:rPr>
            </w:pPr>
            <w:r w:rsidRPr="006F334F">
              <w:rPr>
                <w:rFonts w:ascii="Times New Roman" w:hAnsi="Times New Roman" w:cs="Times New Roman"/>
                <w:kern w:val="2"/>
                <w14:ligatures w14:val="standardContextual"/>
              </w:rPr>
              <w:t xml:space="preserve">Siūlomas </w:t>
            </w:r>
            <w:r w:rsidR="00145E8C">
              <w:rPr>
                <w:rFonts w:ascii="Times New Roman" w:hAnsi="Times New Roman" w:cs="Times New Roman"/>
                <w:kern w:val="2"/>
                <w14:ligatures w14:val="standardContextual"/>
              </w:rPr>
              <w:t>tarnybinės stoties</w:t>
            </w:r>
            <w:r w:rsidRPr="006F334F">
              <w:rPr>
                <w:rFonts w:ascii="Times New Roman" w:hAnsi="Times New Roman" w:cs="Times New Roman"/>
                <w:kern w:val="2"/>
                <w14:ligatures w14:val="standardContextual"/>
              </w:rPr>
              <w:t xml:space="preserve"> modelis privalo būti sertifikuotas darbui su </w:t>
            </w:r>
            <w:proofErr w:type="spellStart"/>
            <w:r w:rsidRPr="006F334F">
              <w:rPr>
                <w:rFonts w:ascii="Times New Roman" w:hAnsi="Times New Roman" w:cs="Times New Roman"/>
                <w:kern w:val="2"/>
                <w14:ligatures w14:val="standardContextual"/>
              </w:rPr>
              <w:t>Canonical</w:t>
            </w:r>
            <w:proofErr w:type="spellEnd"/>
            <w:r w:rsidRPr="006F334F">
              <w:rPr>
                <w:rFonts w:ascii="Times New Roman" w:hAnsi="Times New Roman" w:cs="Times New Roman"/>
                <w:kern w:val="2"/>
                <w14:ligatures w14:val="standardContextual"/>
              </w:rPr>
              <w:t xml:space="preserve"> </w:t>
            </w:r>
            <w:proofErr w:type="spellStart"/>
            <w:r w:rsidRPr="006F334F">
              <w:rPr>
                <w:rFonts w:ascii="Times New Roman" w:hAnsi="Times New Roman" w:cs="Times New Roman"/>
                <w:kern w:val="2"/>
                <w14:ligatures w14:val="standardContextual"/>
              </w:rPr>
              <w:t>Ubuntu</w:t>
            </w:r>
            <w:proofErr w:type="spellEnd"/>
            <w:r w:rsidRPr="006F334F">
              <w:rPr>
                <w:rFonts w:ascii="Times New Roman" w:hAnsi="Times New Roman" w:cs="Times New Roman"/>
                <w:kern w:val="2"/>
                <w14:ligatures w14:val="standardContextual"/>
              </w:rPr>
              <w:t xml:space="preserve"> Server LTS operacine sistema</w:t>
            </w:r>
          </w:p>
        </w:tc>
        <w:tc>
          <w:tcPr>
            <w:tcW w:w="3122" w:type="dxa"/>
            <w:tcBorders>
              <w:top w:val="single" w:sz="4" w:space="0" w:color="auto"/>
              <w:left w:val="single" w:sz="4" w:space="0" w:color="auto"/>
              <w:bottom w:val="single" w:sz="4" w:space="0" w:color="auto"/>
              <w:right w:val="single" w:sz="4" w:space="0" w:color="auto"/>
            </w:tcBorders>
          </w:tcPr>
          <w:p w14:paraId="5458733B" w14:textId="77777777" w:rsidR="006F334F" w:rsidRPr="006F334F" w:rsidRDefault="006F334F" w:rsidP="006F334F">
            <w:pPr>
              <w:spacing w:line="240" w:lineRule="auto"/>
              <w:contextualSpacing/>
              <w:jc w:val="both"/>
              <w:rPr>
                <w:rFonts w:ascii="Times New Roman" w:eastAsia="Times New Roman" w:hAnsi="Times New Roman" w:cs="Times New Roman"/>
              </w:rPr>
            </w:pPr>
          </w:p>
        </w:tc>
      </w:tr>
      <w:tr w:rsidR="00B30CDD" w:rsidRPr="006F334F" w14:paraId="1B13B48E" w14:textId="77777777" w:rsidTr="002B6A69">
        <w:trPr>
          <w:jc w:val="center"/>
        </w:trPr>
        <w:tc>
          <w:tcPr>
            <w:tcW w:w="478" w:type="dxa"/>
            <w:tcBorders>
              <w:top w:val="single" w:sz="4" w:space="0" w:color="auto"/>
              <w:left w:val="single" w:sz="4" w:space="0" w:color="auto"/>
              <w:bottom w:val="single" w:sz="4" w:space="0" w:color="auto"/>
              <w:right w:val="single" w:sz="4" w:space="0" w:color="auto"/>
            </w:tcBorders>
          </w:tcPr>
          <w:p w14:paraId="2063A8BF" w14:textId="6744491C" w:rsidR="00B30CDD" w:rsidRPr="006F334F" w:rsidRDefault="00B30CDD" w:rsidP="006F334F">
            <w:pPr>
              <w:spacing w:after="0" w:line="240" w:lineRule="auto"/>
              <w:ind w:left="-113" w:right="-124"/>
              <w:contextualSpacing/>
              <w:jc w:val="center"/>
              <w:rPr>
                <w:rFonts w:ascii="Times New Roman" w:eastAsia="Times New Roman" w:hAnsi="Times New Roman" w:cs="Times New Roman"/>
              </w:rPr>
            </w:pPr>
            <w:r>
              <w:rPr>
                <w:rFonts w:ascii="Times New Roman" w:eastAsia="Times New Roman" w:hAnsi="Times New Roman" w:cs="Times New Roman"/>
              </w:rPr>
              <w:t>23.</w:t>
            </w:r>
          </w:p>
        </w:tc>
        <w:tc>
          <w:tcPr>
            <w:tcW w:w="1675" w:type="dxa"/>
            <w:tcBorders>
              <w:top w:val="single" w:sz="4" w:space="0" w:color="000001"/>
              <w:left w:val="single" w:sz="4" w:space="0" w:color="000001"/>
              <w:bottom w:val="single" w:sz="4" w:space="0" w:color="000001"/>
              <w:right w:val="nil"/>
            </w:tcBorders>
            <w:shd w:val="clear" w:color="auto" w:fill="FFFFFF" w:themeFill="background1"/>
          </w:tcPr>
          <w:p w14:paraId="2A4D7C5B" w14:textId="37AF539D" w:rsidR="00B30CDD" w:rsidRPr="006F334F" w:rsidRDefault="00B30CDD" w:rsidP="006F334F">
            <w:pPr>
              <w:spacing w:line="240" w:lineRule="auto"/>
              <w:contextualSpacing/>
              <w:rPr>
                <w:rFonts w:ascii="Times New Roman" w:hAnsi="Times New Roman" w:cs="Times New Roman"/>
                <w:kern w:val="2"/>
                <w14:ligatures w14:val="standardContextual"/>
              </w:rPr>
            </w:pPr>
            <w:r>
              <w:rPr>
                <w:rFonts w:ascii="Times New Roman" w:hAnsi="Times New Roman" w:cs="Times New Roman"/>
                <w:kern w:val="2"/>
                <w14:ligatures w14:val="standardContextual"/>
              </w:rPr>
              <w:t>Tarnybinės stoties nuotolinio valdymo įrankis</w:t>
            </w:r>
          </w:p>
        </w:tc>
        <w:tc>
          <w:tcPr>
            <w:tcW w:w="4353" w:type="dxa"/>
            <w:tcBorders>
              <w:top w:val="single" w:sz="4" w:space="0" w:color="000001"/>
              <w:left w:val="single" w:sz="4" w:space="0" w:color="000001"/>
              <w:bottom w:val="single" w:sz="4" w:space="0" w:color="000001"/>
              <w:right w:val="single" w:sz="4" w:space="0" w:color="000001"/>
            </w:tcBorders>
            <w:shd w:val="clear" w:color="auto" w:fill="FFFFFF" w:themeFill="background1"/>
          </w:tcPr>
          <w:p w14:paraId="79A88825" w14:textId="3B63216D" w:rsidR="00B30CDD" w:rsidRPr="006F334F" w:rsidRDefault="00B30CDD" w:rsidP="006F334F">
            <w:pPr>
              <w:spacing w:line="240" w:lineRule="auto"/>
              <w:contextualSpacing/>
              <w:jc w:val="both"/>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Tarnybinė stotis </w:t>
            </w:r>
            <w:r w:rsidRPr="00B30CDD">
              <w:rPr>
                <w:rFonts w:ascii="Times New Roman" w:hAnsi="Times New Roman" w:cs="Times New Roman"/>
                <w:kern w:val="2"/>
                <w14:ligatures w14:val="standardContextual"/>
              </w:rPr>
              <w:t xml:space="preserve">privalo turėti gamintojo integruotą nuotolinio valdymo ir stebėsenos </w:t>
            </w:r>
            <w:r w:rsidR="001525B5">
              <w:rPr>
                <w:rFonts w:ascii="Times New Roman" w:hAnsi="Times New Roman" w:cs="Times New Roman"/>
                <w:kern w:val="2"/>
                <w14:ligatures w14:val="standardContextual"/>
              </w:rPr>
              <w:t>įrankį.</w:t>
            </w:r>
          </w:p>
        </w:tc>
        <w:tc>
          <w:tcPr>
            <w:tcW w:w="3122" w:type="dxa"/>
            <w:tcBorders>
              <w:top w:val="single" w:sz="4" w:space="0" w:color="auto"/>
              <w:left w:val="single" w:sz="4" w:space="0" w:color="auto"/>
              <w:bottom w:val="single" w:sz="4" w:space="0" w:color="auto"/>
              <w:right w:val="single" w:sz="4" w:space="0" w:color="auto"/>
            </w:tcBorders>
          </w:tcPr>
          <w:p w14:paraId="517BF285" w14:textId="77777777" w:rsidR="00B30CDD" w:rsidRPr="006F334F" w:rsidRDefault="00B30CDD" w:rsidP="006F334F">
            <w:pPr>
              <w:spacing w:line="240" w:lineRule="auto"/>
              <w:contextualSpacing/>
              <w:jc w:val="both"/>
              <w:rPr>
                <w:rFonts w:ascii="Times New Roman" w:eastAsia="Times New Roman" w:hAnsi="Times New Roman" w:cs="Times New Roman"/>
              </w:rPr>
            </w:pPr>
          </w:p>
        </w:tc>
      </w:tr>
    </w:tbl>
    <w:p w14:paraId="7D0A9462" w14:textId="49C6BBA2" w:rsidR="00693245" w:rsidRPr="006F334F" w:rsidRDefault="00B40569" w:rsidP="00B40569">
      <w:pPr>
        <w:shd w:val="clear" w:color="auto" w:fill="FFFFFF" w:themeFill="background1"/>
        <w:tabs>
          <w:tab w:val="left" w:pos="1780"/>
        </w:tabs>
        <w:jc w:val="center"/>
        <w:rPr>
          <w:rFonts w:ascii="Times New Roman" w:hAnsi="Times New Roman" w:cs="Times New Roman"/>
        </w:rPr>
      </w:pPr>
      <w:r w:rsidRPr="006F334F">
        <w:rPr>
          <w:rFonts w:ascii="Times New Roman" w:eastAsia="Calibri" w:hAnsi="Times New Roman" w:cs="Times New Roman"/>
        </w:rPr>
        <w:t>____________________</w:t>
      </w:r>
    </w:p>
    <w:sectPr w:rsidR="00693245" w:rsidRPr="006F334F" w:rsidSect="005D39D9">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8F65F" w14:textId="77777777" w:rsidR="005F6779" w:rsidRDefault="005F6779" w:rsidP="00BA60DC">
      <w:pPr>
        <w:spacing w:after="0" w:line="240" w:lineRule="auto"/>
      </w:pPr>
      <w:r>
        <w:separator/>
      </w:r>
    </w:p>
  </w:endnote>
  <w:endnote w:type="continuationSeparator" w:id="0">
    <w:p w14:paraId="13A7E333" w14:textId="77777777" w:rsidR="005F6779" w:rsidRDefault="005F6779" w:rsidP="00BA6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0D5A" w14:textId="65322044" w:rsidR="00F2099A" w:rsidRDefault="00F2099A">
    <w:pPr>
      <w:pStyle w:val="Porat"/>
      <w:jc w:val="right"/>
    </w:pPr>
  </w:p>
  <w:p w14:paraId="2513A5AF" w14:textId="77777777" w:rsidR="00F2099A" w:rsidRDefault="00F209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A6861" w14:textId="77777777" w:rsidR="005F6779" w:rsidRDefault="005F6779" w:rsidP="00BA60DC">
      <w:pPr>
        <w:spacing w:after="0" w:line="240" w:lineRule="auto"/>
      </w:pPr>
      <w:r>
        <w:separator/>
      </w:r>
    </w:p>
  </w:footnote>
  <w:footnote w:type="continuationSeparator" w:id="0">
    <w:p w14:paraId="70A35815" w14:textId="77777777" w:rsidR="005F6779" w:rsidRDefault="005F6779" w:rsidP="00BA6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578388"/>
      <w:docPartObj>
        <w:docPartGallery w:val="Page Numbers (Top of Page)"/>
        <w:docPartUnique/>
      </w:docPartObj>
    </w:sdtPr>
    <w:sdtEndPr/>
    <w:sdtContent>
      <w:p w14:paraId="08221B2F" w14:textId="3E4C1080" w:rsidR="005D39D9" w:rsidRDefault="005D39D9">
        <w:pPr>
          <w:pStyle w:val="Antrats"/>
          <w:jc w:val="center"/>
        </w:pPr>
        <w:r>
          <w:fldChar w:fldCharType="begin"/>
        </w:r>
        <w:r>
          <w:instrText>PAGE   \* MERGEFORMAT</w:instrText>
        </w:r>
        <w:r>
          <w:fldChar w:fldCharType="separate"/>
        </w:r>
        <w:r w:rsidR="00B40569">
          <w:rPr>
            <w:noProof/>
          </w:rPr>
          <w:t>2</w:t>
        </w:r>
        <w:r>
          <w:fldChar w:fldCharType="end"/>
        </w:r>
      </w:p>
    </w:sdtContent>
  </w:sdt>
  <w:p w14:paraId="2BAE1DA8" w14:textId="77777777" w:rsidR="005D39D9" w:rsidRDefault="005D39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51EF"/>
    <w:multiLevelType w:val="hybridMultilevel"/>
    <w:tmpl w:val="27D45C24"/>
    <w:lvl w:ilvl="0" w:tplc="D8360B7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125DCE"/>
    <w:multiLevelType w:val="hybridMultilevel"/>
    <w:tmpl w:val="090C5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0036FD7"/>
    <w:multiLevelType w:val="hybridMultilevel"/>
    <w:tmpl w:val="527CB9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65202E"/>
    <w:multiLevelType w:val="hybridMultilevel"/>
    <w:tmpl w:val="954E3640"/>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B91502"/>
    <w:multiLevelType w:val="hybridMultilevel"/>
    <w:tmpl w:val="36142B1A"/>
    <w:lvl w:ilvl="0" w:tplc="BD12047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370CB"/>
    <w:multiLevelType w:val="multilevel"/>
    <w:tmpl w:val="E592938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B91551"/>
    <w:multiLevelType w:val="multilevel"/>
    <w:tmpl w:val="F7204D9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1080"/>
        </w:tabs>
        <w:ind w:left="36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9F0DB8"/>
    <w:multiLevelType w:val="hybridMultilevel"/>
    <w:tmpl w:val="0E46EBA6"/>
    <w:lvl w:ilvl="0" w:tplc="29AAC49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8" w15:restartNumberingAfterBreak="0">
    <w:nsid w:val="35826DFF"/>
    <w:multiLevelType w:val="hybridMultilevel"/>
    <w:tmpl w:val="26DE79EA"/>
    <w:lvl w:ilvl="0" w:tplc="BD120474">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3F3B04AF"/>
    <w:multiLevelType w:val="hybridMultilevel"/>
    <w:tmpl w:val="B902F2AA"/>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48EC4E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E1336B"/>
    <w:multiLevelType w:val="multilevel"/>
    <w:tmpl w:val="64D83C6A"/>
    <w:lvl w:ilvl="0">
      <w:start w:val="1"/>
      <w:numFmt w:val="decimal"/>
      <w:lvlText w:val="%1."/>
      <w:lvlJc w:val="left"/>
      <w:pPr>
        <w:ind w:left="720" w:hanging="360"/>
      </w:pPr>
    </w:lvl>
    <w:lvl w:ilvl="1">
      <w:start w:val="1"/>
      <w:numFmt w:val="decimal"/>
      <w:isLgl/>
      <w:lvlText w:val="%1.%2."/>
      <w:lvlJc w:val="left"/>
      <w:pPr>
        <w:ind w:left="720" w:hanging="360"/>
      </w:pPr>
      <w:rPr>
        <w:rFonts w:hint="default"/>
        <w:i w:val="0"/>
        <w:sz w:val="22"/>
      </w:rPr>
    </w:lvl>
    <w:lvl w:ilvl="2">
      <w:start w:val="1"/>
      <w:numFmt w:val="decimal"/>
      <w:isLgl/>
      <w:lvlText w:val="%1.%2.%3."/>
      <w:lvlJc w:val="left"/>
      <w:pPr>
        <w:ind w:left="1080" w:hanging="720"/>
      </w:pPr>
      <w:rPr>
        <w:rFonts w:hint="default"/>
        <w:i w:val="0"/>
        <w:sz w:val="22"/>
      </w:rPr>
    </w:lvl>
    <w:lvl w:ilvl="3">
      <w:start w:val="1"/>
      <w:numFmt w:val="decimal"/>
      <w:isLgl/>
      <w:lvlText w:val="%1.%2.%3.%4."/>
      <w:lvlJc w:val="left"/>
      <w:pPr>
        <w:ind w:left="1080" w:hanging="720"/>
      </w:pPr>
      <w:rPr>
        <w:rFonts w:hint="default"/>
        <w:i w:val="0"/>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2" w15:restartNumberingAfterBreak="0">
    <w:nsid w:val="4E027792"/>
    <w:multiLevelType w:val="hybridMultilevel"/>
    <w:tmpl w:val="C8E236B2"/>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F7D7F1B"/>
    <w:multiLevelType w:val="hybridMultilevel"/>
    <w:tmpl w:val="E9FE42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B34335"/>
    <w:multiLevelType w:val="hybridMultilevel"/>
    <w:tmpl w:val="A3BA87C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276A0E"/>
    <w:multiLevelType w:val="hybridMultilevel"/>
    <w:tmpl w:val="DD8E28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072714"/>
    <w:multiLevelType w:val="multilevel"/>
    <w:tmpl w:val="BAFCF0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F46473"/>
    <w:multiLevelType w:val="multilevel"/>
    <w:tmpl w:val="38C66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14"/>
  </w:num>
  <w:num w:numId="3">
    <w:abstractNumId w:val="2"/>
  </w:num>
  <w:num w:numId="4">
    <w:abstractNumId w:val="13"/>
  </w:num>
  <w:num w:numId="5">
    <w:abstractNumId w:val="4"/>
  </w:num>
  <w:num w:numId="6">
    <w:abstractNumId w:val="1"/>
  </w:num>
  <w:num w:numId="7">
    <w:abstractNumId w:val="3"/>
  </w:num>
  <w:num w:numId="8">
    <w:abstractNumId w:val="8"/>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12"/>
  </w:num>
  <w:num w:numId="13">
    <w:abstractNumId w:val="9"/>
  </w:num>
  <w:num w:numId="14">
    <w:abstractNumId w:val="16"/>
  </w:num>
  <w:num w:numId="15">
    <w:abstractNumId w:val="5"/>
  </w:num>
  <w:num w:numId="16">
    <w:abstractNumId w:val="11"/>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4F"/>
    <w:rsid w:val="00003099"/>
    <w:rsid w:val="000257D2"/>
    <w:rsid w:val="000277D5"/>
    <w:rsid w:val="000424E5"/>
    <w:rsid w:val="00044315"/>
    <w:rsid w:val="0005024F"/>
    <w:rsid w:val="00055DA8"/>
    <w:rsid w:val="00072A0A"/>
    <w:rsid w:val="00086ADD"/>
    <w:rsid w:val="000909B9"/>
    <w:rsid w:val="000930B1"/>
    <w:rsid w:val="000A3529"/>
    <w:rsid w:val="000C328E"/>
    <w:rsid w:val="000D5F36"/>
    <w:rsid w:val="000F1461"/>
    <w:rsid w:val="000F4DEE"/>
    <w:rsid w:val="001025E5"/>
    <w:rsid w:val="00105843"/>
    <w:rsid w:val="00116202"/>
    <w:rsid w:val="00126555"/>
    <w:rsid w:val="001434D3"/>
    <w:rsid w:val="00145E8C"/>
    <w:rsid w:val="00146CEA"/>
    <w:rsid w:val="001525B5"/>
    <w:rsid w:val="00155425"/>
    <w:rsid w:val="00166A1A"/>
    <w:rsid w:val="001676C6"/>
    <w:rsid w:val="00172B8B"/>
    <w:rsid w:val="001767D3"/>
    <w:rsid w:val="00184CB5"/>
    <w:rsid w:val="00185422"/>
    <w:rsid w:val="00186CA4"/>
    <w:rsid w:val="00192850"/>
    <w:rsid w:val="00197F11"/>
    <w:rsid w:val="001C00AA"/>
    <w:rsid w:val="001C1E07"/>
    <w:rsid w:val="001C2F73"/>
    <w:rsid w:val="001C775E"/>
    <w:rsid w:val="001E05E4"/>
    <w:rsid w:val="001F1E2D"/>
    <w:rsid w:val="001F4046"/>
    <w:rsid w:val="001F48AB"/>
    <w:rsid w:val="001F4F47"/>
    <w:rsid w:val="001F5846"/>
    <w:rsid w:val="002050E1"/>
    <w:rsid w:val="00205489"/>
    <w:rsid w:val="00215464"/>
    <w:rsid w:val="00222CB9"/>
    <w:rsid w:val="00225CE8"/>
    <w:rsid w:val="00230832"/>
    <w:rsid w:val="0023711F"/>
    <w:rsid w:val="002526AF"/>
    <w:rsid w:val="00263272"/>
    <w:rsid w:val="00266372"/>
    <w:rsid w:val="00266BED"/>
    <w:rsid w:val="0028287B"/>
    <w:rsid w:val="0029667A"/>
    <w:rsid w:val="002A42AB"/>
    <w:rsid w:val="002A6230"/>
    <w:rsid w:val="002A6BA6"/>
    <w:rsid w:val="003129BD"/>
    <w:rsid w:val="00316A6D"/>
    <w:rsid w:val="00320D55"/>
    <w:rsid w:val="00324ABC"/>
    <w:rsid w:val="00324E1D"/>
    <w:rsid w:val="00336623"/>
    <w:rsid w:val="00340ADB"/>
    <w:rsid w:val="00340E44"/>
    <w:rsid w:val="00346DE6"/>
    <w:rsid w:val="00347E56"/>
    <w:rsid w:val="00351646"/>
    <w:rsid w:val="0035168D"/>
    <w:rsid w:val="00351856"/>
    <w:rsid w:val="003630D9"/>
    <w:rsid w:val="00394370"/>
    <w:rsid w:val="00394FEA"/>
    <w:rsid w:val="003A783F"/>
    <w:rsid w:val="003B076B"/>
    <w:rsid w:val="003B516D"/>
    <w:rsid w:val="003C07DD"/>
    <w:rsid w:val="003D4A26"/>
    <w:rsid w:val="003E6048"/>
    <w:rsid w:val="003F1B6B"/>
    <w:rsid w:val="003F25FC"/>
    <w:rsid w:val="0040246B"/>
    <w:rsid w:val="00412377"/>
    <w:rsid w:val="00412BF1"/>
    <w:rsid w:val="00421A30"/>
    <w:rsid w:val="00431FB7"/>
    <w:rsid w:val="004402D3"/>
    <w:rsid w:val="004430B1"/>
    <w:rsid w:val="004439CD"/>
    <w:rsid w:val="004467A6"/>
    <w:rsid w:val="00450D88"/>
    <w:rsid w:val="004538F4"/>
    <w:rsid w:val="0046174D"/>
    <w:rsid w:val="00467FBC"/>
    <w:rsid w:val="0047088D"/>
    <w:rsid w:val="0047180A"/>
    <w:rsid w:val="00492A23"/>
    <w:rsid w:val="00493C61"/>
    <w:rsid w:val="0049564F"/>
    <w:rsid w:val="0049591D"/>
    <w:rsid w:val="004A3E60"/>
    <w:rsid w:val="004C0DE6"/>
    <w:rsid w:val="004D327C"/>
    <w:rsid w:val="00504AF2"/>
    <w:rsid w:val="005126F0"/>
    <w:rsid w:val="00516542"/>
    <w:rsid w:val="005337ED"/>
    <w:rsid w:val="00554D53"/>
    <w:rsid w:val="00556855"/>
    <w:rsid w:val="00557C12"/>
    <w:rsid w:val="00562F36"/>
    <w:rsid w:val="005659BA"/>
    <w:rsid w:val="005921F4"/>
    <w:rsid w:val="005A0D3E"/>
    <w:rsid w:val="005A2B05"/>
    <w:rsid w:val="005B106B"/>
    <w:rsid w:val="005B29BA"/>
    <w:rsid w:val="005B323E"/>
    <w:rsid w:val="005D39D9"/>
    <w:rsid w:val="005D4BEC"/>
    <w:rsid w:val="005E2E38"/>
    <w:rsid w:val="005E5FD9"/>
    <w:rsid w:val="005E6006"/>
    <w:rsid w:val="005F4825"/>
    <w:rsid w:val="005F6779"/>
    <w:rsid w:val="00615F0C"/>
    <w:rsid w:val="00635C9F"/>
    <w:rsid w:val="00641876"/>
    <w:rsid w:val="00642269"/>
    <w:rsid w:val="00645D71"/>
    <w:rsid w:val="00653F2F"/>
    <w:rsid w:val="00657EAF"/>
    <w:rsid w:val="006808A3"/>
    <w:rsid w:val="006834D1"/>
    <w:rsid w:val="00693245"/>
    <w:rsid w:val="0069777A"/>
    <w:rsid w:val="006A3EE0"/>
    <w:rsid w:val="006A54B9"/>
    <w:rsid w:val="006C1A2E"/>
    <w:rsid w:val="006C2FD8"/>
    <w:rsid w:val="006C62F8"/>
    <w:rsid w:val="006C67D9"/>
    <w:rsid w:val="006D3949"/>
    <w:rsid w:val="006E64E6"/>
    <w:rsid w:val="006F0749"/>
    <w:rsid w:val="006F0CD7"/>
    <w:rsid w:val="006F334F"/>
    <w:rsid w:val="007124CC"/>
    <w:rsid w:val="0071463E"/>
    <w:rsid w:val="00720F3C"/>
    <w:rsid w:val="007277D8"/>
    <w:rsid w:val="00731006"/>
    <w:rsid w:val="007434EF"/>
    <w:rsid w:val="00761FF6"/>
    <w:rsid w:val="00763AD6"/>
    <w:rsid w:val="0076750B"/>
    <w:rsid w:val="007717FF"/>
    <w:rsid w:val="00773F1E"/>
    <w:rsid w:val="00775EB4"/>
    <w:rsid w:val="007772E2"/>
    <w:rsid w:val="00781AE8"/>
    <w:rsid w:val="0078385D"/>
    <w:rsid w:val="007A1624"/>
    <w:rsid w:val="007B6AD2"/>
    <w:rsid w:val="007B6EB8"/>
    <w:rsid w:val="007C3565"/>
    <w:rsid w:val="007C4423"/>
    <w:rsid w:val="007D5C90"/>
    <w:rsid w:val="007E1B5B"/>
    <w:rsid w:val="007E2342"/>
    <w:rsid w:val="007E7399"/>
    <w:rsid w:val="007F1A6B"/>
    <w:rsid w:val="007F6E1A"/>
    <w:rsid w:val="00807FD1"/>
    <w:rsid w:val="0081441F"/>
    <w:rsid w:val="00835B67"/>
    <w:rsid w:val="00840D8C"/>
    <w:rsid w:val="00864FF4"/>
    <w:rsid w:val="00867B59"/>
    <w:rsid w:val="008743E5"/>
    <w:rsid w:val="008B4421"/>
    <w:rsid w:val="008C1E86"/>
    <w:rsid w:val="008D744D"/>
    <w:rsid w:val="008E492E"/>
    <w:rsid w:val="008F682C"/>
    <w:rsid w:val="009023B6"/>
    <w:rsid w:val="009230FC"/>
    <w:rsid w:val="0092455A"/>
    <w:rsid w:val="009439E5"/>
    <w:rsid w:val="00944168"/>
    <w:rsid w:val="0096671D"/>
    <w:rsid w:val="00977BAA"/>
    <w:rsid w:val="00982894"/>
    <w:rsid w:val="009835C1"/>
    <w:rsid w:val="00996E72"/>
    <w:rsid w:val="009B6641"/>
    <w:rsid w:val="009C1604"/>
    <w:rsid w:val="009C7136"/>
    <w:rsid w:val="009D1FFE"/>
    <w:rsid w:val="009D5280"/>
    <w:rsid w:val="009F1B8C"/>
    <w:rsid w:val="009F7340"/>
    <w:rsid w:val="009F7439"/>
    <w:rsid w:val="00A01CD5"/>
    <w:rsid w:val="00A22567"/>
    <w:rsid w:val="00A30BC7"/>
    <w:rsid w:val="00A412DA"/>
    <w:rsid w:val="00A50595"/>
    <w:rsid w:val="00A6203B"/>
    <w:rsid w:val="00A675CC"/>
    <w:rsid w:val="00A70482"/>
    <w:rsid w:val="00A8537A"/>
    <w:rsid w:val="00A90088"/>
    <w:rsid w:val="00A93B4F"/>
    <w:rsid w:val="00AA3A76"/>
    <w:rsid w:val="00AA5CFD"/>
    <w:rsid w:val="00AA78DF"/>
    <w:rsid w:val="00AB4357"/>
    <w:rsid w:val="00AB6EEB"/>
    <w:rsid w:val="00AD6A8D"/>
    <w:rsid w:val="00AD731D"/>
    <w:rsid w:val="00AE0B59"/>
    <w:rsid w:val="00AE1950"/>
    <w:rsid w:val="00AE5516"/>
    <w:rsid w:val="00AE7DD9"/>
    <w:rsid w:val="00AF2F61"/>
    <w:rsid w:val="00AF3937"/>
    <w:rsid w:val="00AF69C2"/>
    <w:rsid w:val="00B00571"/>
    <w:rsid w:val="00B07FED"/>
    <w:rsid w:val="00B1799C"/>
    <w:rsid w:val="00B30CDD"/>
    <w:rsid w:val="00B36551"/>
    <w:rsid w:val="00B40569"/>
    <w:rsid w:val="00B664D0"/>
    <w:rsid w:val="00B803F6"/>
    <w:rsid w:val="00B82C0B"/>
    <w:rsid w:val="00B85A69"/>
    <w:rsid w:val="00BA60DC"/>
    <w:rsid w:val="00BC1C1B"/>
    <w:rsid w:val="00BC658E"/>
    <w:rsid w:val="00BE1EB6"/>
    <w:rsid w:val="00BF2425"/>
    <w:rsid w:val="00C10CD1"/>
    <w:rsid w:val="00C43678"/>
    <w:rsid w:val="00C444C4"/>
    <w:rsid w:val="00C52E7B"/>
    <w:rsid w:val="00C7077C"/>
    <w:rsid w:val="00C70BD6"/>
    <w:rsid w:val="00C71C4F"/>
    <w:rsid w:val="00C85D00"/>
    <w:rsid w:val="00C90A6A"/>
    <w:rsid w:val="00C911AC"/>
    <w:rsid w:val="00CA08D1"/>
    <w:rsid w:val="00CB246D"/>
    <w:rsid w:val="00CD2775"/>
    <w:rsid w:val="00CD27D6"/>
    <w:rsid w:val="00CD56E6"/>
    <w:rsid w:val="00CE5331"/>
    <w:rsid w:val="00CF6C3B"/>
    <w:rsid w:val="00D007DC"/>
    <w:rsid w:val="00D02844"/>
    <w:rsid w:val="00D37F42"/>
    <w:rsid w:val="00D411C8"/>
    <w:rsid w:val="00D461B8"/>
    <w:rsid w:val="00D572D6"/>
    <w:rsid w:val="00D6077F"/>
    <w:rsid w:val="00D62C73"/>
    <w:rsid w:val="00D65D20"/>
    <w:rsid w:val="00D74317"/>
    <w:rsid w:val="00D80790"/>
    <w:rsid w:val="00D92800"/>
    <w:rsid w:val="00D96E39"/>
    <w:rsid w:val="00D97B86"/>
    <w:rsid w:val="00DB51FB"/>
    <w:rsid w:val="00DC0DDF"/>
    <w:rsid w:val="00DC2DF7"/>
    <w:rsid w:val="00DC3AD5"/>
    <w:rsid w:val="00DC4292"/>
    <w:rsid w:val="00DD100A"/>
    <w:rsid w:val="00DD6737"/>
    <w:rsid w:val="00DF50F4"/>
    <w:rsid w:val="00DF63F3"/>
    <w:rsid w:val="00E07D0D"/>
    <w:rsid w:val="00E111FC"/>
    <w:rsid w:val="00E12703"/>
    <w:rsid w:val="00E14F3D"/>
    <w:rsid w:val="00E22462"/>
    <w:rsid w:val="00E243DE"/>
    <w:rsid w:val="00E2772E"/>
    <w:rsid w:val="00E3007D"/>
    <w:rsid w:val="00E3025F"/>
    <w:rsid w:val="00E36CA0"/>
    <w:rsid w:val="00E37880"/>
    <w:rsid w:val="00E40FDE"/>
    <w:rsid w:val="00E41DAE"/>
    <w:rsid w:val="00E4329E"/>
    <w:rsid w:val="00E45372"/>
    <w:rsid w:val="00E471E8"/>
    <w:rsid w:val="00E52A0F"/>
    <w:rsid w:val="00E65889"/>
    <w:rsid w:val="00E77E4D"/>
    <w:rsid w:val="00E85BF1"/>
    <w:rsid w:val="00EA39AD"/>
    <w:rsid w:val="00EB2A1D"/>
    <w:rsid w:val="00EB31EF"/>
    <w:rsid w:val="00EC6153"/>
    <w:rsid w:val="00EE1DAA"/>
    <w:rsid w:val="00EE1EFE"/>
    <w:rsid w:val="00EE4AC5"/>
    <w:rsid w:val="00F0140F"/>
    <w:rsid w:val="00F0551C"/>
    <w:rsid w:val="00F06EE4"/>
    <w:rsid w:val="00F2099A"/>
    <w:rsid w:val="00F24C3A"/>
    <w:rsid w:val="00F251CC"/>
    <w:rsid w:val="00F3333B"/>
    <w:rsid w:val="00F73EE7"/>
    <w:rsid w:val="00F80081"/>
    <w:rsid w:val="00F81723"/>
    <w:rsid w:val="00F86D64"/>
    <w:rsid w:val="00F87FE6"/>
    <w:rsid w:val="00FA3191"/>
    <w:rsid w:val="00FA33BB"/>
    <w:rsid w:val="00FA77E8"/>
    <w:rsid w:val="00FB1780"/>
    <w:rsid w:val="00FC1985"/>
    <w:rsid w:val="00FD2FCC"/>
    <w:rsid w:val="00FF25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77F8"/>
  <w15:chartTrackingRefBased/>
  <w15:docId w15:val="{E2F0FD20-4CDF-4FA7-AE83-7BE0ABB4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324E1D"/>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93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1parykinimas">
    <w:name w:val="Grid Table 1 Light Accent 1"/>
    <w:basedOn w:val="prastojilentel"/>
    <w:uiPriority w:val="46"/>
    <w:rsid w:val="00A93B4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raopastraipa">
    <w:name w:val="List Paragraph"/>
    <w:aliases w:val="lp1,Bullet 1,Use Case List Paragraph,List Paragraph21,Buletai,Bullet EY,List Paragraph1,List Paragraph2,Numbering,ERP-List Paragraph,List Paragraph11,List Paragraph111,Paragraph,List Paragraph Red,Table of contents numbered,VARNELES"/>
    <w:basedOn w:val="prastasis"/>
    <w:link w:val="SraopastraipaDiagrama"/>
    <w:uiPriority w:val="34"/>
    <w:qFormat/>
    <w:rsid w:val="00B1799C"/>
    <w:pPr>
      <w:ind w:left="720"/>
      <w:contextualSpacing/>
    </w:pPr>
  </w:style>
  <w:style w:type="character" w:styleId="Hipersaitas">
    <w:name w:val="Hyperlink"/>
    <w:basedOn w:val="Numatytasispastraiposriftas"/>
    <w:uiPriority w:val="99"/>
    <w:unhideWhenUsed/>
    <w:rsid w:val="007E7399"/>
    <w:rPr>
      <w:color w:val="0563C1" w:themeColor="hyperlink"/>
      <w:u w:val="single"/>
    </w:rPr>
  </w:style>
  <w:style w:type="paragraph" w:styleId="Debesliotekstas">
    <w:name w:val="Balloon Text"/>
    <w:basedOn w:val="prastasis"/>
    <w:link w:val="DebesliotekstasDiagrama"/>
    <w:uiPriority w:val="99"/>
    <w:semiHidden/>
    <w:unhideWhenUsed/>
    <w:rsid w:val="00C911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11AC"/>
    <w:rPr>
      <w:rFonts w:ascii="Segoe UI" w:hAnsi="Segoe UI" w:cs="Segoe UI"/>
      <w:sz w:val="18"/>
      <w:szCs w:val="18"/>
    </w:rPr>
  </w:style>
  <w:style w:type="character" w:customStyle="1" w:styleId="Antrat2Diagrama">
    <w:name w:val="Antraštė 2 Diagrama"/>
    <w:basedOn w:val="Numatytasispastraiposriftas"/>
    <w:link w:val="Antrat2"/>
    <w:uiPriority w:val="9"/>
    <w:rsid w:val="00324E1D"/>
    <w:rPr>
      <w:rFonts w:ascii="Times New Roman" w:eastAsia="Times New Roman" w:hAnsi="Times New Roman" w:cs="Times New Roman"/>
      <w:b/>
      <w:bCs/>
      <w:sz w:val="36"/>
      <w:szCs w:val="36"/>
      <w:lang w:eastAsia="lt-LT"/>
    </w:rPr>
  </w:style>
  <w:style w:type="paragraph" w:styleId="Antrats">
    <w:name w:val="header"/>
    <w:basedOn w:val="prastasis"/>
    <w:link w:val="AntratsDiagrama"/>
    <w:uiPriority w:val="99"/>
    <w:unhideWhenUsed/>
    <w:rsid w:val="00BA60D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60DC"/>
  </w:style>
  <w:style w:type="paragraph" w:styleId="Porat">
    <w:name w:val="footer"/>
    <w:basedOn w:val="prastasis"/>
    <w:link w:val="PoratDiagrama"/>
    <w:uiPriority w:val="99"/>
    <w:unhideWhenUsed/>
    <w:rsid w:val="00BA60D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60DC"/>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4D327C"/>
  </w:style>
  <w:style w:type="character" w:styleId="Komentaronuoroda">
    <w:name w:val="annotation reference"/>
    <w:basedOn w:val="Numatytasispastraiposriftas"/>
    <w:uiPriority w:val="99"/>
    <w:semiHidden/>
    <w:unhideWhenUsed/>
    <w:rsid w:val="009F1B8C"/>
    <w:rPr>
      <w:sz w:val="16"/>
      <w:szCs w:val="16"/>
    </w:rPr>
  </w:style>
  <w:style w:type="paragraph" w:styleId="Komentarotekstas">
    <w:name w:val="annotation text"/>
    <w:basedOn w:val="prastasis"/>
    <w:link w:val="KomentarotekstasDiagrama"/>
    <w:uiPriority w:val="99"/>
    <w:semiHidden/>
    <w:unhideWhenUsed/>
    <w:rsid w:val="009F1B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1B8C"/>
    <w:rPr>
      <w:sz w:val="20"/>
      <w:szCs w:val="20"/>
    </w:rPr>
  </w:style>
  <w:style w:type="paragraph" w:styleId="Komentarotema">
    <w:name w:val="annotation subject"/>
    <w:basedOn w:val="Komentarotekstas"/>
    <w:next w:val="Komentarotekstas"/>
    <w:link w:val="KomentarotemaDiagrama"/>
    <w:uiPriority w:val="99"/>
    <w:semiHidden/>
    <w:unhideWhenUsed/>
    <w:rsid w:val="009F1B8C"/>
    <w:rPr>
      <w:b/>
      <w:bCs/>
    </w:rPr>
  </w:style>
  <w:style w:type="character" w:customStyle="1" w:styleId="KomentarotemaDiagrama">
    <w:name w:val="Komentaro tema Diagrama"/>
    <w:basedOn w:val="KomentarotekstasDiagrama"/>
    <w:link w:val="Komentarotema"/>
    <w:uiPriority w:val="99"/>
    <w:semiHidden/>
    <w:rsid w:val="009F1B8C"/>
    <w:rPr>
      <w:b/>
      <w:bCs/>
      <w:sz w:val="20"/>
      <w:szCs w:val="20"/>
    </w:rPr>
  </w:style>
  <w:style w:type="character" w:styleId="Perirtashipersaitas">
    <w:name w:val="FollowedHyperlink"/>
    <w:basedOn w:val="Numatytasispastraiposriftas"/>
    <w:uiPriority w:val="99"/>
    <w:semiHidden/>
    <w:unhideWhenUsed/>
    <w:rsid w:val="000F4DEE"/>
    <w:rPr>
      <w:color w:val="954F72" w:themeColor="followedHyperlink"/>
      <w:u w:val="single"/>
    </w:rPr>
  </w:style>
  <w:style w:type="character" w:customStyle="1" w:styleId="normaltextrun">
    <w:name w:val="normaltextrun"/>
    <w:basedOn w:val="Numatytasispastraiposriftas"/>
    <w:qFormat/>
    <w:rsid w:val="006F3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776102">
      <w:bodyDiv w:val="1"/>
      <w:marLeft w:val="0"/>
      <w:marRight w:val="0"/>
      <w:marTop w:val="0"/>
      <w:marBottom w:val="0"/>
      <w:divBdr>
        <w:top w:val="none" w:sz="0" w:space="0" w:color="auto"/>
        <w:left w:val="none" w:sz="0" w:space="0" w:color="auto"/>
        <w:bottom w:val="none" w:sz="0" w:space="0" w:color="auto"/>
        <w:right w:val="none" w:sz="0" w:space="0" w:color="auto"/>
      </w:divBdr>
    </w:div>
    <w:div w:id="1773478606">
      <w:bodyDiv w:val="1"/>
      <w:marLeft w:val="0"/>
      <w:marRight w:val="0"/>
      <w:marTop w:val="0"/>
      <w:marBottom w:val="0"/>
      <w:divBdr>
        <w:top w:val="none" w:sz="0" w:space="0" w:color="auto"/>
        <w:left w:val="none" w:sz="0" w:space="0" w:color="auto"/>
        <w:bottom w:val="none" w:sz="0" w:space="0" w:color="auto"/>
        <w:right w:val="none" w:sz="0" w:space="0" w:color="auto"/>
      </w:divBdr>
    </w:div>
    <w:div w:id="1983846267">
      <w:bodyDiv w:val="1"/>
      <w:marLeft w:val="0"/>
      <w:marRight w:val="0"/>
      <w:marTop w:val="0"/>
      <w:marBottom w:val="0"/>
      <w:divBdr>
        <w:top w:val="none" w:sz="0" w:space="0" w:color="auto"/>
        <w:left w:val="none" w:sz="0" w:space="0" w:color="auto"/>
        <w:bottom w:val="none" w:sz="0" w:space="0" w:color="auto"/>
        <w:right w:val="none" w:sz="0" w:space="0" w:color="auto"/>
      </w:divBdr>
    </w:div>
    <w:div w:id="19946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DACF-9BDD-467B-91FF-B43B1B5C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5966</Words>
  <Characters>3401</Characters>
  <Application>Microsoft Office Word</Application>
  <DocSecurity>4</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Pabarška</dc:creator>
  <cp:keywords/>
  <dc:description/>
  <cp:lastModifiedBy>Asta Kaupaitė</cp:lastModifiedBy>
  <cp:revision>2</cp:revision>
  <cp:lastPrinted>2017-07-17T09:54:00Z</cp:lastPrinted>
  <dcterms:created xsi:type="dcterms:W3CDTF">2025-07-23T04:25:00Z</dcterms:created>
  <dcterms:modified xsi:type="dcterms:W3CDTF">2025-07-23T04:25:00Z</dcterms:modified>
</cp:coreProperties>
</file>