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r>
    </w:p>
    <w:p>
      <w:pPr>
        <w:pStyle w:val="Normal"/>
        <w:jc w:val="center"/>
        <w:rPr>
          <w:b/>
        </w:rPr>
      </w:pPr>
      <w:r>
        <w:rPr>
          <w:b/>
        </w:rPr>
        <w:t>TYRIMO ,,PSICHOAKTYVIŲJŲ MEDŽIAGŲ VARTOJIMO PAPLITIMAS BENDROJOJE POPULIACIJOJE“</w:t>
      </w:r>
    </w:p>
    <w:p>
      <w:pPr>
        <w:pStyle w:val="Normal"/>
        <w:jc w:val="center"/>
        <w:rPr>
          <w:b/>
        </w:rPr>
      </w:pPr>
      <w:r>
        <w:rPr>
          <w:b/>
        </w:rPr>
      </w:r>
    </w:p>
    <w:p>
      <w:pPr>
        <w:pStyle w:val="Normal"/>
        <w:jc w:val="center"/>
        <w:rPr>
          <w:b/>
        </w:rPr>
      </w:pPr>
      <w:r>
        <w:rPr>
          <w:b/>
        </w:rPr>
        <w:t>TECHNINĖ SPECIFIKACIJA</w:t>
      </w:r>
    </w:p>
    <w:p>
      <w:pPr>
        <w:pStyle w:val="Normal"/>
        <w:jc w:val="center"/>
        <w:rPr>
          <w:b/>
        </w:rPr>
      </w:pPr>
      <w:r>
        <w:rPr>
          <w:b/>
        </w:rPr>
      </w:r>
    </w:p>
    <w:p>
      <w:pPr>
        <w:pStyle w:val="Normal"/>
        <w:jc w:val="center"/>
        <w:rPr>
          <w:b/>
        </w:rPr>
      </w:pPr>
      <w:r>
        <w:rPr>
          <w:b/>
        </w:rPr>
        <w:t>I. TYRIMO APRAŠYMAS / PRISTATYMAS</w:t>
      </w:r>
    </w:p>
    <w:p>
      <w:pPr>
        <w:pStyle w:val="Normal"/>
        <w:jc w:val="center"/>
        <w:rPr>
          <w:b/>
        </w:rPr>
      </w:pPr>
      <w:r>
        <w:rPr>
          <w:b/>
        </w:rPr>
      </w:r>
    </w:p>
    <w:p>
      <w:pPr>
        <w:pStyle w:val="Normal"/>
        <w:jc w:val="center"/>
        <w:rPr>
          <w:b/>
        </w:rPr>
      </w:pPr>
      <w:r>
        <w:rPr>
          <w:b/>
        </w:rPr>
      </w:r>
    </w:p>
    <w:p>
      <w:pPr>
        <w:pStyle w:val="Normal"/>
        <w:spacing w:lineRule="atLeast" w:line="240"/>
        <w:ind w:firstLine="547"/>
        <w:jc w:val="both"/>
        <w:rPr>
          <w:color w:val="000000"/>
          <w:szCs w:val="24"/>
          <w:lang w:eastAsia="hi-IN"/>
        </w:rPr>
      </w:pPr>
      <w:r>
        <w:rPr/>
        <w:t>1. Psichoaktyviųjų medžiagų vartojimo paplitimo bendrojoje populiacijoje tyrimas (toliau – Tyrimas) atliekamas įgyvendinant Tabako gaminių ir su tabako gaminiais susijusių gaminių vartojimo, jų daromos žalos sveikatai ir ūkiui stebėsenos (monitoringo) taisyklių, patvirtintų Lietuvos Respublikos Vyriausybės 2004 m. rugpjūčio 19 d. nutarimu Nr. 997 „Dėl tabako gaminių ir su tabako gaminiais susijusių gaminių vartojimo, jų daromos žalos sveikatai ir ūkui stebėsenos (monitoringo) taisyklių patvirtinimo“, 6.7.1 papunktyje, Alkoholio vartojimo, jo daromos ekonominės žalos sveikatai ir ūkiui stebėsenos (monitoringo) taisyklių, patvirtintų Lietuvos Respublikos Vyriausybės 2004 m. rugsėjo 6 d. nutarimu Nr. 1135 „Dėl alkoholio vartojimo, jo daromos ekonominės žalos sveikatai ir ūkiui stebėsenos (monitoringo) taisyklių patvirtinimo“,  6.10.4 papunktyje nustatytus reikalavimus ir Narkotikų, tabako ir alkoholio kontrolės d</w:t>
      </w:r>
      <w:r>
        <w:rPr>
          <w:szCs w:val="24"/>
        </w:rPr>
        <w:t>epartamento (toliau – Departamentas) 2025 metų veiklos plano, patvirtinto Departamento direktoriaus 2024 m. balandžio 1 d. įsakymu Nr. T1-8 „Dėl Narkotikų, tabako ir alkoholio kontrolės departamento 2025 metų veiklos plano patvirtinimo“, 11-001-11-01-03 priemonę.</w:t>
      </w:r>
    </w:p>
    <w:p>
      <w:pPr>
        <w:pStyle w:val="Normal"/>
        <w:ind w:firstLine="540"/>
        <w:jc w:val="both"/>
        <w:rPr/>
      </w:pPr>
      <w:r>
        <w:rPr/>
        <w:t>2. Pagrindiniai Tyrimo tikslai:</w:t>
      </w:r>
    </w:p>
    <w:p>
      <w:pPr>
        <w:pStyle w:val="Normal"/>
        <w:ind w:firstLine="540"/>
        <w:jc w:val="both"/>
        <w:rPr/>
      </w:pPr>
      <w:r>
        <w:rPr/>
        <w:t>2.1. surinkti ir įvertinti duomenis apie narkotinių ir psichotropinių medžiagų ir naujų psichoaktyviųjų medžiagų vartojimo paplitimą bendrojoje populiacijoje pagal lytį ir amžiaus grupes;</w:t>
      </w:r>
    </w:p>
    <w:p>
      <w:pPr>
        <w:pStyle w:val="Normal"/>
        <w:ind w:firstLine="540"/>
        <w:jc w:val="both"/>
        <w:rPr/>
      </w:pPr>
      <w:r>
        <w:rPr/>
        <w:t xml:space="preserve">2.2. surinkti ir įvertinti duomenis apie alkoholinių gėrimų, tabako gaminių ir su tabako gaminiais susijusių gaminių, receptinių raminamųjų ar migdomųjų vaistų </w:t>
      </w:r>
      <w:bookmarkStart w:id="0" w:name="_Hlk201827669"/>
      <w:r>
        <w:rPr/>
        <w:t>(vartojamų ne pagal paskirtį)</w:t>
      </w:r>
      <w:bookmarkEnd w:id="0"/>
      <w:r>
        <w:rPr/>
        <w:t xml:space="preserve"> vartojimo paplitimą bendrojoje populiacijoje pagal lytį ir amžiaus grupes;</w:t>
      </w:r>
    </w:p>
    <w:p>
      <w:pPr>
        <w:pStyle w:val="Normal"/>
        <w:ind w:firstLine="540"/>
        <w:jc w:val="both"/>
        <w:rPr/>
      </w:pPr>
      <w:r>
        <w:rPr/>
        <w:t>2.3. įvertinti Lietuvos gyventojų elgesio modelius ir nuostatas tabako, alkoholinių gėrimų, receptinių raminamųjų ar migdomųjų vaistų (vartojamų ne pagal paskirtį) bei narkotinių ir psichotropinių medžiagų vartojimo atžvilgiu;</w:t>
      </w:r>
    </w:p>
    <w:p>
      <w:pPr>
        <w:pStyle w:val="Normal"/>
        <w:ind w:firstLine="540"/>
        <w:jc w:val="both"/>
        <w:rPr/>
      </w:pPr>
      <w:r>
        <w:rPr/>
        <w:t>2.4. įvertinti narkotinių ir psichotropinių medžiagų, naujų psichoaktyviųjų medžiagų, tabako gaminių ir su tabako gaminiais susijusių gaminių, alkoholinių gėrimų, receptinių raminamųjų ar migdomųjų vaistų (vartojamų ne pagal paskirtį) vartojimą tarp skirtingų socialinių demografinių grupių respondentų.</w:t>
      </w:r>
    </w:p>
    <w:p>
      <w:pPr>
        <w:pStyle w:val="Normal"/>
        <w:ind w:firstLine="540"/>
        <w:jc w:val="both"/>
        <w:rPr/>
      </w:pPr>
      <w:r>
        <w:rPr/>
        <w:t>3. Tikslinė Tyrimo grupė – 15–64 metų amžiaus nuolatiniai Lietuvos gyventojai.</w:t>
      </w:r>
    </w:p>
    <w:p>
      <w:pPr>
        <w:pStyle w:val="Normal"/>
        <w:ind w:firstLine="540"/>
        <w:jc w:val="both"/>
        <w:rPr>
          <w:szCs w:val="24"/>
        </w:rPr>
      </w:pPr>
      <w:r>
        <w:rPr/>
        <w:t>4. Tyrimo metodas – nuolatinių Lietuvos gyventojų apklausa, atliekama remiantis</w:t>
      </w:r>
      <w:r>
        <w:rPr>
          <w:rFonts w:cs="TT610O00"/>
          <w:lang w:bidi="ta-IN"/>
        </w:rPr>
        <w:t xml:space="preserve"> Europos Sąjungos narkotikų agentūros (</w:t>
      </w:r>
      <w:r>
        <w:rPr>
          <w:rFonts w:cs="TT610O00"/>
          <w:i/>
          <w:iCs/>
          <w:lang w:bidi="ta-IN"/>
        </w:rPr>
        <w:t>angl. European Union Drugs Agency</w:t>
      </w:r>
      <w:r>
        <w:rPr>
          <w:rFonts w:cs="TT610O00"/>
          <w:lang w:bidi="ta-IN"/>
        </w:rPr>
        <w:t>) parengta metodika (</w:t>
      </w:r>
      <w:hyperlink r:id="rId2">
        <w:r>
          <w:rPr>
            <w:rStyle w:val="Hyperlink"/>
            <w:szCs w:val="24"/>
          </w:rPr>
          <w:t>http://www.emcdda.europa.eu/system/files/publications/244/Handbook_for_surveys_on_drug_use_among_the_general_population_-_2002_106510.pdf</w:t>
        </w:r>
      </w:hyperlink>
      <w:r>
        <w:rPr>
          <w:rFonts w:cs="TT610O00"/>
          <w:lang w:bidi="ta-IN"/>
        </w:rPr>
        <w:t xml:space="preserve">) (toliau – Metodika). Apklausa atliekama naudojant adaptuotą Europinio modelio klausimyną (EMQ </w:t>
      </w:r>
      <w:r>
        <w:rPr>
          <w:rFonts w:cs="TT610O00"/>
          <w:i/>
          <w:iCs/>
          <w:lang w:bidi="ta-IN"/>
        </w:rPr>
        <w:t>(angl. European Model Questionnaire)</w:t>
      </w:r>
      <w:r>
        <w:rPr>
          <w:rFonts w:cs="TT610O00"/>
          <w:lang w:bidi="ta-IN"/>
        </w:rPr>
        <w:t>)</w:t>
      </w:r>
      <w:r>
        <w:rPr>
          <w:rFonts w:cs="TT619O00"/>
          <w:i/>
          <w:iCs/>
          <w:lang w:bidi="ta-IN"/>
        </w:rPr>
        <w:t xml:space="preserve"> </w:t>
      </w:r>
      <w:r>
        <w:rPr>
          <w:rFonts w:cs="TT619O00"/>
          <w:lang w:bidi="ta-IN"/>
        </w:rPr>
        <w:t xml:space="preserve">(toliau – Klausimynas), </w:t>
      </w:r>
      <w:r>
        <w:rPr>
          <w:rFonts w:cs="TT610O00"/>
          <w:lang w:bidi="ta-IN"/>
        </w:rPr>
        <w:t xml:space="preserve">laikantis </w:t>
      </w:r>
      <w:r>
        <w:rPr>
          <w:szCs w:val="24"/>
        </w:rPr>
        <w:t xml:space="preserve">Lietuvos </w:t>
      </w:r>
      <w:r>
        <w:rPr>
          <w:bCs/>
          <w:szCs w:val="24"/>
        </w:rPr>
        <w:t xml:space="preserve">socialinių tyrimų </w:t>
      </w:r>
      <w:r>
        <w:rPr>
          <w:szCs w:val="24"/>
        </w:rPr>
        <w:t xml:space="preserve">asociacijos, Europos viešosios nuomonės ir rinkos tyrimų asociacijos (ESOMAR </w:t>
      </w:r>
      <w:r>
        <w:rPr>
          <w:i/>
          <w:iCs/>
          <w:szCs w:val="24"/>
        </w:rPr>
        <w:t>(angl. European Society for Opinion and Marketing Research)</w:t>
      </w:r>
      <w:r>
        <w:rPr>
          <w:szCs w:val="24"/>
        </w:rPr>
        <w:t>) arba kitos tarptautinės asociacijos, galinčios užtikrinti narių įsipareigojimą laikytis aukštų visuomenės nuomonės ir rinkos tyrimų kokybės standartų bei socialinių tyrimų etikos principų, nustatytų rinkos tyrimų objektyvumo, tyrimų rezultatų neviešinimo ir</w:t>
      </w:r>
      <w:r>
        <w:rPr>
          <w:rFonts w:cs="TT610O00"/>
          <w:lang w:bidi="ta-IN"/>
        </w:rPr>
        <w:t xml:space="preserve"> kokybės standartų</w:t>
      </w:r>
      <w:bookmarkStart w:id="1" w:name="OLE_LINK2"/>
      <w:bookmarkStart w:id="2" w:name="OLE_LINK1"/>
      <w:r>
        <w:rPr>
          <w:rFonts w:cs="TT610O00"/>
          <w:lang w:bidi="ta-IN"/>
        </w:rPr>
        <w:t>.</w:t>
      </w:r>
    </w:p>
    <w:p>
      <w:pPr>
        <w:pStyle w:val="Normal"/>
        <w:ind w:firstLine="540"/>
        <w:jc w:val="both"/>
        <w:rPr>
          <w:color w:themeColor="text1" w:val="000000"/>
        </w:rPr>
      </w:pPr>
      <w:r>
        <w:rPr>
          <w:rFonts w:cs="TT619O00"/>
          <w:lang w:bidi="ta-IN"/>
        </w:rPr>
        <w:t xml:space="preserve">5. </w:t>
      </w:r>
      <w:r>
        <w:rPr>
          <w:rFonts w:cs="TT619O00"/>
          <w:color w:themeColor="text1" w:val="000000"/>
          <w:lang w:bidi="ta-IN"/>
        </w:rPr>
        <w:t xml:space="preserve">Tyrimo instrumentas – </w:t>
      </w:r>
      <w:r>
        <w:rPr>
          <w:rFonts w:cs="TT610O00"/>
          <w:color w:themeColor="text1" w:val="000000"/>
          <w:lang w:bidi="ta-IN"/>
        </w:rPr>
        <w:t xml:space="preserve">Klausimynas, susidedantis iš </w:t>
      </w:r>
      <w:r>
        <w:rPr>
          <w:color w:themeColor="text1" w:val="000000"/>
        </w:rPr>
        <w:t>138 klausimų. Pagrindinė Klausimyno dalis sudaryta iš 120 klausimų, respondento duomenys – 8 klausimų ir 10 klausimų – apklausėjui.</w:t>
      </w:r>
      <w:bookmarkEnd w:id="1"/>
      <w:bookmarkEnd w:id="2"/>
    </w:p>
    <w:p>
      <w:pPr>
        <w:pStyle w:val="Normal"/>
        <w:ind w:firstLine="540"/>
        <w:jc w:val="both"/>
        <w:rPr>
          <w:rFonts w:cs="TT610O00"/>
          <w:lang w:bidi="ta-IN"/>
        </w:rPr>
      </w:pPr>
      <w:r>
        <w:rPr/>
        <w:t xml:space="preserve">6. Respondentų apklausos metodas – </w:t>
      </w:r>
      <w:r>
        <w:rPr>
          <w:rFonts w:cs="TT610O00"/>
          <w:lang w:bidi="ta-IN"/>
        </w:rPr>
        <w:t>tiesioginis interviu</w:t>
      </w:r>
      <w:r>
        <w:rPr/>
        <w:t xml:space="preserve"> </w:t>
      </w:r>
      <w:r>
        <w:rPr>
          <w:rFonts w:cs="TT619O00"/>
          <w:i/>
          <w:iCs/>
          <w:lang w:bidi="ta-IN"/>
        </w:rPr>
        <w:t>(angl. face-to-face)</w:t>
      </w:r>
      <w:r>
        <w:rPr>
          <w:rFonts w:cs="TT610O00"/>
          <w:lang w:bidi="ta-IN"/>
        </w:rPr>
        <w:t xml:space="preserve">, kurio metu respondentus apklausia ir Klausimyną pildo specialių apmokymų kursą išklausę apklausėjai, parengti profesionaliai atlikti apklausas visoje Lietuvoje. Tais atvejais, kai negalima išvengti pašalinių asmenų dalyvavimo interviu metu, Klausimyno dalį, susijusią su </w:t>
      </w:r>
      <w:r>
        <w:rPr/>
        <w:t>narkotinių ir psichotropinių medžiagų</w:t>
      </w:r>
      <w:r>
        <w:rPr>
          <w:rFonts w:cs="TT610O00"/>
          <w:lang w:bidi="ta-IN"/>
        </w:rPr>
        <w:t xml:space="preserve"> vartojimo patirtimi, pildo pats respondentas.</w:t>
      </w:r>
    </w:p>
    <w:p>
      <w:pPr>
        <w:pStyle w:val="Normal"/>
        <w:ind w:firstLine="540"/>
        <w:jc w:val="both"/>
        <w:rPr/>
      </w:pPr>
      <w:r>
        <w:rPr>
          <w:spacing w:val="4"/>
        </w:rPr>
        <w:t>7. Faktiškas a</w:t>
      </w:r>
      <w:r>
        <w:rPr/>
        <w:t xml:space="preserve">pklaustųjų respondentų skaičius </w:t>
      </w:r>
      <w:r>
        <w:rPr>
          <w:i/>
          <w:iCs/>
        </w:rPr>
        <w:t>(</w:t>
      </w:r>
      <w:r>
        <w:rPr>
          <w:rFonts w:cs="TT619O00"/>
          <w:i/>
          <w:iCs/>
          <w:lang w:bidi="ta-IN"/>
        </w:rPr>
        <w:t xml:space="preserve">angl. </w:t>
      </w:r>
      <w:r>
        <w:rPr>
          <w:i/>
          <w:iCs/>
        </w:rPr>
        <w:t>net response)</w:t>
      </w:r>
      <w:r>
        <w:rPr>
          <w:spacing w:val="4"/>
        </w:rPr>
        <w:t xml:space="preserve"> ne mažiau kaip 4560 respondentų.</w:t>
      </w:r>
    </w:p>
    <w:p>
      <w:pPr>
        <w:pStyle w:val="Normal"/>
        <w:ind w:firstLine="540"/>
        <w:jc w:val="both"/>
        <w:rPr>
          <w:spacing w:val="4"/>
        </w:rPr>
      </w:pPr>
      <w:r>
        <w:rPr>
          <w:spacing w:val="4"/>
        </w:rPr>
      </w:r>
    </w:p>
    <w:p>
      <w:pPr>
        <w:pStyle w:val="Normal"/>
        <w:jc w:val="center"/>
        <w:rPr>
          <w:b/>
          <w:spacing w:val="4"/>
        </w:rPr>
      </w:pPr>
      <w:r>
        <w:rPr>
          <w:b/>
          <w:spacing w:val="4"/>
        </w:rPr>
        <w:t>II. PAGRINDINIAI REIKALAVIMAI ATLIEKAMIEMS TYRIMO DARBAMS</w:t>
      </w:r>
    </w:p>
    <w:p>
      <w:pPr>
        <w:pStyle w:val="Normal"/>
        <w:ind w:firstLine="540"/>
        <w:jc w:val="center"/>
        <w:rPr>
          <w:b/>
          <w:spacing w:val="4"/>
        </w:rPr>
      </w:pPr>
      <w:r>
        <w:rPr>
          <w:b/>
          <w:spacing w:val="4"/>
        </w:rPr>
      </w:r>
    </w:p>
    <w:p>
      <w:pPr>
        <w:pStyle w:val="Normal"/>
        <w:ind w:firstLine="540"/>
        <w:jc w:val="both"/>
        <w:rPr>
          <w:spacing w:val="4"/>
        </w:rPr>
      </w:pPr>
      <w:r>
        <w:rPr>
          <w:spacing w:val="4"/>
        </w:rPr>
        <w:t>8. Tyrimo paslaugos teikimas turi atitikti šias sąlygas, išdėstytas pagal Tyrimo eigą:</w:t>
      </w:r>
    </w:p>
    <w:p>
      <w:pPr>
        <w:pStyle w:val="Normal"/>
        <w:ind w:firstLine="540"/>
        <w:jc w:val="both"/>
        <w:rPr>
          <w:spacing w:val="4"/>
        </w:rPr>
      </w:pPr>
      <w:r>
        <w:rPr>
          <w:spacing w:val="4"/>
        </w:rPr>
        <w:t>8.1. pasirengimas Tyrimui:</w:t>
      </w:r>
    </w:p>
    <w:p>
      <w:pPr>
        <w:pStyle w:val="Normal"/>
        <w:ind w:firstLine="540"/>
        <w:jc w:val="both"/>
        <w:rPr>
          <w:rStyle w:val="Hyperlink"/>
          <w:spacing w:val="4"/>
        </w:rPr>
      </w:pPr>
      <w:r>
        <w:rPr>
          <w:spacing w:val="4"/>
        </w:rPr>
        <w:t>8.1.1. parengti Tyrimo metodologiją, detaliai aprašant Tyrimo parametrus, naudojantis Metodika</w:t>
      </w:r>
      <w:r>
        <w:rPr/>
        <w:t>;</w:t>
      </w:r>
    </w:p>
    <w:p>
      <w:pPr>
        <w:pStyle w:val="Normal"/>
        <w:ind w:firstLine="540"/>
        <w:jc w:val="both"/>
        <w:rPr>
          <w:spacing w:val="4"/>
        </w:rPr>
      </w:pPr>
      <w:r>
        <w:rPr/>
        <w:t xml:space="preserve">8.1.2. </w:t>
      </w:r>
      <w:r>
        <w:rPr>
          <w:spacing w:val="4"/>
        </w:rPr>
        <w:t>atliekant Tyrimą, naudoti reprezentatyvią tikimybinę imtį, įvertinant 15–64 m. Lietuvos gyventojų pasiskirstymą pagal apskritis, gyvenamąją vietą (miestas, kaimas),</w:t>
      </w:r>
      <w:r>
        <w:rPr/>
        <w:t xml:space="preserve"> </w:t>
      </w:r>
      <w:r>
        <w:rPr>
          <w:spacing w:val="4"/>
        </w:rPr>
        <w:t xml:space="preserve">nustatomą vadovaujantis 1994 m. liepos 19 d. įstatymu Nr. I-558 „Lietuvos Respublikos teritorijos administracinių vienetų ir jų ribų įstatymas“, amžių bei lytį, taikant stratifikaciją pagal amžių ir lytį, užtikrinant, kad kiekvienoje iš 10 amžiaus ir lyties grupių būtų apklaustas ne mažesnis kaip 456 respondentų skaičius; </w:t>
      </w:r>
    </w:p>
    <w:p>
      <w:pPr>
        <w:pStyle w:val="Normal"/>
        <w:ind w:firstLine="540"/>
        <w:jc w:val="both"/>
        <w:rPr>
          <w:rFonts w:cs="TT610O00"/>
          <w:lang w:bidi="ta-IN"/>
        </w:rPr>
      </w:pPr>
      <w:r>
        <w:rPr>
          <w:rFonts w:cs="TT610O00"/>
          <w:lang w:bidi="ta-IN"/>
        </w:rPr>
        <w:t>8.1.3. sudarant imtį, remtis Valstybės duomenų agentūros duomenimis;</w:t>
      </w:r>
    </w:p>
    <w:p>
      <w:pPr>
        <w:pStyle w:val="Normal"/>
        <w:ind w:firstLine="540"/>
        <w:jc w:val="both"/>
        <w:rPr/>
      </w:pPr>
      <w:r>
        <w:rPr>
          <w:spacing w:val="4"/>
        </w:rPr>
        <w:t>8.1.4. nurodyti imties reprezentatyvumą ir pagrindinius imties kriterijus;</w:t>
      </w:r>
    </w:p>
    <w:p>
      <w:pPr>
        <w:pStyle w:val="Normal"/>
        <w:ind w:firstLine="540"/>
        <w:jc w:val="both"/>
        <w:rPr>
          <w:spacing w:val="4"/>
        </w:rPr>
      </w:pPr>
      <w:r>
        <w:rPr/>
        <w:t xml:space="preserve">8.1.5. </w:t>
      </w:r>
      <w:r>
        <w:rPr>
          <w:spacing w:val="4"/>
        </w:rPr>
        <w:t>parengti ir pateikti užsakovui apklausos vykdymo instrukcijas apklausėjams, kad pildant Klausimyną būtų išvengta apklausėjo šališkumo bei užtikrintas gautų rezultatų patikimumas;</w:t>
      </w:r>
    </w:p>
    <w:p>
      <w:pPr>
        <w:pStyle w:val="Normal"/>
        <w:ind w:firstLine="540"/>
        <w:jc w:val="both"/>
        <w:rPr>
          <w:spacing w:val="4"/>
          <w:highlight w:val="yellow"/>
        </w:rPr>
      </w:pPr>
      <w:r>
        <w:rPr>
          <w:spacing w:val="4"/>
        </w:rPr>
        <w:t>8.1.6. atlikti apklausėjų mokymus dėl apklausos vykdymo;</w:t>
      </w:r>
    </w:p>
    <w:p>
      <w:pPr>
        <w:pStyle w:val="Normal"/>
        <w:ind w:firstLine="540"/>
        <w:jc w:val="both"/>
        <w:rPr>
          <w:spacing w:val="4"/>
        </w:rPr>
      </w:pPr>
      <w:r>
        <w:rPr>
          <w:spacing w:val="4"/>
        </w:rPr>
        <w:t xml:space="preserve">8.1.7. prieš atliekant Tyrimą, suderinti metodologiją su užsakovu. Užsakovui pateikti atrankos procedūros aprašymą, nurodant tikslinės populiacijos dydį </w:t>
      </w:r>
      <w:r>
        <w:rPr>
          <w:i/>
          <w:iCs/>
          <w:spacing w:val="4"/>
        </w:rPr>
        <w:t>(angl. size of target population)</w:t>
      </w:r>
      <w:r>
        <w:rPr>
          <w:spacing w:val="4"/>
        </w:rPr>
        <w:t xml:space="preserve">, pradinį apklausos imties dydį </w:t>
      </w:r>
      <w:r>
        <w:rPr>
          <w:i/>
          <w:iCs/>
          <w:spacing w:val="4"/>
        </w:rPr>
        <w:t>(angl. initial size of survey sample)</w:t>
      </w:r>
      <w:r>
        <w:rPr>
          <w:spacing w:val="4"/>
        </w:rPr>
        <w:t>, atrinktas grupes;</w:t>
      </w:r>
    </w:p>
    <w:p>
      <w:pPr>
        <w:pStyle w:val="Normal"/>
        <w:ind w:firstLine="540"/>
        <w:jc w:val="both"/>
        <w:rPr>
          <w:spacing w:val="4"/>
        </w:rPr>
      </w:pPr>
      <w:r>
        <w:rPr>
          <w:spacing w:val="4"/>
        </w:rPr>
        <w:t xml:space="preserve">8.2. lauko darbai </w:t>
      </w:r>
      <w:r>
        <w:rPr>
          <w:i/>
          <w:iCs/>
          <w:spacing w:val="4"/>
        </w:rPr>
        <w:t>(angl. fieldwork)</w:t>
      </w:r>
      <w:r>
        <w:rPr>
          <w:spacing w:val="4"/>
        </w:rPr>
        <w:t>, duomenų apdorojimas:</w:t>
      </w:r>
    </w:p>
    <w:p>
      <w:pPr>
        <w:pStyle w:val="Normal"/>
        <w:ind w:firstLine="540"/>
        <w:jc w:val="both"/>
        <w:rPr/>
      </w:pPr>
      <w:r>
        <w:rPr/>
        <w:t>8.2.1. atlikti 10 proc. Klausimyno duomenų suvedimo kokybės kontrolę;</w:t>
      </w:r>
    </w:p>
    <w:p>
      <w:pPr>
        <w:pStyle w:val="Normal"/>
        <w:ind w:firstLine="540"/>
        <w:jc w:val="both"/>
        <w:rPr/>
      </w:pPr>
      <w:r>
        <w:rPr/>
        <w:t>8.2.2. nurodyti laikotarpį, kurio metu vyko duomenų rinkimas (lauko darbai);</w:t>
      </w:r>
    </w:p>
    <w:p>
      <w:pPr>
        <w:pStyle w:val="Normal"/>
        <w:ind w:firstLine="540"/>
        <w:jc w:val="both"/>
        <w:rPr/>
      </w:pPr>
      <w:r>
        <w:rPr/>
        <w:t xml:space="preserve">8.2.3. </w:t>
      </w:r>
      <w:r>
        <w:rPr>
          <w:spacing w:val="4"/>
        </w:rPr>
        <w:t xml:space="preserve">pateikti lauko darbų atlikimo techninius aprašymus, detalizuojant visos imties skaičių </w:t>
      </w:r>
      <w:r>
        <w:rPr>
          <w:i/>
          <w:iCs/>
          <w:spacing w:val="4"/>
        </w:rPr>
        <w:t>(angl. total gross sample size)</w:t>
      </w:r>
      <w:r>
        <w:rPr/>
        <w:t xml:space="preserve">, galutinės imties dydį </w:t>
      </w:r>
      <w:r>
        <w:rPr>
          <w:i/>
          <w:iCs/>
        </w:rPr>
        <w:t>(angl. final sample size)</w:t>
      </w:r>
      <w:r>
        <w:rPr/>
        <w:t xml:space="preserve">, įskaitant papildytus ar pakeistus respondentus, atrankos rėmo klaidų skaičių </w:t>
      </w:r>
      <w:r>
        <w:rPr>
          <w:i/>
          <w:iCs/>
        </w:rPr>
        <w:t>(angl. frame errors)</w:t>
      </w:r>
      <w:r>
        <w:rPr/>
        <w:t xml:space="preserve">, kontaktuotų asmenų skaičių </w:t>
      </w:r>
      <w:r>
        <w:rPr>
          <w:i/>
          <w:iCs/>
        </w:rPr>
        <w:t>(angl. sample actually contacted)</w:t>
      </w:r>
      <w:r>
        <w:rPr/>
        <w:t xml:space="preserve">, įskaitinį imties skaičių </w:t>
      </w:r>
      <w:r>
        <w:rPr>
          <w:i/>
          <w:iCs/>
        </w:rPr>
        <w:t>(angl. valid gross sample size),</w:t>
      </w:r>
      <w:r>
        <w:rPr/>
        <w:t xml:space="preserve"> faktišką apklaustųjų skaičių </w:t>
      </w:r>
      <w:r>
        <w:rPr>
          <w:i/>
          <w:iCs/>
        </w:rPr>
        <w:t>(angl. net response)</w:t>
      </w:r>
      <w:r>
        <w:rPr/>
        <w:t xml:space="preserve">, </w:t>
      </w:r>
      <w:r>
        <w:rPr>
          <w:spacing w:val="4"/>
        </w:rPr>
        <w:t xml:space="preserve">atsisakiusiųjų dalyvauti apklausoje skaičių, atsisakymo priežastis; apklausėjams iškilusias problemas ir jų sprendimus; </w:t>
      </w:r>
      <w:r>
        <w:rPr/>
        <w:t>detalizuoti dalyvavusių ir nedalyvavusių Tyrime respondentų pasiskirstymą faktiniais skaičiais ir procentais;</w:t>
      </w:r>
    </w:p>
    <w:p>
      <w:pPr>
        <w:pStyle w:val="Normal"/>
        <w:ind w:firstLine="540"/>
        <w:jc w:val="both"/>
        <w:rPr/>
      </w:pPr>
      <w:r>
        <w:rPr/>
        <w:t>8.2.4. atlikti duomenų svėrimo procedūrą pagal respondentų amžių, lytį, gyvenamąją vietą (miestas, kaimas). Pasverti duomenys turi atitikti realų Lietuvos gyventojų pasiskirstymą. Pateikti svorių apskaičiavimo aprašą, faktinę ir pasvertą imties struktūrą, kiekvienos grupės svorio reikšmes;</w:t>
      </w:r>
    </w:p>
    <w:p>
      <w:pPr>
        <w:pStyle w:val="Normal"/>
        <w:ind w:firstLine="540"/>
        <w:jc w:val="both"/>
        <w:rPr>
          <w:spacing w:val="4"/>
        </w:rPr>
      </w:pPr>
      <w:r>
        <w:rPr>
          <w:spacing w:val="4"/>
        </w:rPr>
        <w:t>8.2.5. Tyrimo duomenis apdoroti taikant patikimus statistikos metodus;</w:t>
      </w:r>
    </w:p>
    <w:p>
      <w:pPr>
        <w:pStyle w:val="Normal"/>
        <w:ind w:firstLine="540"/>
        <w:jc w:val="both"/>
        <w:rPr>
          <w:spacing w:val="4"/>
        </w:rPr>
      </w:pPr>
      <w:r>
        <w:rPr>
          <w:spacing w:val="4"/>
        </w:rPr>
        <w:t>8.3. duomenų analizė ir rezultatų pateikimas:</w:t>
      </w:r>
    </w:p>
    <w:p>
      <w:pPr>
        <w:pStyle w:val="Normal"/>
        <w:ind w:firstLine="540"/>
        <w:jc w:val="both"/>
        <w:rPr/>
      </w:pPr>
      <w:r>
        <w:rPr/>
        <w:t>8.3.1. Tyrimo paskaičiavimus atlikti procentais, kartu pateikiant faktinius imties skaičius;</w:t>
      </w:r>
    </w:p>
    <w:p>
      <w:pPr>
        <w:pStyle w:val="Normal"/>
        <w:ind w:firstLine="540"/>
        <w:jc w:val="both"/>
        <w:rPr/>
      </w:pPr>
      <w:r>
        <w:rPr/>
        <w:t>8.3.2. pateikti respondentų demografinį paveikslą pagal amžiaus grupes, lytį, gyvenamąją vietą (miestas, kaimas) ir apskritį;</w:t>
      </w:r>
    </w:p>
    <w:p>
      <w:pPr>
        <w:pStyle w:val="Normal"/>
        <w:ind w:firstLine="540"/>
        <w:jc w:val="both"/>
        <w:rPr>
          <w:spacing w:val="4"/>
        </w:rPr>
      </w:pPr>
      <w:r>
        <w:rPr/>
        <w:t>8.3.3. duomenų analizėje nuosekliai naudoti laiko parametrus trumpiniais LTP (</w:t>
      </w:r>
      <w:r>
        <w:rPr>
          <w:i/>
          <w:iCs/>
        </w:rPr>
        <w:t>angl.</w:t>
      </w:r>
      <w:r>
        <w:rPr/>
        <w:t xml:space="preserve"> </w:t>
      </w:r>
      <w:r>
        <w:rPr>
          <w:i/>
        </w:rPr>
        <w:t>lifetime prevalence</w:t>
      </w:r>
      <w:r>
        <w:rPr/>
        <w:t xml:space="preserve"> – nustatytas psichoaktyviųjų medžiagų vartojimas bent kartą gyvenime), LYP (</w:t>
      </w:r>
      <w:r>
        <w:rPr>
          <w:i/>
          <w:iCs/>
        </w:rPr>
        <w:t>angl.</w:t>
      </w:r>
      <w:r>
        <w:rPr/>
        <w:t xml:space="preserve"> </w:t>
      </w:r>
      <w:r>
        <w:rPr>
          <w:i/>
        </w:rPr>
        <w:t>last-year prevalence –</w:t>
      </w:r>
      <w:r>
        <w:rPr/>
        <w:t xml:space="preserve"> nustatytas psichoaktyviųjų medžiagų vartojimas bent kartą per pastaruosius 12 mėnesių nuo dalyvavimo apklausoje), LMP (</w:t>
      </w:r>
      <w:r>
        <w:rPr>
          <w:i/>
          <w:iCs/>
        </w:rPr>
        <w:t>angl.</w:t>
      </w:r>
      <w:r>
        <w:rPr/>
        <w:t xml:space="preserve"> </w:t>
      </w:r>
      <w:r>
        <w:rPr>
          <w:i/>
        </w:rPr>
        <w:t>last</w:t>
      </w:r>
      <w:r>
        <w:rPr/>
        <w:t xml:space="preserve"> </w:t>
      </w:r>
      <w:r>
        <w:rPr>
          <w:i/>
        </w:rPr>
        <w:t xml:space="preserve">month prevalence </w:t>
      </w:r>
      <w:r>
        <w:rPr/>
        <w:t>– nustatytas psichoaktyviųjų medžiagų vartojimas bent kartą per paskutines 30 dienų nuo dalyvavimo apklausoje);</w:t>
      </w:r>
    </w:p>
    <w:p>
      <w:pPr>
        <w:pStyle w:val="Normal"/>
        <w:ind w:firstLine="540"/>
        <w:jc w:val="both"/>
        <w:rPr/>
      </w:pPr>
      <w:r>
        <w:rPr/>
        <w:t>8.3.4. atlikti skaičiavimus ir Tyrimo ataskaitoje pateikti duomenis apie kiekvienos psichoaktyviosios medžiagos bei bendrą narkotinių ir psichotropinių medžiagų vartojimą pagal LTP, LYP ir LMP laiko parametrus visai imčiai bei respondentų pogrupiams pagal lytį ir amžių: plačioms amžiaus grupėms (15–34 m., 35–64 m.) ir siauroms amžiaus grupėms (15–24 m., 25–34 m., 35–44 m., 45–54 m., 55–64 m.).;</w:t>
      </w:r>
    </w:p>
    <w:p>
      <w:pPr>
        <w:pStyle w:val="Normal"/>
        <w:ind w:firstLine="540"/>
        <w:jc w:val="both"/>
        <w:rPr/>
      </w:pPr>
      <w:r>
        <w:rPr/>
        <w:t>8.3.5. Tyrimo ataskaitoje pateikti duomenis apie kiekvienos psichoaktyviosios medžiagos vartojimo dažnumą per paskutiniąsias 30 dienų;</w:t>
      </w:r>
    </w:p>
    <w:p>
      <w:pPr>
        <w:pStyle w:val="Normal"/>
        <w:ind w:firstLine="540"/>
        <w:jc w:val="both"/>
        <w:rPr/>
      </w:pPr>
      <w:r>
        <w:rPr>
          <w:spacing w:val="4"/>
        </w:rPr>
        <w:t xml:space="preserve">8.3.6. </w:t>
      </w:r>
      <w:r>
        <w:rPr/>
        <w:t>nustatyti ir Tyrimo ataskaitoje pateikti psichoaktyviųjų medžiagų vartojimo pradžios amžių;</w:t>
      </w:r>
      <w:bookmarkStart w:id="3" w:name="_Hlk199404463"/>
      <w:bookmarkEnd w:id="3"/>
    </w:p>
    <w:p>
      <w:pPr>
        <w:pStyle w:val="Normal"/>
        <w:ind w:firstLine="540"/>
        <w:jc w:val="both"/>
        <w:rPr>
          <w:highlight w:val="green"/>
        </w:rPr>
      </w:pPr>
      <w:r>
        <w:rPr/>
        <w:t>8.3.7. respondentų pasiskirstymą pagal lytį ir amžių pateikti tiek lentelėse, tiek rezultatų aprašymuose;</w:t>
      </w:r>
    </w:p>
    <w:p>
      <w:pPr>
        <w:pStyle w:val="Normal"/>
        <w:ind w:firstLine="540"/>
        <w:jc w:val="both"/>
        <w:rPr/>
      </w:pPr>
      <w:r>
        <w:rPr/>
        <w:t>8.3.8. statistinėse lentelėse pateikti analizuojamų kintamųjų statistiškai reikšmingus skirtumus tarp respondentų grupių bei nurodyti naudotus statistinio patikimumo testus;</w:t>
      </w:r>
    </w:p>
    <w:p>
      <w:pPr>
        <w:pStyle w:val="Normal"/>
        <w:ind w:firstLine="540"/>
        <w:jc w:val="both"/>
        <w:rPr/>
      </w:pPr>
      <w:r>
        <w:rPr/>
        <w:t>8.3.9. palyginti 2025 m. Tyrimo rezultatus su ankstesnių analogiškų tyrimų rezultatais ir pateikti Tyrimo ataskaitoje;</w:t>
      </w:r>
    </w:p>
    <w:p>
      <w:pPr>
        <w:pStyle w:val="Normal"/>
        <w:ind w:firstLine="540"/>
        <w:jc w:val="both"/>
        <w:rPr/>
      </w:pPr>
      <w:r>
        <w:rPr/>
        <w:t xml:space="preserve">8.3.10. Tyrimo ataskaitos priede pateikti kiekvienam Klausimyno klausimui respondentų atsakymų pasiskirstymą pagal lytį, amžiaus grupę, šeimyninę padėtį, išsilavinimą, užsiėmimą, pajamas, gyvenamąją vietą (miestas, kaimas), apskritis bei visai imčiai; </w:t>
      </w:r>
    </w:p>
    <w:p>
      <w:pPr>
        <w:pStyle w:val="Normal"/>
        <w:ind w:firstLine="540"/>
        <w:jc w:val="both"/>
        <w:rPr/>
      </w:pPr>
      <w:r>
        <w:rPr/>
        <w:t>8.3.11. Tyrimo ataskaitoje ir jos priede pilnai surašyti statistinių lentelių ir grafikų pavadinimus ir juos sunumeruoti;</w:t>
      </w:r>
    </w:p>
    <w:p>
      <w:pPr>
        <w:pStyle w:val="Normal"/>
        <w:ind w:firstLine="540"/>
        <w:jc w:val="both"/>
        <w:rPr/>
      </w:pPr>
      <w:r>
        <w:rPr/>
        <w:t>8.3.12. pateikti atrankos paklaidos paskaičiavimo rezultatus ir nurodyti, koks metodas buvo taikomas;</w:t>
      </w:r>
    </w:p>
    <w:p>
      <w:pPr>
        <w:pStyle w:val="Normal"/>
        <w:ind w:firstLine="540"/>
        <w:jc w:val="both"/>
        <w:rPr/>
      </w:pPr>
      <w:r>
        <w:rPr/>
        <w:t>8.3.13. aprašyti, kokių priemonių (žingsnių) imtasi siekiant sumažinti neatrankines (</w:t>
      </w:r>
      <w:r>
        <w:rPr>
          <w:i/>
          <w:iCs/>
        </w:rPr>
        <w:t>angl.</w:t>
      </w:r>
      <w:r>
        <w:rPr/>
        <w:t xml:space="preserve"> </w:t>
      </w:r>
      <w:r>
        <w:rPr>
          <w:i/>
        </w:rPr>
        <w:t>non-sampling error</w:t>
      </w:r>
      <w:r>
        <w:rPr/>
        <w:t>) klaidas;</w:t>
      </w:r>
    </w:p>
    <w:p>
      <w:pPr>
        <w:pStyle w:val="Normal"/>
        <w:ind w:firstLine="540"/>
        <w:jc w:val="both"/>
        <w:rPr/>
      </w:pPr>
      <w:r>
        <w:rPr/>
        <w:t xml:space="preserve">8.3.14. pateikti dingusių verčių </w:t>
      </w:r>
      <w:r>
        <w:rPr>
          <w:i/>
          <w:iCs/>
        </w:rPr>
        <w:t>(angl. missing values)</w:t>
      </w:r>
      <w:r>
        <w:rPr/>
        <w:t xml:space="preserve"> skaičiavimus ir išanalizuoti, ar neatsakiusiųjų į klausimus apie psichoaktyviųjų medžiagų vartojimą dingusios vertės skiriasi nuo atsakiusiųjų, taip pat dingusių verčių pasiskirstymą, ir ar tai galėjo sukelti paklaidą imtyje;</w:t>
      </w:r>
    </w:p>
    <w:p>
      <w:pPr>
        <w:pStyle w:val="Normal"/>
        <w:ind w:firstLine="540"/>
        <w:jc w:val="both"/>
        <w:rPr>
          <w:szCs w:val="24"/>
        </w:rPr>
      </w:pPr>
      <w:r>
        <w:rPr>
          <w:szCs w:val="24"/>
        </w:rPr>
        <w:t xml:space="preserve">8.3.15. Tyrimo duomenų bazę sudaryti naudojant statistinių skaičiavimų SPSS programą ir pateikti SPSS, taip pat Excel formatais. Sudarytose duomenų bazėse turi būti visi kintamieji pagal Klausimyną; visi kintamieji turi turėti juos paaiškinančią kintamojo žymą </w:t>
      </w:r>
      <w:r>
        <w:rPr>
          <w:i/>
          <w:iCs/>
          <w:szCs w:val="24"/>
        </w:rPr>
        <w:t>(angl. label)</w:t>
      </w:r>
      <w:r>
        <w:rPr>
          <w:szCs w:val="24"/>
        </w:rPr>
        <w:t xml:space="preserve"> pagal atitinkamo klausimo ar atsakymo varianto formuluotę; kintamųjų reikšmės turi turėti reikšmių žymas </w:t>
      </w:r>
      <w:r>
        <w:rPr>
          <w:i/>
          <w:iCs/>
          <w:szCs w:val="24"/>
        </w:rPr>
        <w:t>(angl. value labels)</w:t>
      </w:r>
      <w:r>
        <w:rPr>
          <w:szCs w:val="24"/>
        </w:rPr>
        <w:t xml:space="preserve"> pagal klausimų atsakymų variantų formuluotes;</w:t>
      </w:r>
    </w:p>
    <w:p>
      <w:pPr>
        <w:pStyle w:val="Normal"/>
        <w:ind w:firstLine="540"/>
        <w:jc w:val="both"/>
        <w:rPr>
          <w:szCs w:val="24"/>
        </w:rPr>
      </w:pPr>
      <w:r>
        <w:rPr>
          <w:szCs w:val="24"/>
        </w:rPr>
        <w:t>8.3.16. Tyrimo duomenų bazėse (Exel ir SPSS formatais) įtraukti papildomai apskaičiuotus kintamuosius: kiekvienos psichoaktyviosios medžiagos</w:t>
      </w:r>
      <w:r>
        <w:rPr/>
        <w:t xml:space="preserve"> </w:t>
      </w:r>
      <w:r>
        <w:rPr>
          <w:szCs w:val="24"/>
        </w:rPr>
        <w:t>bei bendras narkotinių ir psichotropinių medžiagų vartojimas pagal LTP, LYP, LMP</w:t>
      </w:r>
      <w:r>
        <w:rPr/>
        <w:t xml:space="preserve"> </w:t>
      </w:r>
      <w:r>
        <w:rPr>
          <w:szCs w:val="24"/>
        </w:rPr>
        <w:t xml:space="preserve">laiko parametrus bei </w:t>
      </w:r>
      <w:bookmarkStart w:id="4" w:name="_Hlk199232831"/>
      <w:r>
        <w:rPr>
          <w:szCs w:val="24"/>
        </w:rPr>
        <w:t>amžiaus grupes (plačios amžiaus grupės (15-34 m., 35-64 m.) ir siauros amžiaus grupės (15-24 m., 25-34 m., 35-44 m., 45-54 m., 55-64 m.))</w:t>
      </w:r>
      <w:bookmarkEnd w:id="4"/>
      <w:r>
        <w:rPr>
          <w:szCs w:val="24"/>
        </w:rPr>
        <w:t>.</w:t>
      </w:r>
    </w:p>
    <w:p>
      <w:pPr>
        <w:pStyle w:val="Normal"/>
        <w:tabs>
          <w:tab w:val="clear" w:pos="1296"/>
          <w:tab w:val="left" w:pos="720" w:leader="none"/>
          <w:tab w:val="left" w:pos="1260" w:leader="none"/>
        </w:tabs>
        <w:ind w:firstLine="540"/>
        <w:jc w:val="center"/>
        <w:rPr>
          <w:b/>
          <w:caps/>
        </w:rPr>
      </w:pPr>
      <w:r>
        <w:rPr>
          <w:b/>
          <w:caps/>
        </w:rPr>
      </w:r>
    </w:p>
    <w:p>
      <w:pPr>
        <w:pStyle w:val="Normal"/>
        <w:tabs>
          <w:tab w:val="clear" w:pos="1296"/>
          <w:tab w:val="left" w:pos="720" w:leader="none"/>
          <w:tab w:val="left" w:pos="1260" w:leader="none"/>
        </w:tabs>
        <w:jc w:val="center"/>
        <w:rPr>
          <w:b/>
          <w:caps/>
        </w:rPr>
      </w:pPr>
      <w:r>
        <w:rPr>
          <w:b/>
          <w:caps/>
        </w:rPr>
        <w:t>III. Tyrimo rezultatai</w:t>
      </w:r>
    </w:p>
    <w:p>
      <w:pPr>
        <w:pStyle w:val="Normal"/>
        <w:tabs>
          <w:tab w:val="clear" w:pos="1296"/>
          <w:tab w:val="left" w:pos="720" w:leader="none"/>
          <w:tab w:val="left" w:pos="1260" w:leader="none"/>
        </w:tabs>
        <w:ind w:firstLine="540"/>
        <w:rPr>
          <w:caps/>
        </w:rPr>
      </w:pPr>
      <w:r>
        <w:rPr>
          <w:caps/>
        </w:rPr>
      </w:r>
    </w:p>
    <w:p>
      <w:pPr>
        <w:pStyle w:val="Normal"/>
        <w:tabs>
          <w:tab w:val="clear" w:pos="1296"/>
          <w:tab w:val="left" w:pos="720" w:leader="none"/>
          <w:tab w:val="left" w:pos="1260" w:leader="none"/>
        </w:tabs>
        <w:ind w:firstLine="540"/>
        <w:jc w:val="both"/>
        <w:rPr>
          <w:bCs/>
        </w:rPr>
      </w:pPr>
      <w:r>
        <w:rPr>
          <w:bCs/>
        </w:rPr>
        <w:t>9. Sudaryta Tyrimo duomenų bazė (Excel ir SPSS formatuose), atitinkanti II skyriaus reikalavimus (pagal 8.3.15-16 papunkčius).</w:t>
      </w:r>
    </w:p>
    <w:p>
      <w:pPr>
        <w:pStyle w:val="Normal"/>
        <w:tabs>
          <w:tab w:val="clear" w:pos="1296"/>
          <w:tab w:val="left" w:pos="720" w:leader="none"/>
          <w:tab w:val="left" w:pos="1260" w:leader="none"/>
        </w:tabs>
        <w:ind w:firstLine="540"/>
        <w:jc w:val="both"/>
        <w:rPr>
          <w:bCs/>
          <w:szCs w:val="24"/>
        </w:rPr>
      </w:pPr>
      <w:r>
        <w:rPr>
          <w:bCs/>
        </w:rPr>
        <w:t>10. Parengta Tyrimo ataskaita „Psichoaktyviųjų medžiagų vartojimo paplitimas Lietuvoje 2025 metais“, atitinkanti II skyriaus reikalavimus, Tyrimo santrauka, išvados ir Tyrimo ataskaitos priedas (pagal 8.3.10-11 papunkčius). Tyrimo ataskaita pateikiama visuotinai prieinamais, atvirais arba plačiai naudojamais failų formatais (pvz.,</w:t>
      </w:r>
      <w:r>
        <w:rPr/>
        <w:t xml:space="preserve"> </w:t>
      </w:r>
      <w:r>
        <w:rPr>
          <w:bCs/>
        </w:rPr>
        <w:t xml:space="preserve">doc, pdf). </w:t>
      </w:r>
      <w:r>
        <w:rPr>
          <w:bCs/>
          <w:szCs w:val="24"/>
        </w:rPr>
        <w:t>Taip pat pateikiama galutinė Tyrimo metu naudoto Klausimyno versija.</w:t>
      </w:r>
    </w:p>
    <w:p>
      <w:pPr>
        <w:pStyle w:val="Normal"/>
        <w:tabs>
          <w:tab w:val="clear" w:pos="1296"/>
          <w:tab w:val="left" w:pos="720" w:leader="none"/>
          <w:tab w:val="left" w:pos="1260" w:leader="none"/>
        </w:tabs>
        <w:ind w:firstLine="540"/>
        <w:jc w:val="both"/>
        <w:rPr>
          <w:bCs/>
          <w:szCs w:val="24"/>
        </w:rPr>
      </w:pPr>
      <w:r>
        <w:rPr>
          <w:bCs/>
          <w:szCs w:val="24"/>
        </w:rPr>
        <w:t>11. Pateikiamos užpildytos Departamento pridedamos Tyrimo ataskaitos lentelės (anglų kalba), skirtos EUDA „STANDARD TABLE 1 – Standardised Results and Methodology of Adult National Population Surveys on Drug Use (version 1/2024)“.</w:t>
      </w:r>
      <w:r>
        <w:rPr/>
        <w:t xml:space="preserve"> </w:t>
      </w:r>
      <w:r>
        <w:rPr>
          <w:bCs/>
          <w:szCs w:val="24"/>
        </w:rPr>
        <w:t xml:space="preserve">Lentelės pateikiamos Excel formatu.  </w:t>
      </w:r>
    </w:p>
    <w:p>
      <w:pPr>
        <w:pStyle w:val="Normal"/>
        <w:tabs>
          <w:tab w:val="clear" w:pos="1296"/>
          <w:tab w:val="left" w:pos="720" w:leader="none"/>
          <w:tab w:val="left" w:pos="1260" w:leader="none"/>
        </w:tabs>
        <w:ind w:firstLine="540"/>
        <w:jc w:val="both"/>
        <w:rPr>
          <w:bCs/>
          <w:szCs w:val="24"/>
        </w:rPr>
      </w:pPr>
      <w:r>
        <w:rPr>
          <w:bCs/>
          <w:szCs w:val="24"/>
        </w:rPr>
        <w:t>12. Visi šioje techninėje specifikacijoje II skyriuje numatyti darbai atlikti ir su užsakovu suderinti galutiniai Tyrimo rezultatai (9-11 punktas) pateikti užsakovui ne vėliau kaip iki 2025 m. lapkričio 30 d.</w:t>
      </w:r>
    </w:p>
    <w:p>
      <w:pPr>
        <w:pStyle w:val="Normal"/>
        <w:tabs>
          <w:tab w:val="clear" w:pos="1296"/>
          <w:tab w:val="left" w:pos="720" w:leader="none"/>
          <w:tab w:val="left" w:pos="1260" w:leader="none"/>
        </w:tabs>
        <w:jc w:val="center"/>
        <w:rPr>
          <w:bCs/>
        </w:rPr>
      </w:pPr>
      <w:r>
        <w:rPr>
          <w:bCs/>
        </w:rPr>
      </w:r>
    </w:p>
    <w:p>
      <w:pPr>
        <w:pStyle w:val="Normal"/>
        <w:tabs>
          <w:tab w:val="clear" w:pos="1296"/>
          <w:tab w:val="left" w:pos="720" w:leader="none"/>
          <w:tab w:val="left" w:pos="1260" w:leader="none"/>
        </w:tabs>
        <w:jc w:val="center"/>
        <w:rPr>
          <w:bCs/>
        </w:rPr>
      </w:pPr>
      <w:r>
        <w:rPr>
          <w:bCs/>
        </w:rPr>
        <w:t>___________________</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24c"/>
    <w:pPr>
      <w:widowControl/>
      <w:bidi w:val="0"/>
      <w:spacing w:lineRule="auto" w:line="240" w:before="0" w:after="0"/>
      <w:jc w:val="left"/>
    </w:pPr>
    <w:rPr>
      <w:rFonts w:ascii="Times New Roman" w:hAnsi="Times New Roman" w:eastAsia="Times New Roman" w:cs="Times New Roman"/>
      <w:color w:val="auto"/>
      <w:kern w:val="0"/>
      <w:sz w:val="24"/>
      <w:szCs w:val="20"/>
      <w:lang w:eastAsia="lt-LT" w:val="lt-LT" w:bidi="ar-SA"/>
    </w:rPr>
  </w:style>
  <w:style w:type="character" w:styleId="DefaultParagraphFont" w:default="1">
    <w:name w:val="Default Paragraph Font"/>
    <w:uiPriority w:val="1"/>
    <w:semiHidden/>
    <w:unhideWhenUsed/>
    <w:qFormat/>
    <w:rPr/>
  </w:style>
  <w:style w:type="character" w:styleId="Hyperlink">
    <w:name w:val="Hyperlink"/>
    <w:rsid w:val="0086524c"/>
    <w:rPr>
      <w:color w:val="0000FF"/>
      <w:u w:val="single"/>
    </w:rPr>
  </w:style>
  <w:style w:type="character" w:styleId="Annotationreference">
    <w:name w:val="annotation reference"/>
    <w:basedOn w:val="DefaultParagraphFont"/>
    <w:uiPriority w:val="99"/>
    <w:semiHidden/>
    <w:unhideWhenUsed/>
    <w:qFormat/>
    <w:rsid w:val="008e3840"/>
    <w:rPr>
      <w:sz w:val="16"/>
      <w:szCs w:val="16"/>
    </w:rPr>
  </w:style>
  <w:style w:type="character" w:styleId="CommentTextChar" w:customStyle="1">
    <w:name w:val="Comment Text Char"/>
    <w:basedOn w:val="DefaultParagraphFont"/>
    <w:link w:val="Annotationtext"/>
    <w:uiPriority w:val="99"/>
    <w:qFormat/>
    <w:rsid w:val="008e3840"/>
    <w:rPr>
      <w:rFonts w:ascii="Times New Roman" w:hAnsi="Times New Roman" w:eastAsia="Times New Roman" w:cs="Times New Roman"/>
      <w:sz w:val="20"/>
      <w:szCs w:val="20"/>
      <w:lang w:eastAsia="lt-LT"/>
    </w:rPr>
  </w:style>
  <w:style w:type="character" w:styleId="CommentSubjectChar" w:customStyle="1">
    <w:name w:val="Comment Subject Char"/>
    <w:basedOn w:val="CommentTextChar"/>
    <w:link w:val="Annotationsubject"/>
    <w:uiPriority w:val="99"/>
    <w:semiHidden/>
    <w:qFormat/>
    <w:rsid w:val="008e3840"/>
    <w:rPr>
      <w:rFonts w:ascii="Times New Roman" w:hAnsi="Times New Roman" w:eastAsia="Times New Roman" w:cs="Times New Roman"/>
      <w:b/>
      <w:bCs/>
      <w:sz w:val="20"/>
      <w:szCs w:val="20"/>
      <w:lang w:eastAsia="lt-LT"/>
    </w:rPr>
  </w:style>
  <w:style w:type="character" w:styleId="BalloonTextChar" w:customStyle="1">
    <w:name w:val="Balloon Text Char"/>
    <w:basedOn w:val="DefaultParagraphFont"/>
    <w:link w:val="BalloonText"/>
    <w:uiPriority w:val="99"/>
    <w:semiHidden/>
    <w:qFormat/>
    <w:rsid w:val="008e3840"/>
    <w:rPr>
      <w:rFonts w:ascii="Segoe UI" w:hAnsi="Segoe UI" w:eastAsia="Times New Roman" w:cs="Segoe UI"/>
      <w:sz w:val="18"/>
      <w:szCs w:val="18"/>
      <w:lang w:eastAsia="lt-LT"/>
    </w:rPr>
  </w:style>
  <w:style w:type="character" w:styleId="FollowedHyperlink">
    <w:name w:val="FollowedHyperlink"/>
    <w:basedOn w:val="DefaultParagraphFont"/>
    <w:uiPriority w:val="99"/>
    <w:semiHidden/>
    <w:unhideWhenUsed/>
    <w:rsid w:val="00bc399c"/>
    <w:rPr>
      <w:color w:themeColor="followedHyperlink" w:val="954F72"/>
      <w:u w:val="single"/>
    </w:rPr>
  </w:style>
  <w:style w:type="character" w:styleId="UnresolvedMention">
    <w:name w:val="Unresolved Mention"/>
    <w:basedOn w:val="DefaultParagraphFont"/>
    <w:uiPriority w:val="99"/>
    <w:semiHidden/>
    <w:unhideWhenUsed/>
    <w:qFormat/>
    <w:rsid w:val="0096545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otationtext">
    <w:name w:val="annotation text"/>
    <w:basedOn w:val="Normal"/>
    <w:link w:val="CommentTextChar"/>
    <w:uiPriority w:val="99"/>
    <w:unhideWhenUsed/>
    <w:qFormat/>
    <w:rsid w:val="008e3840"/>
    <w:pPr/>
    <w:rPr>
      <w:sz w:val="20"/>
    </w:rPr>
  </w:style>
  <w:style w:type="paragraph" w:styleId="Annotationsubject">
    <w:name w:val="annotation subject"/>
    <w:basedOn w:val="Annotationtext"/>
    <w:next w:val="Annotationtext"/>
    <w:link w:val="CommentSubjectChar"/>
    <w:uiPriority w:val="99"/>
    <w:semiHidden/>
    <w:unhideWhenUsed/>
    <w:qFormat/>
    <w:rsid w:val="008e3840"/>
    <w:pPr/>
    <w:rPr>
      <w:b/>
      <w:bCs/>
    </w:rPr>
  </w:style>
  <w:style w:type="paragraph" w:styleId="BalloonText">
    <w:name w:val="Balloon Text"/>
    <w:basedOn w:val="Normal"/>
    <w:link w:val="BalloonTextChar"/>
    <w:uiPriority w:val="99"/>
    <w:semiHidden/>
    <w:unhideWhenUsed/>
    <w:qFormat/>
    <w:rsid w:val="008e3840"/>
    <w:pPr/>
    <w:rPr>
      <w:rFonts w:ascii="Segoe UI" w:hAnsi="Segoe UI" w:cs="Segoe UI"/>
      <w:sz w:val="18"/>
      <w:szCs w:val="18"/>
    </w:rPr>
  </w:style>
  <w:style w:type="paragraph" w:styleId="Revision">
    <w:name w:val="Revision"/>
    <w:uiPriority w:val="99"/>
    <w:semiHidden/>
    <w:qFormat/>
    <w:rsid w:val="00857d18"/>
    <w:pPr>
      <w:widowControl/>
      <w:bidi w:val="0"/>
      <w:spacing w:lineRule="auto" w:line="240" w:before="0" w:after="0"/>
      <w:jc w:val="left"/>
    </w:pPr>
    <w:rPr>
      <w:rFonts w:ascii="Times New Roman" w:hAnsi="Times New Roman" w:eastAsia="Times New Roman" w:cs="Times New Roman"/>
      <w:color w:val="auto"/>
      <w:kern w:val="0"/>
      <w:sz w:val="24"/>
      <w:szCs w:val="20"/>
      <w:lang w:eastAsia="lt-LT" w:val="lt-LT" w:bidi="ar-SA"/>
    </w:rPr>
  </w:style>
  <w:style w:type="paragraph" w:styleId="ListParagraph">
    <w:name w:val="List Paragraph"/>
    <w:basedOn w:val="Normal"/>
    <w:uiPriority w:val="34"/>
    <w:qFormat/>
    <w:rsid w:val="008727ce"/>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mcdda.europa.eu/system/files/publications/244/Handbook_for_surveys_on_drug_use_among_the_general_population_-_2002_106510.pd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9CC5-DE69-4082-B7E3-735DDC0D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LibreOffice/7.6.4.1$Windows_X86_64 LibreOffice_project/e19e193f88cd6c0525a17fb7a176ed8e6a3e2aa1</Application>
  <AppVersion>15.0000</AppVersion>
  <DocSecurity>4</DocSecurity>
  <Pages>3</Pages>
  <Words>1352</Words>
  <Characters>9900</Characters>
  <CharactersWithSpaces>11209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2025-07-10T14:57:00Z</dcterms:created>
  <dc:creator>Evelina Venckevic</dc:creator>
  <dc:description/>
  <dc:language>en-US</dc:language>
  <cp:lastModifiedBy>Daiva Dudutiene</cp:lastModifiedBy>
  <cp:lastPrinted>2025-06-18T05:19:00Z</cp:lastPrinted>
  <dcterms:modified xsi:type="dcterms:W3CDTF">2025-07-10T14:57:00Z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