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EA79" w14:textId="77777777" w:rsidR="006A5392" w:rsidRPr="00287CD2" w:rsidRDefault="006A5392" w:rsidP="006A5392">
      <w:pPr>
        <w:rPr>
          <w:rFonts w:ascii="Times New Roman" w:hAnsi="Times New Roman"/>
          <w:bCs/>
          <w:sz w:val="24"/>
          <w:szCs w:val="24"/>
          <w:lang w:val="lt-LT"/>
        </w:rPr>
      </w:pPr>
      <w:r>
        <w:rPr>
          <w:rFonts w:ascii="Times New Roman" w:hAnsi="Times New Roman"/>
          <w:bCs/>
          <w:sz w:val="24"/>
          <w:szCs w:val="24"/>
          <w:lang w:val="lt-LT"/>
        </w:rPr>
        <w:t xml:space="preserve">                                                                                                                   Rinkos konsultacijos </w:t>
      </w:r>
    </w:p>
    <w:p w14:paraId="5F02DE53" w14:textId="77777777" w:rsidR="006A5392" w:rsidRPr="00287CD2" w:rsidRDefault="006A5392" w:rsidP="006A5392">
      <w:pPr>
        <w:jc w:val="center"/>
        <w:rPr>
          <w:rFonts w:ascii="Times New Roman" w:hAnsi="Times New Roman"/>
          <w:bCs/>
          <w:sz w:val="24"/>
          <w:szCs w:val="24"/>
          <w:lang w:val="lt-LT"/>
        </w:rPr>
      </w:pPr>
      <w:r>
        <w:rPr>
          <w:rFonts w:ascii="Times New Roman" w:hAnsi="Times New Roman"/>
          <w:bCs/>
          <w:sz w:val="24"/>
          <w:szCs w:val="24"/>
          <w:lang w:val="lt-LT"/>
        </w:rPr>
        <w:t xml:space="preserve">                                                                                   1 </w:t>
      </w:r>
      <w:r w:rsidRPr="00287CD2">
        <w:rPr>
          <w:rFonts w:ascii="Times New Roman" w:hAnsi="Times New Roman"/>
          <w:bCs/>
          <w:sz w:val="24"/>
          <w:szCs w:val="24"/>
          <w:lang w:val="lt-LT"/>
        </w:rPr>
        <w:t>priedas</w:t>
      </w:r>
    </w:p>
    <w:p w14:paraId="0C18031A" w14:textId="77777777" w:rsidR="006A5392" w:rsidRDefault="006A5392" w:rsidP="006A5392">
      <w:pPr>
        <w:tabs>
          <w:tab w:val="center" w:pos="4153"/>
          <w:tab w:val="right" w:pos="8306"/>
        </w:tabs>
        <w:rPr>
          <w:i/>
          <w:sz w:val="24"/>
          <w:szCs w:val="24"/>
        </w:rPr>
      </w:pPr>
    </w:p>
    <w:p w14:paraId="103BB3F8" w14:textId="77777777" w:rsidR="006A5392" w:rsidRPr="00C028B1" w:rsidRDefault="006A5392" w:rsidP="006A5392">
      <w:pPr>
        <w:tabs>
          <w:tab w:val="center" w:pos="4153"/>
          <w:tab w:val="right" w:pos="8306"/>
        </w:tabs>
        <w:rPr>
          <w:rFonts w:ascii="Times New Roman" w:hAnsi="Times New Roman"/>
          <w:i/>
          <w:sz w:val="24"/>
          <w:szCs w:val="24"/>
        </w:rPr>
      </w:pPr>
    </w:p>
    <w:p w14:paraId="5D73FB6C" w14:textId="77777777" w:rsidR="006A5392" w:rsidRPr="00C028B1" w:rsidRDefault="006A5392" w:rsidP="006A5392">
      <w:pPr>
        <w:ind w:left="-284"/>
        <w:jc w:val="center"/>
        <w:rPr>
          <w:rFonts w:ascii="Times New Roman" w:hAnsi="Times New Roman"/>
          <w:b/>
          <w:strike/>
          <w:sz w:val="24"/>
          <w:szCs w:val="24"/>
        </w:rPr>
      </w:pPr>
      <w:r w:rsidRPr="00C028B1">
        <w:rPr>
          <w:rFonts w:ascii="Times New Roman" w:hAnsi="Times New Roman"/>
          <w:b/>
          <w:sz w:val="24"/>
          <w:szCs w:val="24"/>
        </w:rPr>
        <w:t xml:space="preserve">PARAMOS VALSTYBĖS FINANSUOJAMOMS DOKTORANTŪROS VIETOMS, SKIRSTOMOMS KONKURSO BŪDU, IR  PODOKTORANTŪROS STAŽUOČIŲ PROJEKTŲ PRIEMONIŲ ĮGYVENDINIMO </w:t>
      </w:r>
      <w:r>
        <w:rPr>
          <w:rFonts w:ascii="Times New Roman" w:hAnsi="Times New Roman"/>
          <w:b/>
          <w:sz w:val="24"/>
          <w:szCs w:val="24"/>
        </w:rPr>
        <w:t xml:space="preserve">POVEIKIO </w:t>
      </w:r>
      <w:r w:rsidRPr="00C028B1">
        <w:rPr>
          <w:rFonts w:ascii="Times New Roman" w:hAnsi="Times New Roman"/>
          <w:b/>
          <w:sz w:val="24"/>
          <w:szCs w:val="24"/>
        </w:rPr>
        <w:t>VERTINIMAS</w:t>
      </w:r>
      <w:r w:rsidRPr="00C028B1">
        <w:rPr>
          <w:rFonts w:ascii="Times New Roman" w:hAnsi="Times New Roman"/>
          <w:b/>
          <w:strike/>
          <w:sz w:val="24"/>
          <w:szCs w:val="24"/>
        </w:rPr>
        <w:t xml:space="preserve"> </w:t>
      </w:r>
    </w:p>
    <w:p w14:paraId="45813F44" w14:textId="77777777" w:rsidR="006A5392" w:rsidRPr="00C028B1" w:rsidRDefault="006A5392" w:rsidP="006A5392">
      <w:pPr>
        <w:ind w:left="-284"/>
        <w:jc w:val="center"/>
        <w:rPr>
          <w:rFonts w:ascii="Times New Roman" w:hAnsi="Times New Roman"/>
          <w:b/>
          <w:strike/>
          <w:sz w:val="24"/>
          <w:szCs w:val="24"/>
        </w:rPr>
      </w:pPr>
    </w:p>
    <w:p w14:paraId="0A64F62A" w14:textId="77777777" w:rsidR="006A5392" w:rsidRPr="00C028B1" w:rsidRDefault="006A5392" w:rsidP="006A5392">
      <w:pPr>
        <w:ind w:left="-284"/>
        <w:jc w:val="center"/>
        <w:rPr>
          <w:rFonts w:ascii="Times New Roman" w:hAnsi="Times New Roman"/>
          <w:b/>
          <w:sz w:val="24"/>
          <w:szCs w:val="24"/>
        </w:rPr>
      </w:pPr>
      <w:r w:rsidRPr="00C028B1">
        <w:rPr>
          <w:rFonts w:ascii="Times New Roman" w:hAnsi="Times New Roman"/>
          <w:b/>
          <w:sz w:val="24"/>
          <w:szCs w:val="24"/>
        </w:rPr>
        <w:t>PASLAUGŲ PIRKIMO</w:t>
      </w:r>
    </w:p>
    <w:p w14:paraId="5E44504B" w14:textId="77777777" w:rsidR="006A5392" w:rsidRPr="00C028B1" w:rsidRDefault="006A5392" w:rsidP="006A5392">
      <w:pPr>
        <w:tabs>
          <w:tab w:val="left" w:pos="284"/>
        </w:tabs>
        <w:autoSpaceDE w:val="0"/>
        <w:autoSpaceDN w:val="0"/>
        <w:adjustRightInd w:val="0"/>
        <w:spacing w:after="200"/>
        <w:ind w:left="-284" w:right="-1"/>
        <w:contextualSpacing/>
        <w:jc w:val="center"/>
        <w:rPr>
          <w:rFonts w:ascii="Times New Roman" w:eastAsia="Calibri" w:hAnsi="Times New Roman"/>
          <w:b/>
          <w:bCs/>
          <w:sz w:val="24"/>
          <w:szCs w:val="24"/>
        </w:rPr>
      </w:pPr>
      <w:r w:rsidRPr="00C028B1">
        <w:rPr>
          <w:rFonts w:ascii="Times New Roman" w:eastAsia="Calibri" w:hAnsi="Times New Roman"/>
          <w:b/>
          <w:bCs/>
          <w:sz w:val="24"/>
          <w:szCs w:val="24"/>
        </w:rPr>
        <w:t>TECHNINĖ</w:t>
      </w:r>
      <w:r>
        <w:rPr>
          <w:rFonts w:ascii="Times New Roman" w:eastAsia="Calibri" w:hAnsi="Times New Roman"/>
          <w:b/>
          <w:bCs/>
          <w:sz w:val="24"/>
          <w:szCs w:val="24"/>
        </w:rPr>
        <w:t>S</w:t>
      </w:r>
      <w:r w:rsidRPr="00C028B1">
        <w:rPr>
          <w:rFonts w:ascii="Times New Roman" w:eastAsia="Calibri" w:hAnsi="Times New Roman"/>
          <w:b/>
          <w:bCs/>
          <w:sz w:val="24"/>
          <w:szCs w:val="24"/>
        </w:rPr>
        <w:t xml:space="preserve"> SPECIFIKACIJ</w:t>
      </w:r>
      <w:r>
        <w:rPr>
          <w:rFonts w:ascii="Times New Roman" w:eastAsia="Calibri" w:hAnsi="Times New Roman"/>
          <w:b/>
          <w:bCs/>
          <w:sz w:val="24"/>
          <w:szCs w:val="24"/>
        </w:rPr>
        <w:t xml:space="preserve">OS PROJEKTAS </w:t>
      </w:r>
    </w:p>
    <w:p w14:paraId="7DC93F6F" w14:textId="77777777" w:rsidR="006A5392" w:rsidRPr="00C028B1" w:rsidRDefault="006A5392" w:rsidP="006A5392">
      <w:pPr>
        <w:tabs>
          <w:tab w:val="left" w:pos="709"/>
        </w:tabs>
        <w:ind w:left="-284"/>
        <w:jc w:val="center"/>
        <w:rPr>
          <w:rFonts w:ascii="Times New Roman" w:eastAsia="Calibri" w:hAnsi="Times New Roman"/>
          <w:b/>
          <w:sz w:val="24"/>
          <w:szCs w:val="24"/>
        </w:rPr>
      </w:pPr>
    </w:p>
    <w:p w14:paraId="2C937EA2" w14:textId="77777777" w:rsidR="006A5392" w:rsidRPr="00C028B1" w:rsidRDefault="006A5392" w:rsidP="006A5392">
      <w:pPr>
        <w:tabs>
          <w:tab w:val="left" w:pos="425"/>
          <w:tab w:val="left" w:pos="993"/>
        </w:tabs>
        <w:ind w:firstLine="567"/>
        <w:jc w:val="both"/>
        <w:rPr>
          <w:rFonts w:ascii="Times New Roman" w:hAnsi="Times New Roman"/>
          <w:b/>
          <w:sz w:val="24"/>
          <w:szCs w:val="24"/>
        </w:rPr>
      </w:pPr>
      <w:r w:rsidRPr="00C028B1">
        <w:rPr>
          <w:rFonts w:ascii="Times New Roman" w:hAnsi="Times New Roman"/>
          <w:b/>
          <w:sz w:val="24"/>
          <w:szCs w:val="24"/>
        </w:rPr>
        <w:t>1. ĮVADINĖ INFORMACIJA</w:t>
      </w:r>
      <w:bookmarkStart w:id="0" w:name="_Toc189293399"/>
    </w:p>
    <w:p w14:paraId="316DE9B0" w14:textId="77777777" w:rsidR="006A5392" w:rsidRPr="00C028B1" w:rsidRDefault="006A5392" w:rsidP="006A5392">
      <w:pPr>
        <w:shd w:val="clear" w:color="auto" w:fill="FFFFFF" w:themeFill="background1"/>
        <w:spacing w:before="240"/>
        <w:ind w:firstLine="567"/>
        <w:jc w:val="both"/>
        <w:rPr>
          <w:rFonts w:ascii="Times New Roman" w:hAnsi="Times New Roman"/>
          <w:sz w:val="24"/>
          <w:szCs w:val="24"/>
        </w:rPr>
      </w:pPr>
      <w:r w:rsidRPr="00C028B1">
        <w:rPr>
          <w:rFonts w:ascii="Times New Roman" w:hAnsi="Times New Roman"/>
          <w:sz w:val="24"/>
          <w:szCs w:val="24"/>
        </w:rPr>
        <w:t>Siekiant sudaryti palankias sąlygas stiprinti tyrėjų gebėjimus ir kompetencijas vykdyti aukšto lygio mokslinius tyrimus, į doktorantūrą pritraukti daugiau kvalifikuotų specialistų,</w:t>
      </w:r>
      <w:r w:rsidRPr="00C028B1">
        <w:rPr>
          <w:rFonts w:ascii="Times New Roman" w:hAnsi="Times New Roman"/>
          <w:sz w:val="24"/>
          <w:szCs w:val="24"/>
          <w:lang w:eastAsia="lt-LT"/>
        </w:rPr>
        <w:t xml:space="preserve"> nustatyti įgyvendintų priemonių poveikį ir pateikti rekomendacijas tolesniam jų tobulinimui, </w:t>
      </w:r>
      <w:r w:rsidRPr="00C028B1">
        <w:rPr>
          <w:rFonts w:ascii="Times New Roman" w:hAnsi="Times New Roman"/>
          <w:sz w:val="24"/>
          <w:szCs w:val="24"/>
        </w:rPr>
        <w:t xml:space="preserve">sėkmingai ir nuosekliai skatinti mokslinius tyrimus ir eksperimentinę plėtrą (MTEP) atsižvelgiant į Lietuvos ūkio ir visuomenės poreikius, </w:t>
      </w:r>
      <w:r w:rsidRPr="00C028B1">
        <w:rPr>
          <w:rFonts w:ascii="Times New Roman" w:hAnsi="Times New Roman"/>
          <w:sz w:val="24"/>
          <w:szCs w:val="24"/>
          <w:lang w:eastAsia="lt-LT"/>
        </w:rPr>
        <w:t xml:space="preserve">užtikrinti skaidrų, efektyvų ir tikslingą viešųjų lėšų panaudojimą, </w:t>
      </w:r>
      <w:r w:rsidRPr="00C028B1">
        <w:rPr>
          <w:rFonts w:ascii="Times New Roman" w:hAnsi="Times New Roman"/>
          <w:sz w:val="24"/>
          <w:szCs w:val="24"/>
        </w:rPr>
        <w:t>būtina atlikti Paramos valstybės finansuojamoms doktorantūros vietoms, skirstomoms konkurso būdu (Konkursinės doktorantūros) ir Podoktorantūros stažuočių projektų priemonių įgyvendinimo vertinimą.</w:t>
      </w:r>
    </w:p>
    <w:bookmarkEnd w:id="0"/>
    <w:p w14:paraId="60AAE0CC" w14:textId="77777777" w:rsidR="006A5392" w:rsidRPr="00C028B1" w:rsidRDefault="006A5392" w:rsidP="006A5392">
      <w:pPr>
        <w:tabs>
          <w:tab w:val="left" w:pos="425"/>
          <w:tab w:val="left" w:pos="851"/>
          <w:tab w:val="left" w:pos="993"/>
          <w:tab w:val="left" w:pos="1418"/>
          <w:tab w:val="left" w:pos="1843"/>
          <w:tab w:val="left" w:pos="2410"/>
        </w:tabs>
        <w:ind w:firstLine="567"/>
        <w:jc w:val="both"/>
        <w:rPr>
          <w:rFonts w:ascii="Times New Roman" w:hAnsi="Times New Roman"/>
          <w:sz w:val="24"/>
          <w:szCs w:val="24"/>
        </w:rPr>
      </w:pPr>
    </w:p>
    <w:p w14:paraId="167EE67A" w14:textId="77777777" w:rsidR="006A5392" w:rsidRPr="00C028B1" w:rsidRDefault="006A5392" w:rsidP="006A5392">
      <w:pPr>
        <w:tabs>
          <w:tab w:val="left" w:pos="425"/>
          <w:tab w:val="left" w:pos="851"/>
          <w:tab w:val="left" w:pos="993"/>
          <w:tab w:val="left" w:pos="1418"/>
          <w:tab w:val="left" w:pos="1843"/>
          <w:tab w:val="left" w:pos="2410"/>
        </w:tabs>
        <w:ind w:firstLine="567"/>
        <w:jc w:val="both"/>
        <w:rPr>
          <w:rFonts w:ascii="Times New Roman" w:hAnsi="Times New Roman"/>
          <w:b/>
          <w:sz w:val="24"/>
          <w:szCs w:val="24"/>
        </w:rPr>
      </w:pPr>
      <w:r w:rsidRPr="00C028B1">
        <w:rPr>
          <w:rFonts w:ascii="Times New Roman" w:hAnsi="Times New Roman"/>
          <w:b/>
          <w:sz w:val="24"/>
          <w:szCs w:val="24"/>
        </w:rPr>
        <w:t>2. PIRKIMO OBJEKTAS IR REIKALAVIMAI VERTINIMO PASLAUGOMS</w:t>
      </w:r>
    </w:p>
    <w:p w14:paraId="1D5C8D2C" w14:textId="77777777" w:rsidR="006A5392" w:rsidRPr="00C028B1" w:rsidRDefault="006A5392" w:rsidP="006A5392">
      <w:pPr>
        <w:tabs>
          <w:tab w:val="left" w:pos="425"/>
          <w:tab w:val="left" w:pos="851"/>
          <w:tab w:val="left" w:pos="993"/>
          <w:tab w:val="left" w:pos="1418"/>
          <w:tab w:val="left" w:pos="1843"/>
          <w:tab w:val="left" w:pos="2410"/>
        </w:tabs>
        <w:ind w:left="567"/>
        <w:jc w:val="both"/>
        <w:rPr>
          <w:rFonts w:ascii="Times New Roman" w:hAnsi="Times New Roman"/>
          <w:b/>
          <w:sz w:val="24"/>
          <w:szCs w:val="24"/>
        </w:rPr>
      </w:pPr>
    </w:p>
    <w:p w14:paraId="02A082F7" w14:textId="77777777" w:rsidR="006A5392" w:rsidRPr="00C028B1" w:rsidRDefault="006A5392" w:rsidP="006A5392">
      <w:pPr>
        <w:tabs>
          <w:tab w:val="left" w:pos="425"/>
          <w:tab w:val="left" w:pos="851"/>
          <w:tab w:val="left" w:pos="993"/>
          <w:tab w:val="left" w:pos="1418"/>
          <w:tab w:val="left" w:pos="1843"/>
          <w:tab w:val="left" w:pos="2410"/>
        </w:tabs>
        <w:ind w:firstLine="567"/>
        <w:jc w:val="both"/>
        <w:rPr>
          <w:rFonts w:ascii="Times New Roman" w:eastAsia="Calibri" w:hAnsi="Times New Roman"/>
          <w:sz w:val="24"/>
          <w:szCs w:val="24"/>
        </w:rPr>
      </w:pPr>
      <w:r w:rsidRPr="00C028B1">
        <w:rPr>
          <w:rFonts w:ascii="Times New Roman" w:eastAsia="Calibri" w:hAnsi="Times New Roman"/>
          <w:sz w:val="24"/>
          <w:szCs w:val="24"/>
        </w:rPr>
        <w:t>2.1. Pirkimo apimtis:</w:t>
      </w:r>
    </w:p>
    <w:tbl>
      <w:tblPr>
        <w:tblStyle w:val="TableGrid"/>
        <w:tblW w:w="9923" w:type="dxa"/>
        <w:tblInd w:w="-5" w:type="dxa"/>
        <w:tblLayout w:type="fixed"/>
        <w:tblLook w:val="04A0" w:firstRow="1" w:lastRow="0" w:firstColumn="1" w:lastColumn="0" w:noHBand="0" w:noVBand="1"/>
      </w:tblPr>
      <w:tblGrid>
        <w:gridCol w:w="709"/>
        <w:gridCol w:w="2194"/>
        <w:gridCol w:w="7020"/>
      </w:tblGrid>
      <w:tr w:rsidR="006A5392" w:rsidRPr="00C028B1" w14:paraId="334D9207" w14:textId="77777777" w:rsidTr="00291424">
        <w:tc>
          <w:tcPr>
            <w:tcW w:w="709" w:type="dxa"/>
          </w:tcPr>
          <w:p w14:paraId="62CCF720" w14:textId="77777777" w:rsidR="006A5392" w:rsidRPr="00C028B1" w:rsidRDefault="006A5392" w:rsidP="00291424">
            <w:pPr>
              <w:tabs>
                <w:tab w:val="left" w:pos="176"/>
                <w:tab w:val="left" w:pos="316"/>
                <w:tab w:val="left" w:pos="851"/>
                <w:tab w:val="left" w:pos="993"/>
                <w:tab w:val="left" w:pos="1843"/>
                <w:tab w:val="left" w:pos="2410"/>
              </w:tabs>
              <w:ind w:left="-108" w:right="-109"/>
              <w:jc w:val="center"/>
              <w:rPr>
                <w:rFonts w:ascii="Times New Roman" w:hAnsi="Times New Roman"/>
                <w:b/>
                <w:sz w:val="24"/>
                <w:szCs w:val="24"/>
              </w:rPr>
            </w:pPr>
            <w:r w:rsidRPr="00C028B1">
              <w:rPr>
                <w:rFonts w:ascii="Times New Roman" w:hAnsi="Times New Roman"/>
                <w:b/>
                <w:sz w:val="24"/>
                <w:szCs w:val="24"/>
              </w:rPr>
              <w:t>Eil. Nr.</w:t>
            </w:r>
          </w:p>
        </w:tc>
        <w:tc>
          <w:tcPr>
            <w:tcW w:w="2194" w:type="dxa"/>
            <w:vAlign w:val="center"/>
          </w:tcPr>
          <w:p w14:paraId="6C3165B5" w14:textId="77777777" w:rsidR="006A5392" w:rsidRPr="00C028B1" w:rsidRDefault="006A5392" w:rsidP="00291424">
            <w:pPr>
              <w:tabs>
                <w:tab w:val="left" w:pos="425"/>
                <w:tab w:val="left" w:pos="851"/>
                <w:tab w:val="left" w:pos="993"/>
                <w:tab w:val="left" w:pos="1418"/>
                <w:tab w:val="left" w:pos="1843"/>
                <w:tab w:val="left" w:pos="2410"/>
              </w:tabs>
              <w:jc w:val="center"/>
              <w:rPr>
                <w:rFonts w:ascii="Times New Roman" w:hAnsi="Times New Roman"/>
                <w:b/>
                <w:sz w:val="24"/>
                <w:szCs w:val="24"/>
              </w:rPr>
            </w:pPr>
            <w:r w:rsidRPr="00C028B1">
              <w:rPr>
                <w:rFonts w:ascii="Times New Roman" w:hAnsi="Times New Roman"/>
                <w:b/>
                <w:sz w:val="24"/>
                <w:szCs w:val="24"/>
              </w:rPr>
              <w:t>Apimties dalys</w:t>
            </w:r>
          </w:p>
        </w:tc>
        <w:tc>
          <w:tcPr>
            <w:tcW w:w="7020" w:type="dxa"/>
            <w:vAlign w:val="center"/>
          </w:tcPr>
          <w:p w14:paraId="3E17D4DA" w14:textId="77777777" w:rsidR="006A5392" w:rsidRPr="00C028B1" w:rsidRDefault="006A5392" w:rsidP="00291424">
            <w:pPr>
              <w:tabs>
                <w:tab w:val="left" w:pos="425"/>
                <w:tab w:val="left" w:pos="851"/>
                <w:tab w:val="left" w:pos="993"/>
                <w:tab w:val="left" w:pos="1418"/>
                <w:tab w:val="left" w:pos="1843"/>
                <w:tab w:val="left" w:pos="2410"/>
              </w:tabs>
              <w:jc w:val="center"/>
              <w:rPr>
                <w:rFonts w:ascii="Times New Roman" w:hAnsi="Times New Roman"/>
                <w:b/>
                <w:sz w:val="24"/>
                <w:szCs w:val="24"/>
              </w:rPr>
            </w:pPr>
            <w:r w:rsidRPr="00C028B1">
              <w:rPr>
                <w:rFonts w:ascii="Times New Roman" w:hAnsi="Times New Roman"/>
                <w:b/>
                <w:sz w:val="24"/>
                <w:szCs w:val="24"/>
              </w:rPr>
              <w:t>Detalizacija</w:t>
            </w:r>
          </w:p>
        </w:tc>
      </w:tr>
      <w:tr w:rsidR="006A5392" w:rsidRPr="00C028B1" w14:paraId="29D3CB1C" w14:textId="77777777" w:rsidTr="00291424">
        <w:tc>
          <w:tcPr>
            <w:tcW w:w="709" w:type="dxa"/>
          </w:tcPr>
          <w:p w14:paraId="41E7E06C" w14:textId="77777777" w:rsidR="006A5392" w:rsidRPr="00C028B1" w:rsidRDefault="006A5392" w:rsidP="00291424">
            <w:pPr>
              <w:tabs>
                <w:tab w:val="left" w:pos="176"/>
                <w:tab w:val="left" w:pos="425"/>
                <w:tab w:val="left" w:pos="493"/>
                <w:tab w:val="left" w:pos="709"/>
                <w:tab w:val="left" w:pos="851"/>
                <w:tab w:val="left" w:pos="993"/>
                <w:tab w:val="left" w:pos="1843"/>
                <w:tab w:val="left" w:pos="2410"/>
              </w:tabs>
              <w:ind w:right="-109"/>
              <w:contextualSpacing/>
              <w:jc w:val="center"/>
              <w:rPr>
                <w:rFonts w:ascii="Times New Roman" w:eastAsia="Calibri" w:hAnsi="Times New Roman"/>
                <w:bCs/>
                <w:sz w:val="24"/>
                <w:szCs w:val="24"/>
              </w:rPr>
            </w:pPr>
            <w:r w:rsidRPr="00C028B1">
              <w:rPr>
                <w:rFonts w:ascii="Times New Roman" w:eastAsia="Calibri" w:hAnsi="Times New Roman"/>
                <w:bCs/>
                <w:sz w:val="24"/>
                <w:szCs w:val="24"/>
              </w:rPr>
              <w:t xml:space="preserve">2.1.1. </w:t>
            </w:r>
          </w:p>
          <w:p w14:paraId="77996CD1" w14:textId="77777777" w:rsidR="006A5392" w:rsidRPr="00C028B1" w:rsidRDefault="006A5392" w:rsidP="00291424">
            <w:pPr>
              <w:tabs>
                <w:tab w:val="left" w:pos="176"/>
                <w:tab w:val="left" w:pos="493"/>
                <w:tab w:val="left" w:pos="851"/>
                <w:tab w:val="left" w:pos="993"/>
                <w:tab w:val="left" w:pos="1843"/>
                <w:tab w:val="left" w:pos="2410"/>
              </w:tabs>
              <w:ind w:left="-108" w:right="-109"/>
              <w:jc w:val="center"/>
              <w:rPr>
                <w:rFonts w:ascii="Times New Roman" w:hAnsi="Times New Roman"/>
                <w:bCs/>
                <w:sz w:val="24"/>
                <w:szCs w:val="24"/>
              </w:rPr>
            </w:pPr>
          </w:p>
        </w:tc>
        <w:tc>
          <w:tcPr>
            <w:tcW w:w="2194" w:type="dxa"/>
          </w:tcPr>
          <w:p w14:paraId="53F0891B"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Pirkimo objektas</w:t>
            </w:r>
          </w:p>
        </w:tc>
        <w:tc>
          <w:tcPr>
            <w:tcW w:w="7020" w:type="dxa"/>
          </w:tcPr>
          <w:p w14:paraId="4DC8C253" w14:textId="77777777" w:rsidR="006A5392" w:rsidRPr="00C028B1" w:rsidRDefault="006A5392" w:rsidP="00291424">
            <w:pPr>
              <w:tabs>
                <w:tab w:val="left" w:pos="425"/>
                <w:tab w:val="left" w:pos="851"/>
                <w:tab w:val="left" w:pos="993"/>
                <w:tab w:val="left" w:pos="1418"/>
                <w:tab w:val="left" w:pos="1843"/>
                <w:tab w:val="left" w:pos="2410"/>
              </w:tabs>
              <w:ind w:right="102" w:firstLine="532"/>
              <w:jc w:val="both"/>
              <w:rPr>
                <w:rFonts w:ascii="Times New Roman" w:hAnsi="Times New Roman"/>
                <w:sz w:val="24"/>
                <w:szCs w:val="24"/>
              </w:rPr>
            </w:pPr>
            <w:r w:rsidRPr="00C028B1">
              <w:rPr>
                <w:rFonts w:ascii="Times New Roman" w:hAnsi="Times New Roman"/>
                <w:sz w:val="24"/>
                <w:szCs w:val="24"/>
              </w:rPr>
              <w:t>Konkursinės doktorantūros ir Podoktorantūros stažuočių projektų priemonių įgyvendinimo</w:t>
            </w:r>
            <w:r>
              <w:rPr>
                <w:rFonts w:ascii="Times New Roman" w:hAnsi="Times New Roman"/>
                <w:sz w:val="24"/>
                <w:szCs w:val="24"/>
              </w:rPr>
              <w:t xml:space="preserve"> poveikio</w:t>
            </w:r>
            <w:r w:rsidRPr="00C028B1">
              <w:rPr>
                <w:rFonts w:ascii="Times New Roman" w:hAnsi="Times New Roman"/>
                <w:sz w:val="24"/>
                <w:szCs w:val="24"/>
              </w:rPr>
              <w:t xml:space="preserve"> vertinimas bei susijusių politikos priemonių rekomendacijos, remiantis naujausiais įstatymų pakeitimais, statistiniais duomenimis ir tarptautine praktika (toliau – Paslaugos).</w:t>
            </w:r>
          </w:p>
        </w:tc>
      </w:tr>
      <w:tr w:rsidR="006A5392" w:rsidRPr="00C028B1" w14:paraId="299BCEF0" w14:textId="77777777" w:rsidTr="00291424">
        <w:tc>
          <w:tcPr>
            <w:tcW w:w="709" w:type="dxa"/>
          </w:tcPr>
          <w:p w14:paraId="3D23CCA9" w14:textId="77777777" w:rsidR="006A5392" w:rsidRPr="00C028B1" w:rsidRDefault="006A5392" w:rsidP="006A5392">
            <w:pPr>
              <w:pStyle w:val="ListParagraph"/>
              <w:numPr>
                <w:ilvl w:val="2"/>
                <w:numId w:val="3"/>
              </w:numPr>
              <w:tabs>
                <w:tab w:val="left" w:pos="176"/>
                <w:tab w:val="left" w:pos="493"/>
                <w:tab w:val="left" w:pos="851"/>
                <w:tab w:val="left" w:pos="993"/>
                <w:tab w:val="left" w:pos="1843"/>
                <w:tab w:val="left" w:pos="2410"/>
              </w:tabs>
              <w:spacing w:after="200"/>
              <w:ind w:right="-109"/>
              <w:jc w:val="center"/>
              <w:rPr>
                <w:rFonts w:ascii="Times New Roman" w:hAnsi="Times New Roman"/>
                <w:bCs/>
                <w:sz w:val="24"/>
                <w:szCs w:val="24"/>
              </w:rPr>
            </w:pPr>
          </w:p>
        </w:tc>
        <w:tc>
          <w:tcPr>
            <w:tcW w:w="2194" w:type="dxa"/>
          </w:tcPr>
          <w:p w14:paraId="216F40EB"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 xml:space="preserve">Paslaugų paskirtis </w:t>
            </w:r>
          </w:p>
        </w:tc>
        <w:tc>
          <w:tcPr>
            <w:tcW w:w="7020" w:type="dxa"/>
          </w:tcPr>
          <w:p w14:paraId="441A42D3" w14:textId="77777777" w:rsidR="006A5392" w:rsidRPr="00C028B1" w:rsidRDefault="006A5392" w:rsidP="00291424">
            <w:pPr>
              <w:tabs>
                <w:tab w:val="left" w:pos="425"/>
                <w:tab w:val="left" w:pos="851"/>
                <w:tab w:val="left" w:pos="993"/>
                <w:tab w:val="left" w:pos="1418"/>
                <w:tab w:val="left" w:pos="1843"/>
                <w:tab w:val="left" w:pos="2410"/>
              </w:tabs>
              <w:ind w:firstLine="532"/>
              <w:jc w:val="both"/>
              <w:rPr>
                <w:rFonts w:ascii="Times New Roman" w:hAnsi="Times New Roman"/>
                <w:sz w:val="24"/>
                <w:szCs w:val="24"/>
                <w:lang w:eastAsia="lt-LT"/>
              </w:rPr>
            </w:pPr>
            <w:r w:rsidRPr="00C028B1">
              <w:rPr>
                <w:rFonts w:ascii="Times New Roman" w:hAnsi="Times New Roman"/>
                <w:sz w:val="24"/>
                <w:szCs w:val="24"/>
                <w:lang w:eastAsia="lt-LT"/>
              </w:rPr>
              <w:t>Atlikti Lietuvos mokslo tarybos (toliau – LMT) vykdomų finansavimo priemonių:</w:t>
            </w:r>
          </w:p>
          <w:p w14:paraId="3E826F1F" w14:textId="77777777" w:rsidR="006A5392" w:rsidRPr="00C028B1" w:rsidRDefault="006A5392" w:rsidP="00291424">
            <w:pPr>
              <w:tabs>
                <w:tab w:val="left" w:pos="425"/>
                <w:tab w:val="left" w:pos="851"/>
                <w:tab w:val="left" w:pos="993"/>
                <w:tab w:val="left" w:pos="1418"/>
                <w:tab w:val="left" w:pos="1843"/>
                <w:tab w:val="left" w:pos="2410"/>
              </w:tabs>
              <w:ind w:firstLine="532"/>
              <w:jc w:val="both"/>
              <w:rPr>
                <w:rFonts w:ascii="Times New Roman" w:hAnsi="Times New Roman"/>
                <w:sz w:val="24"/>
                <w:szCs w:val="24"/>
                <w:lang w:eastAsia="lt-LT"/>
              </w:rPr>
            </w:pPr>
            <w:r w:rsidRPr="00C028B1">
              <w:rPr>
                <w:rFonts w:ascii="Times New Roman" w:hAnsi="Times New Roman"/>
                <w:sz w:val="24"/>
                <w:szCs w:val="24"/>
                <w:lang w:eastAsia="lt-LT"/>
              </w:rPr>
              <w:t>1. Konkursinės doktorantūros,</w:t>
            </w:r>
          </w:p>
          <w:p w14:paraId="2CEDC344" w14:textId="77777777" w:rsidR="006A5392" w:rsidRPr="00C028B1" w:rsidRDefault="006A5392" w:rsidP="00291424">
            <w:pPr>
              <w:tabs>
                <w:tab w:val="left" w:pos="425"/>
                <w:tab w:val="left" w:pos="851"/>
                <w:tab w:val="left" w:pos="993"/>
                <w:tab w:val="left" w:pos="1418"/>
                <w:tab w:val="left" w:pos="1843"/>
                <w:tab w:val="left" w:pos="2410"/>
              </w:tabs>
              <w:ind w:firstLine="532"/>
              <w:jc w:val="both"/>
              <w:rPr>
                <w:rFonts w:ascii="Times New Roman" w:hAnsi="Times New Roman"/>
                <w:sz w:val="24"/>
                <w:szCs w:val="24"/>
                <w:lang w:eastAsia="lt-LT"/>
              </w:rPr>
            </w:pPr>
            <w:r w:rsidRPr="00C028B1">
              <w:rPr>
                <w:rFonts w:ascii="Times New Roman" w:hAnsi="Times New Roman"/>
                <w:sz w:val="24"/>
                <w:szCs w:val="24"/>
                <w:lang w:eastAsia="lt-LT"/>
              </w:rPr>
              <w:t>2. Podoktorantūros stažuočių projektų,</w:t>
            </w:r>
          </w:p>
          <w:p w14:paraId="3868DAB9" w14:textId="77777777" w:rsidR="006A5392" w:rsidRPr="00C028B1" w:rsidRDefault="006A5392" w:rsidP="00291424">
            <w:pPr>
              <w:tabs>
                <w:tab w:val="left" w:pos="425"/>
                <w:tab w:val="left" w:pos="851"/>
                <w:tab w:val="left" w:pos="993"/>
                <w:tab w:val="left" w:pos="1418"/>
                <w:tab w:val="left" w:pos="1843"/>
                <w:tab w:val="left" w:pos="2410"/>
              </w:tabs>
              <w:jc w:val="both"/>
              <w:rPr>
                <w:rFonts w:ascii="Times New Roman" w:hAnsi="Times New Roman"/>
                <w:sz w:val="24"/>
                <w:szCs w:val="24"/>
                <w:lang w:eastAsia="lt-LT"/>
              </w:rPr>
            </w:pPr>
            <w:r w:rsidRPr="00C028B1">
              <w:rPr>
                <w:rFonts w:ascii="Times New Roman" w:hAnsi="Times New Roman"/>
                <w:sz w:val="24"/>
                <w:szCs w:val="24"/>
                <w:lang w:eastAsia="lt-LT"/>
              </w:rPr>
              <w:t>Priemonių įgyvendinimo vertinimą ir parengti rekomendacijas, skirtas šių finansavimo priemonių veiksmingumui, rezultatyvumui, naudai Lietuvos mokslui, visuomenei bei tarptautiniam konkurencingumui didinti.</w:t>
            </w:r>
          </w:p>
        </w:tc>
      </w:tr>
      <w:tr w:rsidR="006A5392" w:rsidRPr="00C028B1" w14:paraId="1628B0C4" w14:textId="77777777" w:rsidTr="00291424">
        <w:tc>
          <w:tcPr>
            <w:tcW w:w="709" w:type="dxa"/>
          </w:tcPr>
          <w:p w14:paraId="595E9DF5" w14:textId="77777777" w:rsidR="006A5392" w:rsidRPr="00C028B1" w:rsidRDefault="006A5392" w:rsidP="00291424">
            <w:pPr>
              <w:tabs>
                <w:tab w:val="left" w:pos="176"/>
                <w:tab w:val="left" w:pos="493"/>
                <w:tab w:val="left" w:pos="851"/>
                <w:tab w:val="left" w:pos="993"/>
                <w:tab w:val="left" w:pos="1843"/>
                <w:tab w:val="left" w:pos="2410"/>
              </w:tabs>
              <w:ind w:right="-109"/>
              <w:jc w:val="center"/>
              <w:rPr>
                <w:rFonts w:ascii="Times New Roman" w:hAnsi="Times New Roman"/>
                <w:bCs/>
                <w:sz w:val="24"/>
                <w:szCs w:val="24"/>
              </w:rPr>
            </w:pPr>
            <w:r w:rsidRPr="00C028B1">
              <w:rPr>
                <w:rFonts w:ascii="Times New Roman" w:hAnsi="Times New Roman"/>
                <w:bCs/>
                <w:sz w:val="24"/>
                <w:szCs w:val="24"/>
              </w:rPr>
              <w:t xml:space="preserve">2.1.3. </w:t>
            </w:r>
          </w:p>
        </w:tc>
        <w:tc>
          <w:tcPr>
            <w:tcW w:w="2194" w:type="dxa"/>
          </w:tcPr>
          <w:p w14:paraId="1DDEB8DE"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Paslaugų įsigijimo pagrindimas</w:t>
            </w:r>
          </w:p>
        </w:tc>
        <w:tc>
          <w:tcPr>
            <w:tcW w:w="7020" w:type="dxa"/>
          </w:tcPr>
          <w:p w14:paraId="0466CF9B" w14:textId="77777777" w:rsidR="006A5392" w:rsidRPr="00C028B1" w:rsidRDefault="006A5392" w:rsidP="00291424">
            <w:pPr>
              <w:tabs>
                <w:tab w:val="left" w:pos="275"/>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 xml:space="preserve">Priemonių įgyvendinimo vertinimas padės nustatyti, ar finansavimo priemonės (Konkursinė doktorantūra ir Podoktorantūros stažuočių projektai) yra veiksmingos ir rezultatyvios, bei kokį konkretų poveikį jos turėjo Lietuvos mokslui, visuomenei bei tarptautiniam konkurencingumui. Tai padės suprasti, ar investicijos pateisino lūkesčius ir prisidėjo prie MTEP skatinimo atsižvelgiant į Lietuvos ūkio ir visuomenės poreikius, sudarė </w:t>
            </w:r>
            <w:r w:rsidRPr="00C028B1">
              <w:rPr>
                <w:rFonts w:ascii="Times New Roman" w:hAnsi="Times New Roman"/>
                <w:sz w:val="24"/>
                <w:szCs w:val="24"/>
              </w:rPr>
              <w:t>palankias sąlygas stiprinti tyrėjų gebėjimus ir kompetencijas vykdyti aukšto lygio mokslinius tyrimus, ar į doktorantūrą pritraukė daugiau tyrėjų, kurie toliau aktyviai vykdė mokslinę veiklą</w:t>
            </w:r>
            <w:r w:rsidRPr="00C028B1">
              <w:rPr>
                <w:rFonts w:ascii="Times New Roman" w:hAnsi="Times New Roman"/>
                <w:sz w:val="24"/>
                <w:szCs w:val="24"/>
                <w:lang w:eastAsia="lt-LT"/>
              </w:rPr>
              <w:t>.</w:t>
            </w:r>
          </w:p>
          <w:p w14:paraId="77370E33" w14:textId="77777777" w:rsidR="006A5392" w:rsidRPr="00C028B1" w:rsidRDefault="006A5392" w:rsidP="00291424">
            <w:pPr>
              <w:tabs>
                <w:tab w:val="left" w:pos="275"/>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lastRenderedPageBreak/>
              <w:t xml:space="preserve">Taip pat priemonių įgyvendinimo vertinimas suteiks vertingos informacijos, kuri gali būti naudojama planuojant būsimas ir tobulinant esamas finansavimo priemones. </w:t>
            </w:r>
          </w:p>
        </w:tc>
      </w:tr>
      <w:tr w:rsidR="006A5392" w:rsidRPr="00C028B1" w14:paraId="6C9EBAC4" w14:textId="77777777" w:rsidTr="00291424">
        <w:tc>
          <w:tcPr>
            <w:tcW w:w="709" w:type="dxa"/>
          </w:tcPr>
          <w:p w14:paraId="32121AF5"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jc w:val="center"/>
              <w:rPr>
                <w:rFonts w:ascii="Times New Roman" w:hAnsi="Times New Roman"/>
                <w:b/>
                <w:sz w:val="24"/>
                <w:szCs w:val="24"/>
              </w:rPr>
            </w:pPr>
            <w:r w:rsidRPr="00C028B1">
              <w:rPr>
                <w:rFonts w:ascii="Times New Roman" w:eastAsia="Calibri" w:hAnsi="Times New Roman"/>
                <w:bCs/>
                <w:sz w:val="24"/>
                <w:szCs w:val="24"/>
              </w:rPr>
              <w:lastRenderedPageBreak/>
              <w:t>2.1.4.</w:t>
            </w:r>
          </w:p>
        </w:tc>
        <w:tc>
          <w:tcPr>
            <w:tcW w:w="2194" w:type="dxa"/>
          </w:tcPr>
          <w:p w14:paraId="7BA0F4FA"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 xml:space="preserve">Paslaugų siekis </w:t>
            </w:r>
          </w:p>
        </w:tc>
        <w:tc>
          <w:tcPr>
            <w:tcW w:w="7020" w:type="dxa"/>
          </w:tcPr>
          <w:p w14:paraId="68E32210" w14:textId="77777777" w:rsidR="006A5392" w:rsidRPr="00C028B1" w:rsidRDefault="006A5392" w:rsidP="00291424">
            <w:pPr>
              <w:tabs>
                <w:tab w:val="left" w:pos="1134"/>
                <w:tab w:val="left" w:pos="1276"/>
              </w:tabs>
              <w:ind w:firstLine="536"/>
              <w:jc w:val="both"/>
              <w:rPr>
                <w:rFonts w:ascii="Times New Roman" w:hAnsi="Times New Roman"/>
                <w:sz w:val="24"/>
                <w:szCs w:val="24"/>
                <w:lang w:eastAsia="lt-LT"/>
              </w:rPr>
            </w:pPr>
            <w:r w:rsidRPr="00C028B1">
              <w:rPr>
                <w:rFonts w:ascii="Times New Roman" w:hAnsi="Times New Roman"/>
                <w:sz w:val="24"/>
                <w:szCs w:val="24"/>
                <w:lang w:eastAsia="lt-LT"/>
              </w:rPr>
              <w:t>Įvairiapusiškai įvertinti esamą situaciją, susijusią su Konkursinės doktorantūros ir Podoktorantūros stažuočių projektų veiksmingumu ir rezultatyvumu, nauda Lietuvos mokslui, visuomenei ir tarptautiniam konkurencingumui, bei, remiantis atlikto vertinimo rezultatais, parengti rekomendacijas, skirtas šių finansavimo priemonių veiksmingumui, rezultatyvumui, naudai Lietuvos mokslui, visuomenei bei tarptautiniam konkurencingumui didinti.</w:t>
            </w:r>
          </w:p>
        </w:tc>
      </w:tr>
      <w:tr w:rsidR="006A5392" w:rsidRPr="00C028B1" w14:paraId="0F286FA7" w14:textId="77777777" w:rsidTr="00291424">
        <w:tc>
          <w:tcPr>
            <w:tcW w:w="709" w:type="dxa"/>
          </w:tcPr>
          <w:p w14:paraId="206FF42E"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jc w:val="center"/>
              <w:rPr>
                <w:rFonts w:ascii="Times New Roman" w:eastAsia="Calibri" w:hAnsi="Times New Roman"/>
                <w:bCs/>
                <w:sz w:val="24"/>
                <w:szCs w:val="24"/>
              </w:rPr>
            </w:pPr>
            <w:r w:rsidRPr="00C028B1">
              <w:rPr>
                <w:rFonts w:ascii="Times New Roman" w:eastAsia="Calibri" w:hAnsi="Times New Roman"/>
                <w:bCs/>
                <w:sz w:val="24"/>
                <w:szCs w:val="24"/>
              </w:rPr>
              <w:t>2.1.5.</w:t>
            </w:r>
          </w:p>
        </w:tc>
        <w:tc>
          <w:tcPr>
            <w:tcW w:w="2194" w:type="dxa"/>
          </w:tcPr>
          <w:p w14:paraId="01F74FAC"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Paslaugų sudėtis</w:t>
            </w:r>
          </w:p>
        </w:tc>
        <w:tc>
          <w:tcPr>
            <w:tcW w:w="7020" w:type="dxa"/>
          </w:tcPr>
          <w:p w14:paraId="07B82D7D"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Vertinimo ataskaitos (viena tarpinė ir viena galutinė; iš viso – 2 vnt.):</w:t>
            </w:r>
          </w:p>
          <w:p w14:paraId="3FB5CA23"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1. Tarpinė ataskaita. Tarpinė ataskaita turi būti parengta ir pateikta LMT ne vėliau kaip po 4 mėnesių nuo sutarties dėl Paslaugų teikimo pasirašymo dienos. Šioje ataskaitoje turi būti pateikiama išsami informacija apie visus nuo sutarties dėl Paslaugų teikimo pasirašymo dienos atliktus darbus, susijusius su Paslaugų teikimu, ir apimanti šiuos aspektus:</w:t>
            </w:r>
          </w:p>
          <w:p w14:paraId="3C187440"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a) Atliktų darbų aprašymas. Pateikiamas išsamus kiekvieno atlikto darbo aprašymas pagal techninės specifikacijos dalis „Vertinimo sudėtis“ ir „Reikalavimai paslaugų teikimui“;</w:t>
            </w:r>
          </w:p>
          <w:p w14:paraId="11309A1D"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b) Kiekvieno darbo faktinė pradžios ir pabaigos data (jei darbas užbaigtas);</w:t>
            </w:r>
          </w:p>
          <w:p w14:paraId="1094FC5E"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c) Darbo proceso aprašymas, įskaitant pasiektus rezultatus ir terminą, skirtą darbo įgyvendinimui;</w:t>
            </w:r>
          </w:p>
          <w:p w14:paraId="3EA24D9B"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d) Tarpinės rekomendacijos (jei tokių yra), susijusios su konkrečiais darbais.</w:t>
            </w:r>
          </w:p>
          <w:p w14:paraId="73881AA2"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Tarpinėje ataskaitoje taip pat turi būti pateikiamas sąrašas darbų, kurie dar turi būti įgyvendinti. Šiame sąraše turi būti nurodomi būsimų darbų pavadinimai ir trumpi aprašymai; galimos rizikos, susijusios su savalaikiu darbų įgyvendinimu; numatytos priemonės rizikų mažinimui ar pašalinimui.</w:t>
            </w:r>
          </w:p>
          <w:p w14:paraId="4772A533"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2. Galutinė ataskaita. Galutinė ataskaita turi būti parengta ir pateikta ne vėliau kaip per 1 mėnesį iki sutartyje numatyto paslaugų teikimo termino pabaigos. Šioje ataskaitoje turi būti pateikta informacija apie visus darbus, atliktus nuo sutarties dėl Paslaugų teikimo pasirašymo, įskaitant šiuos aspektus:</w:t>
            </w:r>
          </w:p>
          <w:p w14:paraId="1438622F"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a) Atliktų darbų aprašymas. Pateikiamas išsamus kiekvieno atlikto darbo aprašymas pagal techninės specifikacijos dalis „Vertinimo sudėtis“ ir „Reikalavimai paslaugų teikimui“;</w:t>
            </w:r>
          </w:p>
          <w:p w14:paraId="521B5195"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b) Kiekvieno darbo faktinė pradžios ir pabaigos data (jei darbas užbaigtas);</w:t>
            </w:r>
          </w:p>
          <w:p w14:paraId="7D1596EB"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c) Darbo proceso aprašymas įskaitant terminus, skirtus darbų įgyvendinimui;</w:t>
            </w:r>
          </w:p>
          <w:p w14:paraId="404BB4C0"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d) Pastabos (jei tokių yra), susijusios su konkrečiais darbais.</w:t>
            </w:r>
          </w:p>
          <w:p w14:paraId="3361FB7F"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 xml:space="preserve">Galutinėje ataskaitoje taip pat turi būti pateikta atliktų darbų santrauka ir suformuluotos argumentuotos praktinės rekomendacijos, orientuotos į finansavimo priemonių (Konkursinės doktorantūros ir Podoktorantūros stažuočių projektų) veiksmingumo, rezultatyvumo, </w:t>
            </w:r>
            <w:r w:rsidRPr="00C028B1">
              <w:rPr>
                <w:rFonts w:ascii="Times New Roman" w:hAnsi="Times New Roman"/>
                <w:sz w:val="24"/>
                <w:szCs w:val="24"/>
                <w:lang w:eastAsia="lt-LT"/>
              </w:rPr>
              <w:lastRenderedPageBreak/>
              <w:t>naudos Lietuvos mokslui, visuomenei ir visuomenės pažangai didinimą.</w:t>
            </w:r>
          </w:p>
          <w:p w14:paraId="50FA177E"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Taip pat, kaip baigiamosios ataskaitos priedai, turi būti pateikti visų sutartyje numatytų darbų rezultatai, pateikti raštu, lentelėmis ir grafikais nurodant naudotus metodus, duomenų šaltinius, analizės įrankius ir pan.</w:t>
            </w:r>
          </w:p>
          <w:p w14:paraId="25642D3E"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 xml:space="preserve">Tarpinė ir baigiamoji ataskaitos turi būti pateiktos LMT elektroniniu paštu info@lmt.lt ir </w:t>
            </w:r>
            <w:r w:rsidRPr="00C028B1">
              <w:rPr>
                <w:rFonts w:ascii="Times New Roman" w:hAnsi="Times New Roman"/>
                <w:sz w:val="24"/>
                <w:szCs w:val="24"/>
              </w:rPr>
              <w:t xml:space="preserve">elektronine forma USB laikmenose („word“ ir „pdf“ formatais), 2 vnt. </w:t>
            </w:r>
            <w:r w:rsidRPr="00C028B1">
              <w:rPr>
                <w:rFonts w:ascii="Times New Roman" w:hAnsi="Times New Roman"/>
                <w:sz w:val="24"/>
                <w:szCs w:val="24"/>
                <w:lang w:eastAsia="lt-LT"/>
              </w:rPr>
              <w:t>Jeigu, LMT nuomone, parengtos tarpinė ir baigiamoji ataskaitos neatitinka LMT nustatytų ir šioje techninėje specifikacijoje nustatytų reikalavimų, LMT turi teisę reikalauti jas patikslinti ne vėliau kaip per dvi savaites nuo poreikio tikslinti tarpinę ar baigiamąją ataskaitą pateikimo raštu ar elektroniniu paštu Paslaugų teikėjui dienos.</w:t>
            </w:r>
          </w:p>
        </w:tc>
      </w:tr>
      <w:tr w:rsidR="006A5392" w:rsidRPr="00C028B1" w14:paraId="1FF91E1A" w14:textId="77777777" w:rsidTr="00291424">
        <w:tc>
          <w:tcPr>
            <w:tcW w:w="709" w:type="dxa"/>
          </w:tcPr>
          <w:p w14:paraId="1D502220"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jc w:val="center"/>
              <w:rPr>
                <w:rFonts w:ascii="Times New Roman" w:eastAsia="Calibri" w:hAnsi="Times New Roman"/>
                <w:bCs/>
                <w:sz w:val="24"/>
                <w:szCs w:val="24"/>
              </w:rPr>
            </w:pPr>
            <w:r w:rsidRPr="00C028B1">
              <w:rPr>
                <w:rFonts w:ascii="Times New Roman" w:eastAsia="Calibri" w:hAnsi="Times New Roman"/>
                <w:bCs/>
                <w:sz w:val="24"/>
                <w:szCs w:val="24"/>
              </w:rPr>
              <w:lastRenderedPageBreak/>
              <w:t>2.1.6.</w:t>
            </w:r>
          </w:p>
        </w:tc>
        <w:tc>
          <w:tcPr>
            <w:tcW w:w="2194" w:type="dxa"/>
          </w:tcPr>
          <w:p w14:paraId="2639F1E7"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Paslaugų rezultatas</w:t>
            </w:r>
          </w:p>
        </w:tc>
        <w:tc>
          <w:tcPr>
            <w:tcW w:w="7020" w:type="dxa"/>
          </w:tcPr>
          <w:p w14:paraId="18020150" w14:textId="77777777" w:rsidR="006A5392" w:rsidRPr="00C028B1" w:rsidRDefault="006A5392" w:rsidP="00291424">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 xml:space="preserve">Parengta ir LMT elektroniniu paštu </w:t>
            </w:r>
            <w:hyperlink r:id="rId5" w:tgtFrame="_blank" w:history="1">
              <w:r w:rsidRPr="00C028B1">
                <w:rPr>
                  <w:rStyle w:val="Hyperlink"/>
                  <w:rFonts w:ascii="Times New Roman" w:eastAsiaTheme="majorEastAsia" w:hAnsi="Times New Roman"/>
                  <w:sz w:val="24"/>
                  <w:szCs w:val="24"/>
                  <w:lang w:eastAsia="lt-LT"/>
                </w:rPr>
                <w:t>info@lmt.lt</w:t>
              </w:r>
            </w:hyperlink>
            <w:r w:rsidRPr="00C028B1">
              <w:rPr>
                <w:rFonts w:ascii="Times New Roman" w:hAnsi="Times New Roman"/>
                <w:sz w:val="24"/>
                <w:szCs w:val="24"/>
                <w:lang w:eastAsia="lt-LT"/>
              </w:rPr>
              <w:t xml:space="preserve"> ir </w:t>
            </w:r>
            <w:r w:rsidRPr="00C028B1">
              <w:rPr>
                <w:rFonts w:ascii="Times New Roman" w:hAnsi="Times New Roman"/>
                <w:sz w:val="24"/>
                <w:szCs w:val="24"/>
              </w:rPr>
              <w:t xml:space="preserve">elektronine forma USB laikmenose („word“ ir „pdf“ formatais) (2 vnt.) </w:t>
            </w:r>
            <w:r w:rsidRPr="00C028B1">
              <w:rPr>
                <w:rFonts w:ascii="Times New Roman" w:hAnsi="Times New Roman"/>
                <w:sz w:val="24"/>
                <w:szCs w:val="24"/>
                <w:lang w:eastAsia="lt-LT"/>
              </w:rPr>
              <w:t xml:space="preserve">pateikta </w:t>
            </w:r>
            <w:r w:rsidRPr="00C028B1">
              <w:rPr>
                <w:rFonts w:ascii="Times New Roman" w:hAnsi="Times New Roman"/>
                <w:sz w:val="24"/>
                <w:szCs w:val="24"/>
              </w:rPr>
              <w:t xml:space="preserve">Konkursinės doktorantūros ir Podoktorantūros stažuočių projektų priemonių įgyvendinimo vertinimo </w:t>
            </w:r>
            <w:r w:rsidRPr="00C028B1">
              <w:rPr>
                <w:rFonts w:ascii="Times New Roman" w:hAnsi="Times New Roman"/>
                <w:sz w:val="24"/>
                <w:szCs w:val="24"/>
                <w:lang w:eastAsia="lt-LT"/>
              </w:rPr>
              <w:t>ataskaita (ne trumpesnė nei 20 psl.), kuri apima visą informaciją apie nuo sutarties dėl Paslaugų teikimo pasirašymo dienos pradžios atliktus darbus, jų santrauką bei suformuluotas pagrįstas praktines rekomendacijas, kurios orientuotos į finansavimo priemonių (Konkursinės doktorantūros ir Podoktorantūros stažuočių projektų) veiksmingumo, rezultatyvumo, naudos Lietuvos mokslui, visuomenei ir tarptautiniam konkurencingumui didinimą. Turi būti pateiktos ne mažiau nei 5 politikos rekomendacijos, atliepiančios skirtingus suinteresuotųjų šalių segmentus: doktorantus, universitetus ir institutus, darbdavius, politikos formuotojus</w:t>
            </w:r>
          </w:p>
        </w:tc>
      </w:tr>
    </w:tbl>
    <w:p w14:paraId="33047C3A" w14:textId="77777777" w:rsidR="006A5392" w:rsidRPr="00C028B1" w:rsidRDefault="006A5392" w:rsidP="006A5392">
      <w:pPr>
        <w:tabs>
          <w:tab w:val="left" w:pos="425"/>
          <w:tab w:val="left" w:pos="851"/>
          <w:tab w:val="left" w:pos="993"/>
          <w:tab w:val="left" w:pos="1418"/>
          <w:tab w:val="left" w:pos="1843"/>
          <w:tab w:val="left" w:pos="2410"/>
        </w:tabs>
        <w:contextualSpacing/>
        <w:jc w:val="both"/>
        <w:rPr>
          <w:rFonts w:ascii="Times New Roman" w:eastAsia="Calibri" w:hAnsi="Times New Roman"/>
          <w:sz w:val="24"/>
          <w:szCs w:val="24"/>
        </w:rPr>
      </w:pPr>
    </w:p>
    <w:p w14:paraId="4E1E7A10" w14:textId="77777777" w:rsidR="006A5392" w:rsidRPr="00C028B1" w:rsidRDefault="006A5392" w:rsidP="006A5392">
      <w:pPr>
        <w:tabs>
          <w:tab w:val="left" w:pos="425"/>
          <w:tab w:val="left" w:pos="851"/>
          <w:tab w:val="left" w:pos="993"/>
          <w:tab w:val="left" w:pos="1418"/>
          <w:tab w:val="left" w:pos="1843"/>
          <w:tab w:val="left" w:pos="2410"/>
        </w:tabs>
        <w:ind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2.2. Vertinimo sudėtis:</w:t>
      </w:r>
    </w:p>
    <w:tbl>
      <w:tblPr>
        <w:tblStyle w:val="TableGrid"/>
        <w:tblW w:w="9923" w:type="dxa"/>
        <w:tblInd w:w="-5" w:type="dxa"/>
        <w:tblLayout w:type="fixed"/>
        <w:tblLook w:val="04A0" w:firstRow="1" w:lastRow="0" w:firstColumn="1" w:lastColumn="0" w:noHBand="0" w:noVBand="1"/>
      </w:tblPr>
      <w:tblGrid>
        <w:gridCol w:w="709"/>
        <w:gridCol w:w="2194"/>
        <w:gridCol w:w="7020"/>
      </w:tblGrid>
      <w:tr w:rsidR="006A5392" w:rsidRPr="00C028B1" w14:paraId="67C173DC" w14:textId="77777777" w:rsidTr="00291424">
        <w:tc>
          <w:tcPr>
            <w:tcW w:w="709" w:type="dxa"/>
          </w:tcPr>
          <w:p w14:paraId="023D8C1C" w14:textId="77777777" w:rsidR="006A5392" w:rsidRPr="00C028B1" w:rsidRDefault="006A5392" w:rsidP="00291424">
            <w:pPr>
              <w:tabs>
                <w:tab w:val="left" w:pos="176"/>
                <w:tab w:val="left" w:pos="316"/>
                <w:tab w:val="left" w:pos="851"/>
                <w:tab w:val="left" w:pos="993"/>
                <w:tab w:val="left" w:pos="1843"/>
                <w:tab w:val="left" w:pos="2410"/>
              </w:tabs>
              <w:ind w:left="-108" w:right="-109"/>
              <w:contextualSpacing/>
              <w:rPr>
                <w:rFonts w:ascii="Times New Roman" w:eastAsia="Calibri" w:hAnsi="Times New Roman"/>
                <w:b/>
                <w:sz w:val="24"/>
                <w:szCs w:val="24"/>
              </w:rPr>
            </w:pPr>
            <w:r w:rsidRPr="00C028B1">
              <w:rPr>
                <w:rFonts w:ascii="Times New Roman" w:eastAsia="Calibri" w:hAnsi="Times New Roman"/>
                <w:b/>
                <w:sz w:val="24"/>
                <w:szCs w:val="24"/>
              </w:rPr>
              <w:t xml:space="preserve">Eil. Nr. </w:t>
            </w:r>
          </w:p>
        </w:tc>
        <w:tc>
          <w:tcPr>
            <w:tcW w:w="2194" w:type="dxa"/>
          </w:tcPr>
          <w:p w14:paraId="0E34CEEA" w14:textId="77777777" w:rsidR="006A5392" w:rsidRPr="00C028B1" w:rsidRDefault="006A5392" w:rsidP="00291424">
            <w:pPr>
              <w:tabs>
                <w:tab w:val="left" w:pos="425"/>
                <w:tab w:val="left" w:pos="851"/>
                <w:tab w:val="left" w:pos="993"/>
                <w:tab w:val="left" w:pos="1418"/>
                <w:tab w:val="left" w:pos="1843"/>
                <w:tab w:val="left" w:pos="2410"/>
              </w:tabs>
              <w:jc w:val="center"/>
              <w:rPr>
                <w:rFonts w:ascii="Times New Roman" w:hAnsi="Times New Roman"/>
                <w:b/>
                <w:sz w:val="24"/>
                <w:szCs w:val="24"/>
              </w:rPr>
            </w:pPr>
            <w:r w:rsidRPr="00C028B1">
              <w:rPr>
                <w:rFonts w:ascii="Times New Roman" w:hAnsi="Times New Roman"/>
                <w:b/>
                <w:sz w:val="24"/>
                <w:szCs w:val="24"/>
              </w:rPr>
              <w:t>Sudėtis</w:t>
            </w:r>
          </w:p>
        </w:tc>
        <w:tc>
          <w:tcPr>
            <w:tcW w:w="7020" w:type="dxa"/>
          </w:tcPr>
          <w:p w14:paraId="1AF29817" w14:textId="77777777" w:rsidR="006A5392" w:rsidRPr="00C028B1" w:rsidRDefault="006A5392" w:rsidP="00291424">
            <w:pPr>
              <w:tabs>
                <w:tab w:val="left" w:pos="1134"/>
                <w:tab w:val="left" w:pos="1276"/>
              </w:tabs>
              <w:jc w:val="center"/>
              <w:rPr>
                <w:rFonts w:ascii="Times New Roman" w:hAnsi="Times New Roman"/>
                <w:b/>
                <w:sz w:val="24"/>
                <w:szCs w:val="24"/>
                <w:lang w:eastAsia="lt-LT"/>
              </w:rPr>
            </w:pPr>
            <w:r w:rsidRPr="00C028B1">
              <w:rPr>
                <w:rFonts w:ascii="Times New Roman" w:hAnsi="Times New Roman"/>
                <w:b/>
                <w:sz w:val="24"/>
                <w:szCs w:val="24"/>
                <w:lang w:eastAsia="lt-LT"/>
              </w:rPr>
              <w:t>Detalizacija</w:t>
            </w:r>
          </w:p>
        </w:tc>
      </w:tr>
      <w:tr w:rsidR="006A5392" w:rsidRPr="00C028B1" w14:paraId="5BC9F313" w14:textId="77777777" w:rsidTr="00291424">
        <w:tc>
          <w:tcPr>
            <w:tcW w:w="709" w:type="dxa"/>
          </w:tcPr>
          <w:p w14:paraId="0386A008"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rPr>
                <w:rFonts w:ascii="Times New Roman" w:eastAsia="Calibri" w:hAnsi="Times New Roman"/>
                <w:bCs/>
                <w:sz w:val="24"/>
                <w:szCs w:val="24"/>
              </w:rPr>
            </w:pPr>
            <w:r w:rsidRPr="00C028B1">
              <w:rPr>
                <w:rFonts w:ascii="Times New Roman" w:eastAsia="Calibri" w:hAnsi="Times New Roman"/>
                <w:bCs/>
                <w:sz w:val="24"/>
                <w:szCs w:val="24"/>
              </w:rPr>
              <w:t>2.2.1.</w:t>
            </w:r>
          </w:p>
        </w:tc>
        <w:tc>
          <w:tcPr>
            <w:tcW w:w="2194" w:type="dxa"/>
          </w:tcPr>
          <w:p w14:paraId="5EB615F7"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Vertinimo finansavimas</w:t>
            </w:r>
          </w:p>
        </w:tc>
        <w:tc>
          <w:tcPr>
            <w:tcW w:w="7020" w:type="dxa"/>
          </w:tcPr>
          <w:p w14:paraId="0A759461" w14:textId="77777777" w:rsidR="006A5392" w:rsidRPr="00C028B1" w:rsidRDefault="006A5392" w:rsidP="00291424">
            <w:pPr>
              <w:tabs>
                <w:tab w:val="left" w:pos="1134"/>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Valstybės biudžeto lėšos</w:t>
            </w:r>
          </w:p>
        </w:tc>
      </w:tr>
      <w:tr w:rsidR="006A5392" w:rsidRPr="00C028B1" w14:paraId="77A9834A" w14:textId="77777777" w:rsidTr="00291424">
        <w:tc>
          <w:tcPr>
            <w:tcW w:w="709" w:type="dxa"/>
          </w:tcPr>
          <w:p w14:paraId="6D7F15B0"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rPr>
                <w:rFonts w:ascii="Times New Roman" w:eastAsia="Calibri" w:hAnsi="Times New Roman"/>
                <w:bCs/>
                <w:sz w:val="24"/>
                <w:szCs w:val="24"/>
              </w:rPr>
            </w:pPr>
            <w:r w:rsidRPr="00C028B1">
              <w:rPr>
                <w:rFonts w:ascii="Times New Roman" w:eastAsia="Calibri" w:hAnsi="Times New Roman"/>
                <w:bCs/>
                <w:sz w:val="24"/>
                <w:szCs w:val="24"/>
              </w:rPr>
              <w:t>2.2.2.</w:t>
            </w:r>
          </w:p>
        </w:tc>
        <w:tc>
          <w:tcPr>
            <w:tcW w:w="2194" w:type="dxa"/>
          </w:tcPr>
          <w:p w14:paraId="3F6FEF75"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Vertinimo laikotarpiai</w:t>
            </w:r>
          </w:p>
        </w:tc>
        <w:tc>
          <w:tcPr>
            <w:tcW w:w="7020" w:type="dxa"/>
          </w:tcPr>
          <w:p w14:paraId="44423259" w14:textId="77777777" w:rsidR="006A5392" w:rsidRPr="00C028B1" w:rsidRDefault="006A5392" w:rsidP="00291424">
            <w:pPr>
              <w:tabs>
                <w:tab w:val="left" w:pos="1134"/>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Vertinimas turi apimti duomenų analizę šiais laikotarpiais:</w:t>
            </w:r>
          </w:p>
          <w:p w14:paraId="3A9247D0" w14:textId="77777777" w:rsidR="006A5392" w:rsidRPr="00C028B1" w:rsidRDefault="006A5392" w:rsidP="00291424">
            <w:pPr>
              <w:tabs>
                <w:tab w:val="left" w:pos="1134"/>
                <w:tab w:val="left" w:pos="1276"/>
              </w:tabs>
              <w:ind w:firstLine="536"/>
              <w:jc w:val="both"/>
              <w:rPr>
                <w:rFonts w:ascii="Times New Roman" w:hAnsi="Times New Roman"/>
                <w:sz w:val="24"/>
                <w:szCs w:val="24"/>
                <w:lang w:eastAsia="lt-LT"/>
              </w:rPr>
            </w:pPr>
            <w:r w:rsidRPr="00C028B1">
              <w:rPr>
                <w:rFonts w:ascii="Times New Roman" w:hAnsi="Times New Roman"/>
                <w:sz w:val="24"/>
                <w:szCs w:val="24"/>
                <w:lang w:eastAsia="lt-LT"/>
              </w:rPr>
              <w:t>1. Konkursinės doktorantūros – nuo 2017 m. iki 2024 m. paskelbti kvietimai (2 vertinimo uždaviniui naudoti tik 2017-2021 m. kvietimų duomenis);</w:t>
            </w:r>
          </w:p>
          <w:p w14:paraId="18D9DB58" w14:textId="77777777" w:rsidR="006A5392" w:rsidRPr="00C028B1" w:rsidRDefault="006A5392" w:rsidP="00291424">
            <w:pPr>
              <w:tabs>
                <w:tab w:val="left" w:pos="1134"/>
                <w:tab w:val="left" w:pos="1276"/>
              </w:tabs>
              <w:ind w:firstLine="536"/>
              <w:jc w:val="both"/>
              <w:rPr>
                <w:rFonts w:ascii="Times New Roman" w:hAnsi="Times New Roman"/>
                <w:sz w:val="24"/>
                <w:szCs w:val="24"/>
                <w:lang w:eastAsia="lt-LT"/>
              </w:rPr>
            </w:pPr>
            <w:r w:rsidRPr="00C028B1">
              <w:rPr>
                <w:rFonts w:ascii="Times New Roman" w:hAnsi="Times New Roman"/>
                <w:sz w:val="24"/>
                <w:szCs w:val="24"/>
                <w:lang w:eastAsia="lt-LT"/>
              </w:rPr>
              <w:t xml:space="preserve">2. Podoktorantūros stažuočių projektų (2 vertinimo uždaviniui naudoti tik 2017-2022 m. kvietimų duomenis): </w:t>
            </w:r>
          </w:p>
          <w:p w14:paraId="78C07E35" w14:textId="77777777" w:rsidR="006A5392" w:rsidRPr="00C028B1" w:rsidRDefault="006A5392" w:rsidP="00291424">
            <w:pPr>
              <w:tabs>
                <w:tab w:val="left" w:pos="1134"/>
                <w:tab w:val="left" w:pos="1276"/>
              </w:tabs>
              <w:ind w:firstLine="536"/>
              <w:jc w:val="both"/>
              <w:rPr>
                <w:rFonts w:ascii="Times New Roman" w:hAnsi="Times New Roman"/>
                <w:sz w:val="24"/>
                <w:szCs w:val="24"/>
                <w:lang w:val="en-GB"/>
              </w:rPr>
            </w:pPr>
            <w:r w:rsidRPr="00C028B1">
              <w:rPr>
                <w:rFonts w:ascii="Times New Roman" w:hAnsi="Times New Roman"/>
                <w:sz w:val="24"/>
                <w:szCs w:val="24"/>
                <w:lang w:eastAsia="lt-LT"/>
              </w:rPr>
              <w:t>2.1. 2017 m., 2019 m. ir 2020 m.,</w:t>
            </w:r>
            <w:r w:rsidRPr="00C028B1">
              <w:rPr>
                <w:rFonts w:ascii="Times New Roman" w:hAnsi="Times New Roman"/>
                <w:sz w:val="24"/>
                <w:szCs w:val="24"/>
              </w:rPr>
              <w:t xml:space="preserve"> vadovaujantis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aprašu Nr. 2 (</w:t>
            </w:r>
            <w:hyperlink r:id="rId6" w:history="1">
              <w:r w:rsidRPr="00C028B1">
                <w:rPr>
                  <w:rStyle w:val="Hyperlink"/>
                  <w:rFonts w:ascii="Times New Roman" w:eastAsiaTheme="majorEastAsia" w:hAnsi="Times New Roman"/>
                  <w:sz w:val="24"/>
                  <w:szCs w:val="24"/>
                </w:rPr>
                <w:t>https://www.e-tar.lt/portal/lt/legalAct/a786ae101f4711e78397ae072f58c508/asr</w:t>
              </w:r>
            </w:hyperlink>
            <w:r w:rsidRPr="00C028B1">
              <w:rPr>
                <w:rFonts w:ascii="Times New Roman" w:hAnsi="Times New Roman"/>
                <w:sz w:val="24"/>
                <w:szCs w:val="24"/>
              </w:rPr>
              <w:t>)</w:t>
            </w:r>
            <w:r w:rsidRPr="00C028B1">
              <w:rPr>
                <w:rFonts w:ascii="Times New Roman" w:hAnsi="Times New Roman"/>
                <w:sz w:val="24"/>
                <w:szCs w:val="24"/>
                <w:lang w:val="en-GB"/>
              </w:rPr>
              <w:t xml:space="preserve">; </w:t>
            </w:r>
          </w:p>
          <w:p w14:paraId="0BB69CC9" w14:textId="77777777" w:rsidR="006A5392" w:rsidRPr="00C028B1" w:rsidRDefault="006A5392" w:rsidP="00291424">
            <w:pPr>
              <w:tabs>
                <w:tab w:val="left" w:pos="1134"/>
                <w:tab w:val="left" w:pos="1276"/>
              </w:tabs>
              <w:ind w:firstLine="536"/>
              <w:jc w:val="both"/>
              <w:rPr>
                <w:rFonts w:ascii="Times New Roman" w:hAnsi="Times New Roman"/>
                <w:sz w:val="24"/>
                <w:szCs w:val="24"/>
                <w:lang w:eastAsia="lt-LT"/>
              </w:rPr>
            </w:pPr>
            <w:r w:rsidRPr="00C028B1">
              <w:rPr>
                <w:rFonts w:ascii="Times New Roman" w:hAnsi="Times New Roman"/>
                <w:sz w:val="24"/>
                <w:szCs w:val="24"/>
              </w:rPr>
              <w:t xml:space="preserve">2.2. 2022 m., 2023 m., 2024 m. ir 2025 m., vadovaujantis kiekvienam kvietimui teikti paraiškas taikomomis specialiosiomis kvietimo sąlygomis, LMT pirmininko įsakymu patvirtintomis konkurso dokumentų formomis (paraiška, vertinimo formos, finansavimo </w:t>
            </w:r>
            <w:r w:rsidRPr="00C028B1">
              <w:rPr>
                <w:rFonts w:ascii="Times New Roman" w:hAnsi="Times New Roman"/>
                <w:sz w:val="24"/>
                <w:szCs w:val="24"/>
              </w:rPr>
              <w:lastRenderedPageBreak/>
              <w:t>sutartis) ir Lietuvos mokslo tarybos mokslo ir sklaidos projektų konkursinio finansavimo bendrosiomis taisyklėmis (</w:t>
            </w:r>
            <w:hyperlink r:id="rId7" w:history="1">
              <w:r w:rsidRPr="00C028B1">
                <w:rPr>
                  <w:rStyle w:val="Hyperlink"/>
                  <w:rFonts w:ascii="Times New Roman" w:eastAsiaTheme="majorEastAsia" w:hAnsi="Times New Roman"/>
                  <w:sz w:val="24"/>
                  <w:szCs w:val="24"/>
                </w:rPr>
                <w:t>https://www.e-tar.lt/portal/lt/legalAct/0a8bead0577611e9975f9c35aedfe438/asr</w:t>
              </w:r>
            </w:hyperlink>
            <w:r w:rsidRPr="00C028B1">
              <w:rPr>
                <w:rFonts w:ascii="Times New Roman" w:hAnsi="Times New Roman"/>
                <w:sz w:val="24"/>
                <w:szCs w:val="24"/>
              </w:rPr>
              <w:t>).</w:t>
            </w:r>
            <w:r w:rsidRPr="00C028B1">
              <w:rPr>
                <w:rFonts w:ascii="Times New Roman" w:hAnsi="Times New Roman"/>
                <w:sz w:val="24"/>
                <w:szCs w:val="24"/>
                <w:lang w:eastAsia="lt-LT"/>
              </w:rPr>
              <w:t xml:space="preserve"> </w:t>
            </w:r>
          </w:p>
        </w:tc>
      </w:tr>
      <w:tr w:rsidR="006A5392" w:rsidRPr="00C028B1" w14:paraId="500A62DA" w14:textId="77777777" w:rsidTr="00291424">
        <w:tc>
          <w:tcPr>
            <w:tcW w:w="709" w:type="dxa"/>
          </w:tcPr>
          <w:p w14:paraId="3D1E9788"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rPr>
                <w:rFonts w:ascii="Times New Roman" w:hAnsi="Times New Roman"/>
                <w:b/>
                <w:sz w:val="24"/>
                <w:szCs w:val="24"/>
              </w:rPr>
            </w:pPr>
            <w:r w:rsidRPr="00C028B1">
              <w:rPr>
                <w:rFonts w:ascii="Times New Roman" w:eastAsia="Calibri" w:hAnsi="Times New Roman"/>
                <w:bCs/>
                <w:sz w:val="24"/>
                <w:szCs w:val="24"/>
              </w:rPr>
              <w:lastRenderedPageBreak/>
              <w:t>2.2.3.</w:t>
            </w:r>
          </w:p>
        </w:tc>
        <w:tc>
          <w:tcPr>
            <w:tcW w:w="2194" w:type="dxa"/>
          </w:tcPr>
          <w:p w14:paraId="59A81ABD"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Vertinimo uždaviniai</w:t>
            </w:r>
          </w:p>
        </w:tc>
        <w:tc>
          <w:tcPr>
            <w:tcW w:w="7020" w:type="dxa"/>
          </w:tcPr>
          <w:p w14:paraId="2116B8CD" w14:textId="77777777" w:rsidR="006A5392" w:rsidRPr="00C028B1" w:rsidRDefault="006A5392" w:rsidP="00291424">
            <w:pPr>
              <w:shd w:val="clear" w:color="auto" w:fill="FFFFFF" w:themeFill="background1"/>
              <w:ind w:firstLine="536"/>
              <w:jc w:val="both"/>
              <w:rPr>
                <w:rFonts w:ascii="Times New Roman" w:hAnsi="Times New Roman"/>
                <w:i/>
                <w:iCs/>
                <w:sz w:val="24"/>
                <w:szCs w:val="24"/>
              </w:rPr>
            </w:pPr>
            <w:r w:rsidRPr="00C028B1">
              <w:rPr>
                <w:rFonts w:ascii="Times New Roman" w:hAnsi="Times New Roman"/>
                <w:i/>
                <w:iCs/>
                <w:sz w:val="24"/>
                <w:szCs w:val="24"/>
              </w:rPr>
              <w:t>PASTABA. Respondentais čia ir toliau tekste vadinami buvę ir esami Konkursinės doktorantūros dalyviai, Podoktorantūros stažuočių projektų dalyviai, doktorantūros teisę turinčios institucijų arba kitų institucijų, nurodytų Valstybės finansuojamų doktorantūros vietų paskirstymo konkurso būdu tvarkos aprašo 10 p. (toliau – Priimančios institucijos), atstovai.</w:t>
            </w:r>
          </w:p>
          <w:p w14:paraId="7FBC58C6" w14:textId="77777777" w:rsidR="006A5392" w:rsidRPr="00C028B1" w:rsidRDefault="006A5392" w:rsidP="00291424">
            <w:pPr>
              <w:shd w:val="clear" w:color="auto" w:fill="FFFFFF" w:themeFill="background1"/>
              <w:ind w:firstLine="536"/>
              <w:jc w:val="both"/>
              <w:rPr>
                <w:rFonts w:ascii="Times New Roman" w:hAnsi="Times New Roman"/>
                <w:sz w:val="24"/>
                <w:szCs w:val="24"/>
              </w:rPr>
            </w:pPr>
            <w:r w:rsidRPr="00C028B1">
              <w:rPr>
                <w:rFonts w:ascii="Times New Roman" w:hAnsi="Times New Roman"/>
                <w:sz w:val="24"/>
                <w:szCs w:val="24"/>
              </w:rPr>
              <w:t>1. Respondentų pasiskirstymas pagal dalyvavimo Konkursinėje doktorantūroje ar Podoktorantūros stažuočių projektuose metus, demografinius, mokslo daktaro laipsnio įgijimo, profesinės patirties rodiklius;</w:t>
            </w:r>
          </w:p>
          <w:p w14:paraId="77A6AEFE" w14:textId="77777777" w:rsidR="006A5392" w:rsidRPr="00C028B1" w:rsidRDefault="006A5392" w:rsidP="00291424">
            <w:pPr>
              <w:shd w:val="clear" w:color="auto" w:fill="FFFFFF" w:themeFill="background1"/>
              <w:ind w:firstLine="536"/>
              <w:jc w:val="both"/>
              <w:rPr>
                <w:rFonts w:ascii="Times New Roman" w:hAnsi="Times New Roman"/>
                <w:sz w:val="24"/>
                <w:szCs w:val="24"/>
              </w:rPr>
            </w:pPr>
            <w:r w:rsidRPr="00C028B1">
              <w:rPr>
                <w:rFonts w:ascii="Times New Roman" w:hAnsi="Times New Roman"/>
                <w:sz w:val="24"/>
                <w:szCs w:val="24"/>
              </w:rPr>
              <w:t>2. Dalyvavimo Konkursinės doktorantūros ir (ar) Podoktorantūros stažuočių projektuose poveikis respondentų karjeros dinamikai,  moksliniams rezultatams, Priimančių institucijų veiklai;</w:t>
            </w:r>
          </w:p>
          <w:p w14:paraId="50944B45" w14:textId="77777777" w:rsidR="006A5392" w:rsidRPr="00C028B1" w:rsidRDefault="006A5392" w:rsidP="00291424">
            <w:pPr>
              <w:shd w:val="clear" w:color="auto" w:fill="FFFFFF" w:themeFill="background1"/>
              <w:ind w:firstLine="536"/>
              <w:jc w:val="both"/>
              <w:rPr>
                <w:rFonts w:ascii="Times New Roman" w:hAnsi="Times New Roman"/>
                <w:sz w:val="24"/>
                <w:szCs w:val="24"/>
                <w:lang w:eastAsia="lt-LT"/>
              </w:rPr>
            </w:pPr>
            <w:r w:rsidRPr="00C028B1">
              <w:rPr>
                <w:rFonts w:ascii="Times New Roman" w:hAnsi="Times New Roman"/>
                <w:sz w:val="24"/>
                <w:szCs w:val="24"/>
              </w:rPr>
              <w:t>3. Konkursinės doktorantūros dalyvių, Podoktorantūros stažuočių projektų dalyvių ir Priimančių institucijų lūkesčiai Konkursinei doktorantūrai ir (ar) Podoktorantūros stažuočių projektams ir jų išpildymas;</w:t>
            </w:r>
          </w:p>
          <w:p w14:paraId="64187FCA" w14:textId="77777777" w:rsidR="006A5392" w:rsidRPr="00C028B1" w:rsidRDefault="006A5392" w:rsidP="00291424">
            <w:pPr>
              <w:ind w:firstLine="536"/>
              <w:jc w:val="both"/>
              <w:rPr>
                <w:rFonts w:ascii="Times New Roman" w:hAnsi="Times New Roman"/>
                <w:sz w:val="24"/>
                <w:szCs w:val="24"/>
              </w:rPr>
            </w:pPr>
            <w:r w:rsidRPr="00C028B1">
              <w:rPr>
                <w:rFonts w:ascii="Times New Roman" w:hAnsi="Times New Roman"/>
                <w:sz w:val="24"/>
                <w:szCs w:val="24"/>
              </w:rPr>
              <w:t>4. Konkursinės doktorantūros ir Podoktorantūros stažuočių projektų veiksmingumo, rezultatyvumo, naudos Lietuvos mokslui, visuomenei ir tarptautiniam konkurencingumui įvertinimas ir apibendrinančių išvadų suformulavimas;</w:t>
            </w:r>
          </w:p>
          <w:p w14:paraId="1AEB4D8A" w14:textId="77777777" w:rsidR="006A5392" w:rsidRPr="00C028B1" w:rsidRDefault="006A5392" w:rsidP="00291424">
            <w:pPr>
              <w:ind w:firstLine="536"/>
              <w:jc w:val="both"/>
              <w:rPr>
                <w:rFonts w:ascii="Times New Roman" w:hAnsi="Times New Roman"/>
                <w:sz w:val="24"/>
                <w:szCs w:val="24"/>
              </w:rPr>
            </w:pPr>
            <w:r w:rsidRPr="00C028B1">
              <w:rPr>
                <w:rFonts w:ascii="Times New Roman" w:hAnsi="Times New Roman"/>
                <w:sz w:val="24"/>
                <w:szCs w:val="24"/>
              </w:rPr>
              <w:t>5. Rekomendacijų dėl Konkursinės doktorantūros ir Podoktorantūros stažuočių projektų veiksmingumui, rezultatyvumui, naudai Lietuvos mokslui, visuomenei ir tarptautiniam konkurencingumui didinti parengimas.</w:t>
            </w:r>
          </w:p>
        </w:tc>
      </w:tr>
      <w:tr w:rsidR="006A5392" w:rsidRPr="00C028B1" w14:paraId="3951149C" w14:textId="77777777" w:rsidTr="00291424">
        <w:tc>
          <w:tcPr>
            <w:tcW w:w="709" w:type="dxa"/>
          </w:tcPr>
          <w:p w14:paraId="397F161E"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rPr>
                <w:rFonts w:ascii="Times New Roman" w:hAnsi="Times New Roman"/>
                <w:b/>
                <w:sz w:val="24"/>
                <w:szCs w:val="24"/>
              </w:rPr>
            </w:pPr>
            <w:r w:rsidRPr="00C028B1">
              <w:rPr>
                <w:rFonts w:ascii="Times New Roman" w:eastAsia="Calibri" w:hAnsi="Times New Roman"/>
                <w:bCs/>
                <w:sz w:val="24"/>
                <w:szCs w:val="24"/>
              </w:rPr>
              <w:t>2.2.4.</w:t>
            </w:r>
          </w:p>
        </w:tc>
        <w:tc>
          <w:tcPr>
            <w:tcW w:w="2194" w:type="dxa"/>
          </w:tcPr>
          <w:p w14:paraId="5B805D54"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Duomenys vertinimui</w:t>
            </w:r>
          </w:p>
        </w:tc>
        <w:tc>
          <w:tcPr>
            <w:tcW w:w="7020" w:type="dxa"/>
          </w:tcPr>
          <w:p w14:paraId="668956F3" w14:textId="77777777" w:rsidR="006A5392" w:rsidRPr="00C028B1" w:rsidRDefault="006A5392" w:rsidP="00291424">
            <w:pPr>
              <w:tabs>
                <w:tab w:val="left" w:pos="1134"/>
                <w:tab w:val="left" w:pos="1276"/>
              </w:tabs>
              <w:ind w:firstLine="532"/>
              <w:jc w:val="both"/>
              <w:rPr>
                <w:rFonts w:ascii="Times New Roman" w:hAnsi="Times New Roman"/>
                <w:sz w:val="24"/>
                <w:szCs w:val="24"/>
                <w:lang w:eastAsia="lt-LT"/>
              </w:rPr>
            </w:pPr>
            <w:r w:rsidRPr="00C028B1">
              <w:rPr>
                <w:rFonts w:ascii="Times New Roman" w:hAnsi="Times New Roman"/>
                <w:sz w:val="24"/>
                <w:szCs w:val="24"/>
                <w:lang w:eastAsia="lt-LT"/>
              </w:rPr>
              <w:t xml:space="preserve">Vertinimui naudojami pirminiai šaltiniai: </w:t>
            </w:r>
          </w:p>
          <w:p w14:paraId="3DD996A6" w14:textId="77777777" w:rsidR="006A5392" w:rsidRPr="00C028B1" w:rsidRDefault="006A5392" w:rsidP="00291424">
            <w:pPr>
              <w:ind w:right="-190"/>
              <w:jc w:val="both"/>
              <w:rPr>
                <w:rFonts w:ascii="Times New Roman" w:hAnsi="Times New Roman"/>
                <w:sz w:val="24"/>
                <w:szCs w:val="24"/>
                <w:lang w:eastAsia="lt-LT"/>
              </w:rPr>
            </w:pPr>
            <w:r w:rsidRPr="00C028B1">
              <w:rPr>
                <w:rFonts w:ascii="Times New Roman" w:hAnsi="Times New Roman"/>
                <w:sz w:val="24"/>
                <w:szCs w:val="24"/>
                <w:lang w:eastAsia="lt-LT"/>
              </w:rPr>
              <w:t>1. Paraiškos;</w:t>
            </w:r>
          </w:p>
          <w:p w14:paraId="5F752722" w14:textId="77777777" w:rsidR="006A5392" w:rsidRPr="00C028B1" w:rsidRDefault="006A5392" w:rsidP="00291424">
            <w:pPr>
              <w:ind w:right="-190"/>
              <w:jc w:val="both"/>
              <w:rPr>
                <w:rFonts w:ascii="Times New Roman" w:hAnsi="Times New Roman"/>
                <w:sz w:val="24"/>
                <w:szCs w:val="24"/>
                <w:lang w:eastAsia="lt-LT"/>
              </w:rPr>
            </w:pPr>
            <w:r w:rsidRPr="00C028B1">
              <w:rPr>
                <w:rFonts w:ascii="Times New Roman" w:hAnsi="Times New Roman"/>
                <w:sz w:val="24"/>
                <w:szCs w:val="24"/>
                <w:lang w:eastAsia="lt-LT"/>
              </w:rPr>
              <w:t>2. Projektų vykdymo baigiamosios ataskaitos; </w:t>
            </w:r>
          </w:p>
          <w:p w14:paraId="2C6B3279" w14:textId="77777777" w:rsidR="006A5392" w:rsidRPr="00C028B1" w:rsidRDefault="006A5392" w:rsidP="00291424">
            <w:pPr>
              <w:ind w:right="-190"/>
              <w:jc w:val="both"/>
              <w:rPr>
                <w:rFonts w:ascii="Times New Roman" w:hAnsi="Times New Roman"/>
                <w:sz w:val="24"/>
                <w:szCs w:val="24"/>
                <w:lang w:eastAsia="lt-LT"/>
              </w:rPr>
            </w:pPr>
            <w:r w:rsidRPr="00C028B1">
              <w:rPr>
                <w:rFonts w:ascii="Times New Roman" w:hAnsi="Times New Roman"/>
                <w:sz w:val="24"/>
                <w:szCs w:val="24"/>
                <w:lang w:eastAsia="lt-LT"/>
              </w:rPr>
              <w:t>3. Paraiškų ir ataskaitų ekspertinio vertinimo išvados;</w:t>
            </w:r>
          </w:p>
          <w:p w14:paraId="277C0DBF" w14:textId="77777777" w:rsidR="006A5392" w:rsidRPr="00C028B1" w:rsidRDefault="006A5392" w:rsidP="00291424">
            <w:pPr>
              <w:ind w:right="-190"/>
              <w:jc w:val="both"/>
              <w:rPr>
                <w:rFonts w:ascii="Times New Roman" w:hAnsi="Times New Roman"/>
                <w:sz w:val="24"/>
                <w:szCs w:val="24"/>
                <w:lang w:eastAsia="lt-LT"/>
              </w:rPr>
            </w:pPr>
            <w:r w:rsidRPr="00C028B1">
              <w:rPr>
                <w:rFonts w:ascii="Times New Roman" w:hAnsi="Times New Roman"/>
                <w:sz w:val="24"/>
                <w:szCs w:val="24"/>
                <w:lang w:eastAsia="lt-LT"/>
              </w:rPr>
              <w:t>4. Interviu;</w:t>
            </w:r>
          </w:p>
          <w:p w14:paraId="5D281E4B" w14:textId="77777777" w:rsidR="006A5392" w:rsidRPr="00C028B1" w:rsidRDefault="006A5392" w:rsidP="00291424">
            <w:pPr>
              <w:ind w:right="-190"/>
              <w:jc w:val="both"/>
              <w:rPr>
                <w:rFonts w:ascii="Times New Roman" w:hAnsi="Times New Roman"/>
                <w:sz w:val="24"/>
                <w:szCs w:val="24"/>
                <w:lang w:eastAsia="lt-LT"/>
              </w:rPr>
            </w:pPr>
            <w:r w:rsidRPr="00C028B1">
              <w:rPr>
                <w:rFonts w:ascii="Times New Roman" w:hAnsi="Times New Roman"/>
                <w:sz w:val="24"/>
                <w:szCs w:val="24"/>
                <w:lang w:eastAsia="lt-LT"/>
              </w:rPr>
              <w:t>5. Valstybės duomenų agentūros duomenys.</w:t>
            </w:r>
          </w:p>
          <w:p w14:paraId="671F0F24" w14:textId="77777777" w:rsidR="006A5392" w:rsidRPr="00C028B1" w:rsidRDefault="006A5392" w:rsidP="00291424">
            <w:pPr>
              <w:ind w:right="-190" w:firstLine="532"/>
              <w:jc w:val="both"/>
              <w:rPr>
                <w:rFonts w:ascii="Times New Roman" w:hAnsi="Times New Roman"/>
                <w:sz w:val="24"/>
                <w:szCs w:val="24"/>
                <w:lang w:eastAsia="lt-LT"/>
              </w:rPr>
            </w:pPr>
            <w:r w:rsidRPr="00C028B1">
              <w:rPr>
                <w:rFonts w:ascii="Times New Roman" w:hAnsi="Times New Roman"/>
                <w:sz w:val="24"/>
                <w:szCs w:val="24"/>
                <w:lang w:eastAsia="lt-LT"/>
              </w:rPr>
              <w:t>Vertinimui naudojami antriniai šaltiniai:</w:t>
            </w:r>
          </w:p>
          <w:p w14:paraId="2D94C77F"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lang w:eastAsia="lt-LT"/>
              </w:rPr>
              <w:t xml:space="preserve">1. </w:t>
            </w:r>
            <w:r w:rsidRPr="00C028B1">
              <w:rPr>
                <w:rFonts w:ascii="Times New Roman" w:hAnsi="Times New Roman"/>
                <w:sz w:val="24"/>
                <w:szCs w:val="24"/>
              </w:rPr>
              <w:t xml:space="preserve">Lietuvos Respublikos mokslo ir studijų įstatymas (nuoroda: </w:t>
            </w:r>
            <w:hyperlink r:id="rId8" w:history="1">
              <w:r w:rsidRPr="00C028B1">
                <w:rPr>
                  <w:rStyle w:val="Hyperlink"/>
                  <w:rFonts w:ascii="Times New Roman" w:eastAsiaTheme="majorEastAsia" w:hAnsi="Times New Roman"/>
                  <w:sz w:val="24"/>
                  <w:szCs w:val="24"/>
                </w:rPr>
                <w:t>https://www.e-tar.lt/portal/lt/legalActEditions/TAR.C595FF45F869?faces-redirect=true</w:t>
              </w:r>
            </w:hyperlink>
            <w:r w:rsidRPr="00C028B1">
              <w:rPr>
                <w:rFonts w:ascii="Times New Roman" w:hAnsi="Times New Roman"/>
                <w:sz w:val="24"/>
                <w:szCs w:val="24"/>
              </w:rPr>
              <w:t xml:space="preserve">) (aktuali redakcija);  </w:t>
            </w:r>
          </w:p>
          <w:p w14:paraId="3FB630CC"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 xml:space="preserve">2. Valstybės finansuojamų doktorantūros vietų paskirstymo konkurso būdu tvarkos aprašas, patvirtintas Lietuvos Respublikos švietimo, mokslo ir sporto ministro 2018 m. sausio 30 d. įsakymu Nr. V-80 „Dėl Valstybės finansuojamų doktorantūros vietų paskirstymo konkurso būdu tvarkos aprašo patvirtinimo“ (nuoroda: </w:t>
            </w:r>
            <w:hyperlink r:id="rId9" w:history="1">
              <w:r w:rsidRPr="00C028B1">
                <w:rPr>
                  <w:rStyle w:val="Hyperlink"/>
                  <w:rFonts w:ascii="Times New Roman" w:eastAsiaTheme="majorEastAsia" w:hAnsi="Times New Roman"/>
                  <w:sz w:val="24"/>
                  <w:szCs w:val="24"/>
                </w:rPr>
                <w:t>https://www.e-tar.lt/portal/lt/legalActEditions/ab7ce0b0058411e8b3e7ba9cffd043b1</w:t>
              </w:r>
            </w:hyperlink>
            <w:r w:rsidRPr="00C028B1">
              <w:rPr>
                <w:rFonts w:ascii="Times New Roman" w:hAnsi="Times New Roman"/>
                <w:sz w:val="24"/>
                <w:szCs w:val="24"/>
              </w:rPr>
              <w:t xml:space="preserve">) (aktuali redakcija); </w:t>
            </w:r>
          </w:p>
          <w:p w14:paraId="4B7ADDE5"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 xml:space="preserve">3. Valstybės finansuojamų doktorantūros vietų paskirstymo konkurso būdu vykdymo reglamentas, patvirtintas Lietuvos mokslo tarybos pirmininko 2023 m. gegužės 9 d. įsakymu Nr. V-245 „Dėl Lietuvos mokslo tarybos pirmininko 2022 m. gegužės 30 d. įsakymo Nr. V-325 </w:t>
            </w:r>
            <w:r w:rsidRPr="00C028B1">
              <w:rPr>
                <w:rFonts w:ascii="Times New Roman" w:hAnsi="Times New Roman"/>
                <w:sz w:val="24"/>
                <w:szCs w:val="24"/>
              </w:rPr>
              <w:lastRenderedPageBreak/>
              <w:t xml:space="preserve">„Dėl Valstybės finansuojamų doktorantūros vietų paskirstymo konkurso būdu vykdymo reglamento patvirtinimo“ pakeitimo“ (nuoroda: </w:t>
            </w:r>
            <w:hyperlink r:id="rId10" w:history="1">
              <w:r w:rsidRPr="00C028B1">
                <w:rPr>
                  <w:rStyle w:val="Hyperlink"/>
                  <w:rFonts w:ascii="Times New Roman" w:eastAsiaTheme="majorEastAsia" w:hAnsi="Times New Roman"/>
                  <w:sz w:val="24"/>
                  <w:szCs w:val="24"/>
                </w:rPr>
                <w:t>https://www.e-tar.lt/portal/lt/legalAct/c249ee00ef3a11ed9978886e85107ab2</w:t>
              </w:r>
            </w:hyperlink>
            <w:r w:rsidRPr="00C028B1">
              <w:rPr>
                <w:rFonts w:ascii="Times New Roman" w:hAnsi="Times New Roman"/>
                <w:sz w:val="24"/>
                <w:szCs w:val="24"/>
              </w:rPr>
              <w:t xml:space="preserve">); </w:t>
            </w:r>
          </w:p>
          <w:p w14:paraId="439F8796"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 xml:space="preserve">4. Lietuvos mokslo tarybos mokslo ir sklaidos projektų konkursinio finansavimo bendrosios taisyklės, patvirtintos Lietuvos mokslo tarybos pirmininko 2019 m. balandžio 4 d. įsakymu Nr. V-176 „Dėl Lietuvos mokslo tarybos mokslo ir sklaidos projektų konkursinio finansavimo bendrųjų taisyklių patvirtinimo“ (nuoroda: </w:t>
            </w:r>
            <w:hyperlink r:id="rId11" w:history="1">
              <w:r w:rsidRPr="00C028B1">
                <w:rPr>
                  <w:rStyle w:val="Hyperlink"/>
                  <w:rFonts w:ascii="Times New Roman" w:eastAsiaTheme="majorEastAsia" w:hAnsi="Times New Roman"/>
                  <w:sz w:val="24"/>
                  <w:szCs w:val="24"/>
                </w:rPr>
                <w:t>https://www.e-tar.lt/portal/lt/legalActEditions/0a8bead0577611e9975f9c35aedfe438</w:t>
              </w:r>
            </w:hyperlink>
            <w:r w:rsidRPr="00C028B1">
              <w:rPr>
                <w:rFonts w:ascii="Times New Roman" w:hAnsi="Times New Roman"/>
                <w:sz w:val="24"/>
                <w:szCs w:val="24"/>
              </w:rPr>
              <w:t>) (aktuali redakcija);</w:t>
            </w:r>
          </w:p>
          <w:p w14:paraId="5A2166D3"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 xml:space="preserve">5. Lietuvos mokslo tarybos pirmininko 2023 m. gegužės 5 d. įsakymas Nr. V-243 „Dėl Kvietimo teikti pasiūlymus dėl doktorantūros temų specialiųjų reikalavimų patvirtinimo“ (nuoroda: </w:t>
            </w:r>
            <w:hyperlink r:id="rId12" w:history="1">
              <w:r w:rsidRPr="00C028B1">
                <w:rPr>
                  <w:rStyle w:val="Hyperlink"/>
                  <w:rFonts w:ascii="Times New Roman" w:eastAsiaTheme="majorEastAsia" w:hAnsi="Times New Roman"/>
                  <w:sz w:val="24"/>
                  <w:szCs w:val="24"/>
                </w:rPr>
                <w:t>https://lmt.lrv.lt/media/viesa/saugykla/2024/1/FAvg3MWsJaY.pdf</w:t>
              </w:r>
            </w:hyperlink>
            <w:r w:rsidRPr="00C028B1">
              <w:rPr>
                <w:rFonts w:ascii="Times New Roman" w:hAnsi="Times New Roman"/>
                <w:sz w:val="24"/>
                <w:szCs w:val="24"/>
              </w:rPr>
              <w:t xml:space="preserve">); </w:t>
            </w:r>
          </w:p>
          <w:p w14:paraId="4E72849E"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 xml:space="preserve">6. Projektų ir jų ataskaitų ekspertinio vertinimo tvarkos aprašas, patvirtintas Lietuvos mokslo tarybos pirmininko 2018 m. sausio 29 d. įsakymu Nr. V-43 „Dėl Projektų ir jų ataskaitų ekspertinio vertinimo tvarkos aprašo patvirtinimo“ (nuoroda: </w:t>
            </w:r>
            <w:hyperlink r:id="rId13" w:history="1">
              <w:r w:rsidRPr="00C028B1">
                <w:rPr>
                  <w:rStyle w:val="Hyperlink"/>
                  <w:rFonts w:ascii="Times New Roman" w:eastAsiaTheme="majorEastAsia" w:hAnsi="Times New Roman"/>
                  <w:sz w:val="24"/>
                  <w:szCs w:val="24"/>
                </w:rPr>
                <w:t>https://e-tar.lt/portal/lt/legalActEditions/6ca8633004fa11e8b3e7ba9cffd043b1</w:t>
              </w:r>
            </w:hyperlink>
            <w:r w:rsidRPr="00C028B1">
              <w:rPr>
                <w:rFonts w:ascii="Times New Roman" w:hAnsi="Times New Roman"/>
                <w:sz w:val="24"/>
                <w:szCs w:val="24"/>
              </w:rPr>
              <w:t>) (aktuali redakcija);</w:t>
            </w:r>
          </w:p>
          <w:p w14:paraId="1A5684AE"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 xml:space="preserve">7. LMT tinklapyje pateikta informacija, susijusi su finansavimo priemone „Parama valstybės finansuojamoms doktorantūros vietoms, skirstomoms konkurso būdu (konkursinė doktorantūra)“ (nuoroda: </w:t>
            </w:r>
            <w:hyperlink r:id="rId14" w:history="1">
              <w:r w:rsidRPr="00C028B1">
                <w:rPr>
                  <w:rStyle w:val="Hyperlink"/>
                  <w:rFonts w:ascii="Times New Roman" w:eastAsiaTheme="majorEastAsia" w:hAnsi="Times New Roman"/>
                  <w:sz w:val="24"/>
                  <w:szCs w:val="24"/>
                </w:rPr>
                <w:t>https://lmt.lrv.lt/lt/veiklos-sritys/mokslo-finansavimas/karjeros-mobilumo-sklaidai-skatinimo-priemones/parama-valstybes-finansuojamoms-doktoranturos-vietoms-skirstomoms-konkurso-budu-konkursine-doktorantura/</w:t>
              </w:r>
            </w:hyperlink>
            <w:r w:rsidRPr="00C028B1">
              <w:rPr>
                <w:rFonts w:ascii="Times New Roman" w:hAnsi="Times New Roman"/>
                <w:sz w:val="24"/>
                <w:szCs w:val="24"/>
              </w:rPr>
              <w:t xml:space="preserve">); </w:t>
            </w:r>
          </w:p>
          <w:p w14:paraId="042CD48A"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 xml:space="preserve">8. LMT tinklapyje pateikta informacija, susijusi su Podoktorantūros stažuočių projektais (nuoroda: </w:t>
            </w:r>
            <w:hyperlink r:id="rId15" w:history="1">
              <w:r w:rsidRPr="00C028B1">
                <w:rPr>
                  <w:rStyle w:val="Hyperlink"/>
                  <w:rFonts w:ascii="Times New Roman" w:eastAsiaTheme="majorEastAsia" w:hAnsi="Times New Roman"/>
                  <w:sz w:val="24"/>
                  <w:szCs w:val="24"/>
                </w:rPr>
                <w:t>https://lmt.lrv.lt/lt/veiklos-sritys/mokslo-finansavimas/karjeros-mobilumo-sklaidai-skatinimo-priemones/podoktoranturos-stazuotes/</w:t>
              </w:r>
            </w:hyperlink>
            <w:r w:rsidRPr="00C028B1">
              <w:rPr>
                <w:rFonts w:ascii="Times New Roman" w:hAnsi="Times New Roman"/>
                <w:sz w:val="24"/>
                <w:szCs w:val="24"/>
              </w:rPr>
              <w:t xml:space="preserve">); </w:t>
            </w:r>
          </w:p>
          <w:p w14:paraId="46E276FE"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9. Kvietimo dokumentai (sąlygos, aprašas, bendros taisyklės, paraiška, vertinimo lentelės); </w:t>
            </w:r>
          </w:p>
          <w:p w14:paraId="78FBC556"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10. Projektų suvestinės (vykdytojai, sritys, sąsaja stažuotojų su doktorantūra); </w:t>
            </w:r>
          </w:p>
          <w:p w14:paraId="6DCE76FD" w14:textId="77777777" w:rsidR="006A5392" w:rsidRPr="00C028B1" w:rsidRDefault="006A5392" w:rsidP="00291424">
            <w:pPr>
              <w:jc w:val="both"/>
              <w:rPr>
                <w:rFonts w:ascii="Times New Roman" w:hAnsi="Times New Roman"/>
                <w:sz w:val="24"/>
                <w:szCs w:val="24"/>
              </w:rPr>
            </w:pPr>
            <w:r w:rsidRPr="00C028B1">
              <w:rPr>
                <w:rFonts w:ascii="Times New Roman" w:hAnsi="Times New Roman"/>
                <w:sz w:val="24"/>
                <w:szCs w:val="24"/>
              </w:rPr>
              <w:t>11. Projektų vykdytojų žodiniu būdu teikiama informacija (stažuotojo ir stažuotės vadovo), projektuose, finansuotuose valstybės biudžeto lėšomis. </w:t>
            </w:r>
          </w:p>
          <w:p w14:paraId="24B7C6C4" w14:textId="77777777" w:rsidR="006A5392" w:rsidRPr="00C028B1" w:rsidRDefault="006A5392" w:rsidP="00291424">
            <w:pPr>
              <w:jc w:val="both"/>
              <w:rPr>
                <w:rFonts w:ascii="Times New Roman" w:hAnsi="Times New Roman"/>
                <w:sz w:val="24"/>
                <w:szCs w:val="24"/>
              </w:rPr>
            </w:pPr>
            <w:r w:rsidRPr="00C028B1">
              <w:rPr>
                <w:rFonts w:ascii="Times New Roman" w:hAnsi="Times New Roman"/>
                <w:b/>
                <w:bCs/>
                <w:sz w:val="24"/>
                <w:szCs w:val="24"/>
              </w:rPr>
              <w:t>ES fondų lėšomis finansuotų projektų kontaktinės informacijos reiktų ieškoti kiekvienu atveju mokslininkų profiliuose. </w:t>
            </w:r>
          </w:p>
        </w:tc>
      </w:tr>
      <w:tr w:rsidR="006A5392" w:rsidRPr="00C028B1" w14:paraId="7E8B7286" w14:textId="77777777" w:rsidTr="00291424">
        <w:tc>
          <w:tcPr>
            <w:tcW w:w="709" w:type="dxa"/>
          </w:tcPr>
          <w:p w14:paraId="7690827B" w14:textId="77777777" w:rsidR="006A5392" w:rsidRPr="00C028B1" w:rsidRDefault="006A5392" w:rsidP="00291424">
            <w:pPr>
              <w:tabs>
                <w:tab w:val="left" w:pos="176"/>
                <w:tab w:val="left" w:pos="493"/>
                <w:tab w:val="left" w:pos="851"/>
                <w:tab w:val="left" w:pos="993"/>
                <w:tab w:val="left" w:pos="1843"/>
                <w:tab w:val="left" w:pos="2410"/>
              </w:tabs>
              <w:ind w:left="-108" w:right="-109"/>
              <w:contextualSpacing/>
              <w:rPr>
                <w:rFonts w:ascii="Times New Roman" w:eastAsia="Calibri" w:hAnsi="Times New Roman"/>
                <w:bCs/>
                <w:sz w:val="24"/>
                <w:szCs w:val="24"/>
              </w:rPr>
            </w:pPr>
            <w:r w:rsidRPr="00C028B1">
              <w:rPr>
                <w:rFonts w:ascii="Times New Roman" w:eastAsia="Calibri" w:hAnsi="Times New Roman"/>
                <w:bCs/>
                <w:sz w:val="24"/>
                <w:szCs w:val="24"/>
              </w:rPr>
              <w:lastRenderedPageBreak/>
              <w:t>2.2.5.</w:t>
            </w:r>
          </w:p>
        </w:tc>
        <w:tc>
          <w:tcPr>
            <w:tcW w:w="2194" w:type="dxa"/>
          </w:tcPr>
          <w:p w14:paraId="20EA9269" w14:textId="77777777" w:rsidR="006A5392" w:rsidRPr="00C028B1" w:rsidRDefault="006A5392" w:rsidP="00291424">
            <w:pPr>
              <w:tabs>
                <w:tab w:val="left" w:pos="425"/>
                <w:tab w:val="left" w:pos="851"/>
                <w:tab w:val="left" w:pos="993"/>
                <w:tab w:val="left" w:pos="1418"/>
                <w:tab w:val="left" w:pos="1843"/>
                <w:tab w:val="left" w:pos="2410"/>
              </w:tabs>
              <w:rPr>
                <w:rFonts w:ascii="Times New Roman" w:hAnsi="Times New Roman"/>
                <w:bCs/>
                <w:sz w:val="24"/>
                <w:szCs w:val="24"/>
              </w:rPr>
            </w:pPr>
            <w:r w:rsidRPr="00C028B1">
              <w:rPr>
                <w:rFonts w:ascii="Times New Roman" w:hAnsi="Times New Roman"/>
                <w:bCs/>
                <w:sz w:val="24"/>
                <w:szCs w:val="24"/>
              </w:rPr>
              <w:t xml:space="preserve">Galimi vertinimo metodai </w:t>
            </w:r>
          </w:p>
        </w:tc>
        <w:tc>
          <w:tcPr>
            <w:tcW w:w="7020" w:type="dxa"/>
          </w:tcPr>
          <w:p w14:paraId="61FF8502" w14:textId="77777777" w:rsidR="006A5392" w:rsidRPr="00C028B1" w:rsidRDefault="006A5392" w:rsidP="00291424">
            <w:pPr>
              <w:shd w:val="clear" w:color="auto" w:fill="FFFFFF" w:themeFill="background1"/>
              <w:ind w:firstLine="532"/>
              <w:jc w:val="both"/>
              <w:rPr>
                <w:rFonts w:ascii="Times New Roman" w:hAnsi="Times New Roman"/>
                <w:sz w:val="24"/>
                <w:szCs w:val="24"/>
              </w:rPr>
            </w:pPr>
            <w:r w:rsidRPr="00C028B1">
              <w:rPr>
                <w:rFonts w:ascii="Times New Roman" w:hAnsi="Times New Roman"/>
                <w:sz w:val="24"/>
                <w:szCs w:val="24"/>
              </w:rPr>
              <w:t xml:space="preserve">Pirminių šaltinių analizė, antrinių šaltinių (teisės aktų, anksčiau atliktų studijų, kitų šalių praktika) analizė, kitais Paslaugų teikėjo pasiūlytais būdais gautos informacijos analizė, interviu duomenų analizė, klausimynų atsakymų analizė, bei kiti  Paslaugų teikėjo siūlomi kokybiniai ir kiekybiniai analizės metodai. </w:t>
            </w:r>
          </w:p>
          <w:p w14:paraId="229E86C7" w14:textId="77777777" w:rsidR="006A5392" w:rsidRPr="00C028B1" w:rsidRDefault="006A5392" w:rsidP="00291424">
            <w:pPr>
              <w:shd w:val="clear" w:color="auto" w:fill="FFFFFF" w:themeFill="background1"/>
              <w:ind w:firstLine="532"/>
              <w:jc w:val="both"/>
              <w:rPr>
                <w:rFonts w:ascii="Times New Roman" w:hAnsi="Times New Roman"/>
                <w:sz w:val="24"/>
                <w:szCs w:val="24"/>
              </w:rPr>
            </w:pPr>
            <w:r w:rsidRPr="00C028B1">
              <w:rPr>
                <w:rFonts w:ascii="Times New Roman" w:hAnsi="Times New Roman"/>
                <w:sz w:val="24"/>
                <w:szCs w:val="24"/>
              </w:rPr>
              <w:t xml:space="preserve">Analizėje turi būti įtraukti ne mažiau kaip trijų–keturių pažangių šalių pavyzdžiai, vertinant, kaip jose organizuojama valstybės lėšomis finansuojama doktorantūra, siekiant skatinti verslo ir pramonės dalyvavimą, ir podoktorantūros stažuotės, kokie taikomi atrankos, </w:t>
            </w:r>
            <w:r w:rsidRPr="00C028B1">
              <w:rPr>
                <w:rFonts w:ascii="Times New Roman" w:hAnsi="Times New Roman"/>
                <w:sz w:val="24"/>
                <w:szCs w:val="24"/>
              </w:rPr>
              <w:lastRenderedPageBreak/>
              <w:t>finansavimo, veiklos vertinimo ir poveikio stebėsenos modeliai bei kokios sąsajos su mokslo ir inovacijų politika.</w:t>
            </w:r>
          </w:p>
          <w:p w14:paraId="36A54D18" w14:textId="77777777" w:rsidR="006A5392" w:rsidRPr="00C028B1" w:rsidRDefault="006A5392" w:rsidP="00291424">
            <w:pPr>
              <w:shd w:val="clear" w:color="auto" w:fill="FFFFFF" w:themeFill="background1"/>
              <w:ind w:firstLine="532"/>
              <w:jc w:val="both"/>
              <w:rPr>
                <w:rFonts w:ascii="Times New Roman" w:hAnsi="Times New Roman"/>
                <w:sz w:val="24"/>
                <w:szCs w:val="24"/>
              </w:rPr>
            </w:pPr>
            <w:r w:rsidRPr="00C028B1">
              <w:rPr>
                <w:rFonts w:ascii="Times New Roman" w:hAnsi="Times New Roman"/>
                <w:sz w:val="24"/>
                <w:szCs w:val="24"/>
              </w:rPr>
              <w:t>Vertinimas turi būti pagrįstas oficialiais nacionaliniais ir tarptautiniais šaltiniais (pvz., LSD, LMT, Eurostat, OECD, UNESCO Institute for Statistics, EUA ir t.t.)</w:t>
            </w:r>
          </w:p>
        </w:tc>
      </w:tr>
    </w:tbl>
    <w:p w14:paraId="46B57298" w14:textId="77777777" w:rsidR="006A5392" w:rsidRPr="00C028B1" w:rsidRDefault="006A5392" w:rsidP="006A5392">
      <w:pPr>
        <w:tabs>
          <w:tab w:val="left" w:pos="425"/>
          <w:tab w:val="left" w:pos="851"/>
          <w:tab w:val="left" w:pos="993"/>
          <w:tab w:val="left" w:pos="1418"/>
          <w:tab w:val="left" w:pos="1843"/>
          <w:tab w:val="left" w:pos="2410"/>
        </w:tabs>
        <w:jc w:val="both"/>
        <w:rPr>
          <w:rFonts w:ascii="Times New Roman" w:hAnsi="Times New Roman"/>
          <w:b/>
          <w:sz w:val="24"/>
          <w:szCs w:val="24"/>
        </w:rPr>
      </w:pPr>
    </w:p>
    <w:p w14:paraId="39FA0B0F" w14:textId="77777777" w:rsidR="006A5392" w:rsidRPr="00C028B1" w:rsidRDefault="006A5392" w:rsidP="006A5392">
      <w:pPr>
        <w:tabs>
          <w:tab w:val="left" w:pos="425"/>
          <w:tab w:val="left" w:pos="851"/>
          <w:tab w:val="left" w:pos="993"/>
          <w:tab w:val="left" w:pos="1418"/>
          <w:tab w:val="left" w:pos="1843"/>
          <w:tab w:val="left" w:pos="2410"/>
        </w:tabs>
        <w:ind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2.3. Reikalavimai paslaugų teikimui: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9107"/>
      </w:tblGrid>
      <w:tr w:rsidR="006A5392" w:rsidRPr="00C028B1" w14:paraId="22102AE5" w14:textId="77777777" w:rsidTr="00291424">
        <w:trPr>
          <w:trHeight w:val="315"/>
        </w:trPr>
        <w:tc>
          <w:tcPr>
            <w:tcW w:w="816" w:type="dxa"/>
            <w:tcBorders>
              <w:top w:val="single" w:sz="4" w:space="0" w:color="auto"/>
              <w:left w:val="single" w:sz="4" w:space="0" w:color="auto"/>
              <w:bottom w:val="single" w:sz="4" w:space="0" w:color="auto"/>
              <w:right w:val="single" w:sz="4" w:space="0" w:color="auto"/>
            </w:tcBorders>
            <w:vAlign w:val="center"/>
          </w:tcPr>
          <w:p w14:paraId="4887101F"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b/>
                <w:bCs/>
                <w:sz w:val="24"/>
                <w:szCs w:val="24"/>
              </w:rPr>
            </w:pPr>
            <w:r w:rsidRPr="00C028B1">
              <w:rPr>
                <w:rFonts w:ascii="Times New Roman" w:hAnsi="Times New Roman"/>
                <w:b/>
                <w:bCs/>
                <w:sz w:val="24"/>
                <w:szCs w:val="24"/>
              </w:rPr>
              <w:t>Eil. Nr.</w:t>
            </w:r>
          </w:p>
        </w:tc>
        <w:tc>
          <w:tcPr>
            <w:tcW w:w="9107" w:type="dxa"/>
            <w:tcBorders>
              <w:top w:val="single" w:sz="4" w:space="0" w:color="auto"/>
              <w:left w:val="single" w:sz="4" w:space="0" w:color="auto"/>
              <w:bottom w:val="single" w:sz="4" w:space="0" w:color="auto"/>
              <w:right w:val="single" w:sz="4" w:space="0" w:color="auto"/>
            </w:tcBorders>
            <w:vAlign w:val="center"/>
          </w:tcPr>
          <w:p w14:paraId="00824EA8" w14:textId="77777777" w:rsidR="006A5392" w:rsidRPr="00C028B1" w:rsidRDefault="006A5392" w:rsidP="00291424">
            <w:pPr>
              <w:tabs>
                <w:tab w:val="left" w:pos="851"/>
                <w:tab w:val="left" w:pos="993"/>
                <w:tab w:val="left" w:pos="1418"/>
                <w:tab w:val="left" w:pos="1843"/>
                <w:tab w:val="left" w:pos="2410"/>
              </w:tabs>
              <w:jc w:val="center"/>
              <w:rPr>
                <w:rFonts w:ascii="Times New Roman" w:hAnsi="Times New Roman"/>
                <w:sz w:val="24"/>
                <w:szCs w:val="24"/>
              </w:rPr>
            </w:pPr>
            <w:r w:rsidRPr="00C028B1">
              <w:rPr>
                <w:rFonts w:ascii="Times New Roman" w:hAnsi="Times New Roman"/>
                <w:b/>
                <w:bCs/>
                <w:sz w:val="24"/>
                <w:szCs w:val="24"/>
              </w:rPr>
              <w:t>Vertinimo klausimai/ užduotys/detalizuojantys klausimai</w:t>
            </w:r>
          </w:p>
        </w:tc>
      </w:tr>
      <w:tr w:rsidR="006A5392" w:rsidRPr="00C028B1" w14:paraId="5293C4EB" w14:textId="77777777" w:rsidTr="00291424">
        <w:trPr>
          <w:trHeight w:val="315"/>
        </w:trPr>
        <w:tc>
          <w:tcPr>
            <w:tcW w:w="816" w:type="dxa"/>
            <w:vMerge w:val="restart"/>
            <w:tcBorders>
              <w:top w:val="single" w:sz="4" w:space="0" w:color="auto"/>
              <w:left w:val="single" w:sz="4" w:space="0" w:color="auto"/>
              <w:right w:val="single" w:sz="4" w:space="0" w:color="auto"/>
            </w:tcBorders>
          </w:tcPr>
          <w:p w14:paraId="614A5EF2"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sz w:val="24"/>
                <w:szCs w:val="24"/>
              </w:rPr>
            </w:pPr>
            <w:r w:rsidRPr="00C028B1">
              <w:rPr>
                <w:rFonts w:ascii="Times New Roman" w:hAnsi="Times New Roman"/>
                <w:sz w:val="24"/>
                <w:szCs w:val="24"/>
              </w:rPr>
              <w:t>2.3.1</w:t>
            </w:r>
          </w:p>
        </w:tc>
        <w:tc>
          <w:tcPr>
            <w:tcW w:w="9107" w:type="dxa"/>
            <w:tcBorders>
              <w:top w:val="single" w:sz="4" w:space="0" w:color="auto"/>
              <w:left w:val="single" w:sz="4" w:space="0" w:color="auto"/>
              <w:bottom w:val="single" w:sz="4" w:space="0" w:color="auto"/>
              <w:right w:val="single" w:sz="4" w:space="0" w:color="auto"/>
            </w:tcBorders>
            <w:vAlign w:val="center"/>
          </w:tcPr>
          <w:p w14:paraId="7D294164"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Pagrindinis vertinimo uždavinys:</w:t>
            </w:r>
          </w:p>
          <w:p w14:paraId="32BE88D3"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Išanalizuoti respondentų pasiskirstymą pagal dalyvavimo Konkursinėje doktorantūroje ar Podoktorantūros stažuočių projektuose metus, demografinius, mokslo daktaro laipsnio įgijimo ir profesinės patirties rodiklius bei interpretuoti šiuos duomenis, siekiant atskleisti pagrindines tendencijas ir įžvalgas, susijusias su dalyvavimu minėtuose projektuose</w:t>
            </w:r>
          </w:p>
        </w:tc>
      </w:tr>
      <w:tr w:rsidR="006A5392" w:rsidRPr="00C028B1" w14:paraId="7796DACE" w14:textId="77777777" w:rsidTr="00291424">
        <w:trPr>
          <w:trHeight w:val="315"/>
        </w:trPr>
        <w:tc>
          <w:tcPr>
            <w:tcW w:w="816" w:type="dxa"/>
            <w:vMerge/>
            <w:vAlign w:val="center"/>
          </w:tcPr>
          <w:p w14:paraId="09F6430A"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b/>
                <w:bCs/>
                <w:sz w:val="24"/>
                <w:szCs w:val="24"/>
              </w:rPr>
            </w:pPr>
          </w:p>
        </w:tc>
        <w:tc>
          <w:tcPr>
            <w:tcW w:w="9107" w:type="dxa"/>
            <w:tcBorders>
              <w:top w:val="single" w:sz="4" w:space="0" w:color="auto"/>
              <w:left w:val="single" w:sz="4" w:space="0" w:color="auto"/>
              <w:bottom w:val="single" w:sz="4" w:space="0" w:color="auto"/>
              <w:right w:val="single" w:sz="4" w:space="0" w:color="auto"/>
            </w:tcBorders>
            <w:vAlign w:val="center"/>
          </w:tcPr>
          <w:p w14:paraId="47769E0A"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Paaiškinimas:</w:t>
            </w:r>
          </w:p>
          <w:p w14:paraId="2C99C372"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Surinkti reikalingą informaciją ir įvertinti respondentų pasiskirstymą pagal dalyvavimo Konkursinėje doktorantūroje ar Podoktorantūros stažuočių projektuose metus, demografinius rodiklius, mokslo daktaro laipsnio įgijimo rodiklius, profesinės patirties rodiklius. </w:t>
            </w:r>
          </w:p>
          <w:p w14:paraId="21EBAFC7"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Suklasifikuoti respondentus į šešias ar daugiau tikslinių grupių, kurias išanalizuoti pagal demografinius rodiklius, dalyvavimo Konkursinėje doktorantūroje ir (ar) Podoktorantūros stažuočių projektuose metus, mokslo daktaro laipsnio įgijimo metus, patirties akademinėje srityje po mokslo daktaro laipsnio įgijimo metus (&lt;2 metai; 2-5 metai; &gt;5 metai):</w:t>
            </w:r>
          </w:p>
          <w:p w14:paraId="69C32415"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A tikslinė grupė – mokslo daktarai, dalyvavę Konkursinėje doktorantūroje ir (ar) dalyvavę Podoktorantūros stažuočių projektuose, vykdantys mokslinę veiklą, kuri susijusi su jų disertacijos tema, ir siekiantys akademinės karjeros. </w:t>
            </w:r>
          </w:p>
          <w:p w14:paraId="7E4C1BB5"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B tikslinė grupė - mokslo daktarai, dalyvavę Konkursinėje doktorantūroje ir (ar) dalyvavę Podoktorantūros stažuočių projektuose, vykdantys mokslinę veiklą, nesusijusią su jų disertacijos tema ir (ar) Podoktorantūros stažuotės projekto tema, ir siekiantys akademinės karjeros. </w:t>
            </w:r>
          </w:p>
          <w:p w14:paraId="48CFE60A"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C tikslinė grupė – mokslo daktarai, dalyvavę Konkursinėje doktorantūroje ir (ar) Podoktorantūros stažuočių projektuose, tačiau nevykdantys mokslinės veiklos ir nesiekiantys akademinės karjeros.</w:t>
            </w:r>
          </w:p>
          <w:p w14:paraId="6AB8EE10"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D tikslinė grupė – asmenys, dalyvavę Konkursinėje doktorantūroje, tačiau negavę daktaro laipsnio.</w:t>
            </w:r>
          </w:p>
          <w:p w14:paraId="5391D33F"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E tikslinė grupė – mokslo daktarai, dalyvavę Podoktorantūros stažuočių projekte, tačiau stažuotės nepabaigė.</w:t>
            </w:r>
          </w:p>
          <w:p w14:paraId="1C620642"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Atskirai galima analizuoti Priimančių institucijų atstovus pagal Paslaugų teikėjo pasiūlytus rodiklius, pavyzdžiui, dalyvavimo Konkursinėje doktorantūroje ar Podoktorantūros stažuočių projektuose metai, apsigynusių doktorantų skaičius, suorganizuotų Podoktorantūros stažuočių skaičius, Konkursinės doktorantūros ir Podoktorantūros stažuočių projektų dalyvių skaičius, ar kt.</w:t>
            </w:r>
          </w:p>
        </w:tc>
      </w:tr>
      <w:tr w:rsidR="006A5392" w:rsidRPr="00C028B1" w14:paraId="6EB1B56E" w14:textId="77777777" w:rsidTr="00291424">
        <w:trPr>
          <w:trHeight w:val="315"/>
        </w:trPr>
        <w:tc>
          <w:tcPr>
            <w:tcW w:w="816" w:type="dxa"/>
            <w:vMerge/>
            <w:vAlign w:val="center"/>
          </w:tcPr>
          <w:p w14:paraId="7154FFF4"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b/>
                <w:bCs/>
                <w:sz w:val="24"/>
                <w:szCs w:val="24"/>
              </w:rPr>
            </w:pPr>
          </w:p>
        </w:tc>
        <w:tc>
          <w:tcPr>
            <w:tcW w:w="9107" w:type="dxa"/>
            <w:tcBorders>
              <w:top w:val="single" w:sz="4" w:space="0" w:color="auto"/>
              <w:left w:val="single" w:sz="4" w:space="0" w:color="auto"/>
              <w:bottom w:val="single" w:sz="4" w:space="0" w:color="auto"/>
              <w:right w:val="single" w:sz="4" w:space="0" w:color="auto"/>
            </w:tcBorders>
            <w:vAlign w:val="center"/>
          </w:tcPr>
          <w:p w14:paraId="64EC1BDD"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Papildoma informacija:</w:t>
            </w:r>
          </w:p>
          <w:p w14:paraId="50F5E099"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Dalyvavimo Konkursinėje doktorantūroje ar Podoktorantūros stažuočių projekte metai – metai, kuriais pradėjo doktorantūros studijas arba kuriais išvyko į Podoktorantūros stažuotę</w:t>
            </w:r>
          </w:p>
          <w:p w14:paraId="03B63C54"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Demografiniai rodikliai: amžius, lytis, gyvenamoji vieta (didieji miestai (Vilnius, Kaunas, Klaipėda) ar mažesni miestai ir miesteliai))</w:t>
            </w:r>
          </w:p>
          <w:p w14:paraId="013527D4"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Mokslinio laipsnio įgijimo rodikliai: mokslo sritis, pagal disertacijos temą (humanitariniai, socialiniai, tikslieji, gamtos); mokslo daktaro laipsnio įgijimo metai; institucija, kurioje apginta disertacija; institucija, kurioje atlikta Podoktorantūros stažuotė</w:t>
            </w:r>
          </w:p>
          <w:p w14:paraId="6F45A42A"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Profesinės patirties rodikliai: patirties akademinėje srityje po mokslo daktaro laipsnio įgijimo metai (nėra, &lt;2 metai; 2-5 metai; &gt;5 metai); pareigos mokslo ir studijų institucijoje </w:t>
            </w:r>
            <w:r w:rsidRPr="00C028B1">
              <w:rPr>
                <w:rFonts w:ascii="Times New Roman" w:hAnsi="Times New Roman"/>
                <w:sz w:val="24"/>
                <w:szCs w:val="24"/>
              </w:rPr>
              <w:lastRenderedPageBreak/>
              <w:t>(docentas, profesorius, kita) publikacijų disertacijos tema skaičius; profesinis sektorius (privatus, viešasis); pagrindinė profesinės karjeros šalis (Lietuva, ES šalys, kita šalis).</w:t>
            </w:r>
          </w:p>
          <w:p w14:paraId="5DB7C948"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Visi šie rodikliai fiksuojami tyrimo atlikimo dieną</w:t>
            </w:r>
          </w:p>
        </w:tc>
      </w:tr>
      <w:tr w:rsidR="006A5392" w:rsidRPr="00C028B1" w14:paraId="4E098749" w14:textId="77777777" w:rsidTr="00291424">
        <w:trPr>
          <w:trHeight w:val="315"/>
        </w:trPr>
        <w:tc>
          <w:tcPr>
            <w:tcW w:w="816" w:type="dxa"/>
            <w:vMerge w:val="restart"/>
            <w:tcBorders>
              <w:top w:val="single" w:sz="4" w:space="0" w:color="auto"/>
              <w:left w:val="single" w:sz="4" w:space="0" w:color="auto"/>
              <w:right w:val="single" w:sz="4" w:space="0" w:color="auto"/>
            </w:tcBorders>
          </w:tcPr>
          <w:p w14:paraId="328A3AD7"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sz w:val="24"/>
                <w:szCs w:val="24"/>
              </w:rPr>
            </w:pPr>
            <w:r w:rsidRPr="00C028B1">
              <w:rPr>
                <w:rFonts w:ascii="Times New Roman" w:hAnsi="Times New Roman"/>
                <w:sz w:val="24"/>
                <w:szCs w:val="24"/>
              </w:rPr>
              <w:lastRenderedPageBreak/>
              <w:t>2.3.2</w:t>
            </w:r>
          </w:p>
        </w:tc>
        <w:tc>
          <w:tcPr>
            <w:tcW w:w="9107" w:type="dxa"/>
            <w:tcBorders>
              <w:top w:val="single" w:sz="4" w:space="0" w:color="auto"/>
              <w:left w:val="single" w:sz="4" w:space="0" w:color="auto"/>
              <w:bottom w:val="single" w:sz="4" w:space="0" w:color="auto"/>
              <w:right w:val="single" w:sz="4" w:space="0" w:color="auto"/>
            </w:tcBorders>
            <w:vAlign w:val="center"/>
          </w:tcPr>
          <w:p w14:paraId="7C0029EF"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Pagrindinis vertinimo uždavinys:</w:t>
            </w:r>
          </w:p>
          <w:p w14:paraId="2D55C23E"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Dalyvavimo Konkursinės doktorantūros ir (ar) Podoktorantūros stažuočių projektuose poveikis respondentų karjeros dinamikai, Priimančių institucijų veiklai</w:t>
            </w:r>
          </w:p>
        </w:tc>
      </w:tr>
      <w:tr w:rsidR="006A5392" w:rsidRPr="00C028B1" w14:paraId="6D82E5F9" w14:textId="77777777" w:rsidTr="00291424">
        <w:trPr>
          <w:trHeight w:val="315"/>
        </w:trPr>
        <w:tc>
          <w:tcPr>
            <w:tcW w:w="816" w:type="dxa"/>
            <w:vMerge/>
            <w:vAlign w:val="center"/>
          </w:tcPr>
          <w:p w14:paraId="5E97CF4A"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sz w:val="24"/>
                <w:szCs w:val="24"/>
              </w:rPr>
            </w:pPr>
          </w:p>
        </w:tc>
        <w:tc>
          <w:tcPr>
            <w:tcW w:w="9107" w:type="dxa"/>
            <w:tcBorders>
              <w:top w:val="single" w:sz="4" w:space="0" w:color="auto"/>
              <w:left w:val="single" w:sz="4" w:space="0" w:color="auto"/>
              <w:bottom w:val="single" w:sz="4" w:space="0" w:color="auto"/>
              <w:right w:val="single" w:sz="4" w:space="0" w:color="auto"/>
            </w:tcBorders>
            <w:vAlign w:val="center"/>
          </w:tcPr>
          <w:p w14:paraId="00F82693"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Paaiškinimas:</w:t>
            </w:r>
          </w:p>
          <w:p w14:paraId="4AEC7CF7"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Surinkti informaciją apie dalyvavimo Konkursinės doktorantūros ir (ar) Podoktorantūros stažuočių projektuose poveikį dalyvių karjeros dinamikai ir (ar) Priimančių institucijų veiklai</w:t>
            </w:r>
          </w:p>
        </w:tc>
      </w:tr>
      <w:tr w:rsidR="006A5392" w:rsidRPr="00C028B1" w14:paraId="76015684" w14:textId="77777777" w:rsidTr="00291424">
        <w:trPr>
          <w:trHeight w:val="315"/>
        </w:trPr>
        <w:tc>
          <w:tcPr>
            <w:tcW w:w="816" w:type="dxa"/>
            <w:vMerge/>
            <w:vAlign w:val="center"/>
          </w:tcPr>
          <w:p w14:paraId="51BD6962"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b/>
                <w:bCs/>
                <w:sz w:val="24"/>
                <w:szCs w:val="24"/>
              </w:rPr>
            </w:pPr>
          </w:p>
        </w:tc>
        <w:tc>
          <w:tcPr>
            <w:tcW w:w="9107" w:type="dxa"/>
            <w:tcBorders>
              <w:top w:val="single" w:sz="4" w:space="0" w:color="auto"/>
              <w:left w:val="single" w:sz="4" w:space="0" w:color="auto"/>
              <w:bottom w:val="single" w:sz="4" w:space="0" w:color="auto"/>
              <w:right w:val="single" w:sz="4" w:space="0" w:color="auto"/>
            </w:tcBorders>
            <w:vAlign w:val="center"/>
          </w:tcPr>
          <w:p w14:paraId="6A80AC0A"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Detalizuojantys klausimai:</w:t>
            </w:r>
          </w:p>
          <w:p w14:paraId="6554FADC"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1. Kokia dalyvavimo Konkursinėje doktorantūroje ir (ar) Podoktorantūros stažuotės projektuose įtaka respondentų profesiniam tobulėjimui ir karjeros augimui, Priimančių institucijų veiklai? </w:t>
            </w:r>
          </w:p>
          <w:p w14:paraId="0828B419"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2. Ar Konkursinė doktorantūra ir (ar) Podoktorantūros stažuotės projektai padėjo dalyviams ir (ar) Priimančioms institucijoms užmegzti ilgalaikį bendradarbiavimą, pavyzdžiui, su kitomis institucijomis, tyrimų grupėmis? </w:t>
            </w:r>
          </w:p>
          <w:p w14:paraId="1C91E552" w14:textId="77777777" w:rsidR="006A5392" w:rsidRPr="00C028B1" w:rsidRDefault="006A5392" w:rsidP="00291424">
            <w:pPr>
              <w:ind w:firstLine="567"/>
              <w:jc w:val="both"/>
              <w:rPr>
                <w:rFonts w:ascii="Times New Roman" w:eastAsia="Calibri" w:hAnsi="Times New Roman"/>
                <w:sz w:val="24"/>
                <w:szCs w:val="24"/>
              </w:rPr>
            </w:pPr>
            <w:r w:rsidRPr="00C028B1">
              <w:rPr>
                <w:rFonts w:ascii="Times New Roman" w:hAnsi="Times New Roman"/>
                <w:sz w:val="24"/>
                <w:szCs w:val="24"/>
              </w:rPr>
              <w:t xml:space="preserve">3. </w:t>
            </w:r>
            <w:r w:rsidRPr="00C028B1">
              <w:rPr>
                <w:rFonts w:ascii="Times New Roman" w:eastAsia="Calibri" w:hAnsi="Times New Roman"/>
                <w:sz w:val="24"/>
                <w:szCs w:val="24"/>
              </w:rPr>
              <w:t xml:space="preserve">Kokios yra pagrindinės naudos, kurias gauna Konkursinės doktorantūros, Podoktorantūros stažuočių projektų dalyviai ir Priimančios institucijos? </w:t>
            </w:r>
          </w:p>
          <w:p w14:paraId="24174425"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4. Kokie yra pagrindiniai iššūkiai, su kuriais susiduria Konkursinės doktorantūros, Podoktorantūros stažuočių projektų dalyviai ir Priimančios institucijos jų metu bei po jų (pvz., darbo vietos trūkumas, finansavimo stoka)? </w:t>
            </w:r>
          </w:p>
          <w:p w14:paraId="2B9E129D" w14:textId="77777777" w:rsidR="006A5392" w:rsidRPr="00C028B1" w:rsidRDefault="006A5392" w:rsidP="00291424">
            <w:pPr>
              <w:ind w:firstLine="567"/>
              <w:jc w:val="both"/>
              <w:rPr>
                <w:rFonts w:ascii="Times New Roman" w:eastAsia="Calibri" w:hAnsi="Times New Roman"/>
                <w:sz w:val="24"/>
                <w:szCs w:val="24"/>
              </w:rPr>
            </w:pPr>
            <w:r w:rsidRPr="00C028B1">
              <w:rPr>
                <w:rFonts w:ascii="Times New Roman" w:hAnsi="Times New Roman"/>
                <w:sz w:val="24"/>
                <w:szCs w:val="24"/>
              </w:rPr>
              <w:t xml:space="preserve">5. Kokios yra Konkursinės doktorantūros, Podoktorantūros stažuočių projektų dalyvių ir Priimančiųjų institucijų patirtys, susijusios su institucinio mobilumo reikalavimų įgyvendinimu? Ar dalyviai gavo pakankamai pagalbos iš Priimančios institucijos, kad atitiktų mobilumo reikalavimus (pvz., finansavimas, informacija, administracinė pagalba)? Kokie yra pagrindiniai sunkumai, su kuriais susiduria dalyviai ir Priimančios institucijos vykdydami mobilumo reikalavimus? </w:t>
            </w:r>
            <w:r w:rsidRPr="00C028B1">
              <w:rPr>
                <w:rFonts w:ascii="Times New Roman" w:eastAsia="Calibri" w:hAnsi="Times New Roman"/>
                <w:sz w:val="24"/>
                <w:szCs w:val="24"/>
              </w:rPr>
              <w:t xml:space="preserve">Kokios yra pagrindinės kliūtys, su kuriomis susiduria dalyviai ir Priimančios institucijos, vykdydami stažuotės užsienyje reikalavimą (pvz., finansavimas, administraciniai klausimai)? </w:t>
            </w:r>
          </w:p>
          <w:p w14:paraId="6A3CDC56"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6. Ar Priimančios institucijos, kuriose vykdoma Konkursinė doktorantūra ir (ar) Podoktorantūros stažuočių projektai, suteikia pakankamą paramą tyrėjų karjerai (pvz., infrastruktūrą, finansavimą, mentorystę)? Kokią tiksliai paramą suteikia?</w:t>
            </w:r>
          </w:p>
          <w:p w14:paraId="3BDDBE23"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7. Kaip Priimančios institucijos, vykdančios Konkursinę doktorantūrą ir (ar) Podoktorantūros stažuočių projektus, prisidėjo prie dalyvių integracijos į tarptautinę mokslinę bendruomenę?</w:t>
            </w:r>
          </w:p>
          <w:p w14:paraId="44D417F6"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8. Kokius naujus įgūdžius ar kompetencijas dalyviai įgijo Konkursinės doktorantūros ir (ar) Podoktorantūros stažuočių projektų metu (pvz., techninius, metodologinius, vadybinius)? Ar Konkursinė doktorantūra ir (ar) Podoktorantūros stažuočių projektai padėjo dalyviams įgyti tarpdisciplininių kompetencijų?</w:t>
            </w:r>
          </w:p>
          <w:p w14:paraId="17A80AA4"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9. Kiek publikacijų respondentai paskelbė per Konkursinės doktorantūros ir (ar) Podoktorantūros stažuočių projektų laikotarpį?</w:t>
            </w:r>
          </w:p>
          <w:p w14:paraId="24ACF9FD"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10. Jeigu respondentas nutraukė studijas Konkursinėje doktorantūroje ar Podoktorantūros stažuotę - ar priežastys buvo asmeninės, ar susijusios su MSI vykdoma doktorantūros studijų įgyvendinimo praktika, kuri sudarė prielaidas doktorantui nebetęsti studijų? </w:t>
            </w:r>
          </w:p>
          <w:p w14:paraId="1AFF3288"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11. Kiek projektų dalyvių po dalyvavimo priemonėje liko mokslo srityje ir tęsė tyrėjo karjerą? Kiek jų išėjo į kitus sektorius, ir kokios to priežastys?</w:t>
            </w:r>
          </w:p>
          <w:p w14:paraId="4B425A28"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lastRenderedPageBreak/>
              <w:t>12. Kaip institucijos vertina konkursinių ir nekonkursinių doktorantūros formų efektyvumą? Ar jos pastebi skirtumus rezultatų, tyrėjų pasirengimo, bendradarbiavimo ar tęstinumo požiūriu?</w:t>
            </w:r>
          </w:p>
          <w:p w14:paraId="4B8986B3" w14:textId="77777777" w:rsidR="006A5392" w:rsidRPr="00C028B1" w:rsidRDefault="006A5392" w:rsidP="00291424">
            <w:pPr>
              <w:ind w:firstLine="567"/>
              <w:jc w:val="both"/>
              <w:rPr>
                <w:rFonts w:ascii="Times New Roman" w:eastAsia="Calibri" w:hAnsi="Times New Roman"/>
                <w:sz w:val="24"/>
                <w:szCs w:val="24"/>
              </w:rPr>
            </w:pPr>
            <w:r w:rsidRPr="00C028B1">
              <w:rPr>
                <w:rFonts w:ascii="Times New Roman" w:eastAsia="Calibri" w:hAnsi="Times New Roman"/>
                <w:sz w:val="24"/>
                <w:szCs w:val="24"/>
              </w:rPr>
              <w:t xml:space="preserve"> </w:t>
            </w:r>
          </w:p>
        </w:tc>
      </w:tr>
      <w:tr w:rsidR="006A5392" w:rsidRPr="00C028B1" w14:paraId="1D4E048A" w14:textId="77777777" w:rsidTr="00291424">
        <w:trPr>
          <w:trHeight w:val="315"/>
        </w:trPr>
        <w:tc>
          <w:tcPr>
            <w:tcW w:w="816" w:type="dxa"/>
            <w:vMerge w:val="restart"/>
            <w:tcBorders>
              <w:top w:val="single" w:sz="4" w:space="0" w:color="auto"/>
              <w:left w:val="single" w:sz="4" w:space="0" w:color="auto"/>
              <w:right w:val="single" w:sz="4" w:space="0" w:color="auto"/>
            </w:tcBorders>
          </w:tcPr>
          <w:p w14:paraId="2C610FD3"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sz w:val="24"/>
                <w:szCs w:val="24"/>
              </w:rPr>
            </w:pPr>
            <w:r w:rsidRPr="00C028B1">
              <w:rPr>
                <w:rFonts w:ascii="Times New Roman" w:hAnsi="Times New Roman"/>
                <w:sz w:val="24"/>
                <w:szCs w:val="24"/>
              </w:rPr>
              <w:lastRenderedPageBreak/>
              <w:t>2.3.3</w:t>
            </w:r>
          </w:p>
        </w:tc>
        <w:tc>
          <w:tcPr>
            <w:tcW w:w="9107" w:type="dxa"/>
            <w:tcBorders>
              <w:top w:val="single" w:sz="4" w:space="0" w:color="auto"/>
              <w:left w:val="single" w:sz="4" w:space="0" w:color="auto"/>
              <w:bottom w:val="single" w:sz="4" w:space="0" w:color="auto"/>
              <w:right w:val="single" w:sz="4" w:space="0" w:color="auto"/>
            </w:tcBorders>
            <w:vAlign w:val="center"/>
          </w:tcPr>
          <w:p w14:paraId="22A8CD86"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Pagrindinis vertinimo uždavinys:</w:t>
            </w:r>
          </w:p>
          <w:p w14:paraId="40E1462D" w14:textId="77777777" w:rsidR="006A5392" w:rsidRPr="00C028B1" w:rsidRDefault="006A5392" w:rsidP="00291424">
            <w:pPr>
              <w:shd w:val="clear" w:color="auto" w:fill="FFFFFF" w:themeFill="background1"/>
              <w:ind w:firstLine="567"/>
              <w:jc w:val="both"/>
              <w:rPr>
                <w:rFonts w:ascii="Times New Roman" w:hAnsi="Times New Roman"/>
                <w:sz w:val="24"/>
                <w:szCs w:val="24"/>
              </w:rPr>
            </w:pPr>
            <w:r w:rsidRPr="00C028B1">
              <w:rPr>
                <w:rFonts w:ascii="Times New Roman" w:hAnsi="Times New Roman"/>
                <w:sz w:val="24"/>
                <w:szCs w:val="24"/>
              </w:rPr>
              <w:t>Konkursinės doktorantūros dalyvių, Podoktorantūros stažuočių projektų dalyvių ir Priimančių institucijų lūkesčiai Konkursinei doktorantūrai ir (ar) Podoktorantūros stažuočių projektams ir jų išpildymas</w:t>
            </w:r>
          </w:p>
        </w:tc>
      </w:tr>
      <w:tr w:rsidR="006A5392" w:rsidRPr="00C028B1" w14:paraId="3DB229C5" w14:textId="77777777" w:rsidTr="00291424">
        <w:trPr>
          <w:trHeight w:val="315"/>
        </w:trPr>
        <w:tc>
          <w:tcPr>
            <w:tcW w:w="816" w:type="dxa"/>
            <w:vMerge/>
            <w:vAlign w:val="center"/>
          </w:tcPr>
          <w:p w14:paraId="5510F3F4"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b/>
                <w:bCs/>
                <w:sz w:val="24"/>
                <w:szCs w:val="24"/>
              </w:rPr>
            </w:pPr>
          </w:p>
        </w:tc>
        <w:tc>
          <w:tcPr>
            <w:tcW w:w="9107" w:type="dxa"/>
            <w:tcBorders>
              <w:top w:val="single" w:sz="4" w:space="0" w:color="auto"/>
              <w:left w:val="single" w:sz="4" w:space="0" w:color="auto"/>
              <w:bottom w:val="single" w:sz="4" w:space="0" w:color="auto"/>
              <w:right w:val="single" w:sz="4" w:space="0" w:color="auto"/>
            </w:tcBorders>
            <w:vAlign w:val="center"/>
          </w:tcPr>
          <w:p w14:paraId="066BBEF8"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Paaiškinimas:</w:t>
            </w:r>
          </w:p>
          <w:p w14:paraId="6E89F613"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Surinkti informaciją apie dalyvių ir Priimančių institucijų  keltus lūkesčius Konkursinei doktorantūrai ir Podoktorantūros stažuočių projektams ir jų išpildymą</w:t>
            </w:r>
          </w:p>
        </w:tc>
      </w:tr>
      <w:tr w:rsidR="006A5392" w:rsidRPr="00C028B1" w14:paraId="7DCCFE08" w14:textId="77777777" w:rsidTr="00291424">
        <w:trPr>
          <w:trHeight w:val="315"/>
        </w:trPr>
        <w:tc>
          <w:tcPr>
            <w:tcW w:w="816" w:type="dxa"/>
            <w:vMerge/>
            <w:vAlign w:val="center"/>
          </w:tcPr>
          <w:p w14:paraId="76F92F93" w14:textId="77777777" w:rsidR="006A5392" w:rsidRPr="00C028B1" w:rsidRDefault="006A5392" w:rsidP="00291424">
            <w:pPr>
              <w:tabs>
                <w:tab w:val="left" w:pos="851"/>
                <w:tab w:val="left" w:pos="993"/>
                <w:tab w:val="left" w:pos="1418"/>
                <w:tab w:val="left" w:pos="1843"/>
                <w:tab w:val="left" w:pos="2410"/>
              </w:tabs>
              <w:ind w:left="-111" w:right="-109"/>
              <w:jc w:val="center"/>
              <w:rPr>
                <w:rFonts w:ascii="Times New Roman" w:hAnsi="Times New Roman"/>
                <w:b/>
                <w:bCs/>
                <w:sz w:val="24"/>
                <w:szCs w:val="24"/>
              </w:rPr>
            </w:pPr>
          </w:p>
        </w:tc>
        <w:tc>
          <w:tcPr>
            <w:tcW w:w="9107" w:type="dxa"/>
            <w:tcBorders>
              <w:top w:val="single" w:sz="4" w:space="0" w:color="auto"/>
              <w:left w:val="single" w:sz="4" w:space="0" w:color="auto"/>
              <w:bottom w:val="single" w:sz="4" w:space="0" w:color="auto"/>
              <w:right w:val="single" w:sz="4" w:space="0" w:color="auto"/>
            </w:tcBorders>
            <w:vAlign w:val="center"/>
          </w:tcPr>
          <w:p w14:paraId="50A2FF68" w14:textId="77777777" w:rsidR="006A5392" w:rsidRPr="00C028B1" w:rsidRDefault="006A5392" w:rsidP="00291424">
            <w:pPr>
              <w:tabs>
                <w:tab w:val="left" w:pos="851"/>
                <w:tab w:val="left" w:pos="993"/>
                <w:tab w:val="left" w:pos="1418"/>
                <w:tab w:val="left" w:pos="1843"/>
                <w:tab w:val="left" w:pos="2410"/>
              </w:tabs>
              <w:ind w:firstLine="567"/>
              <w:rPr>
                <w:rFonts w:ascii="Times New Roman" w:hAnsi="Times New Roman"/>
                <w:sz w:val="24"/>
                <w:szCs w:val="24"/>
              </w:rPr>
            </w:pPr>
            <w:r w:rsidRPr="00C028B1">
              <w:rPr>
                <w:rFonts w:ascii="Times New Roman" w:hAnsi="Times New Roman"/>
                <w:sz w:val="24"/>
                <w:szCs w:val="24"/>
              </w:rPr>
              <w:t>Detalizuojantys klausimai:</w:t>
            </w:r>
          </w:p>
          <w:p w14:paraId="182D0CEE"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1. Ar partnerio institucijos įsitraukimas į Konkursinės doktorantūros studijų vykdymą buvo realus ir pakankamas respondentui? </w:t>
            </w:r>
          </w:p>
          <w:p w14:paraId="1355B944" w14:textId="77777777" w:rsidR="006A5392" w:rsidRPr="00C028B1" w:rsidRDefault="006A5392" w:rsidP="00291424">
            <w:pPr>
              <w:tabs>
                <w:tab w:val="left" w:pos="851"/>
                <w:tab w:val="left" w:pos="993"/>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2. Ar respondento Konkursinės doktorantūros vadovas atitiko respondento lūkesčius? </w:t>
            </w:r>
          </w:p>
          <w:p w14:paraId="5AB11F06"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3. Ar Priimančios institucijos, kuriose vykdoma Konkursinė doktorantūra ir (ar) Podoktorantūros stažuočių projektai, suteikė pakankamą paramą tyrėjų karjerai (pvz., infrastruktūrą, finansavimą, mentorystę)?</w:t>
            </w:r>
          </w:p>
          <w:p w14:paraId="5800014B"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4. Asmenų iš užsienio pritraukimo studijuoti Konkursinėje doktorantūroje patirtys ir to poreikis, galimybės Lietuvai.</w:t>
            </w:r>
          </w:p>
          <w:p w14:paraId="133E8B77" w14:textId="77777777" w:rsidR="006A5392" w:rsidRPr="00C028B1" w:rsidRDefault="006A5392" w:rsidP="00291424">
            <w:pPr>
              <w:ind w:firstLine="567"/>
              <w:jc w:val="both"/>
              <w:rPr>
                <w:rFonts w:ascii="Times New Roman" w:eastAsia="Calibri" w:hAnsi="Times New Roman"/>
                <w:sz w:val="24"/>
                <w:szCs w:val="24"/>
              </w:rPr>
            </w:pPr>
            <w:r w:rsidRPr="00C028B1">
              <w:rPr>
                <w:rFonts w:ascii="Times New Roman" w:hAnsi="Times New Roman"/>
                <w:sz w:val="24"/>
                <w:szCs w:val="24"/>
              </w:rPr>
              <w:t xml:space="preserve">5. </w:t>
            </w:r>
            <w:r w:rsidRPr="00C028B1">
              <w:rPr>
                <w:rFonts w:ascii="Times New Roman" w:eastAsia="Calibri" w:hAnsi="Times New Roman"/>
                <w:sz w:val="24"/>
                <w:szCs w:val="24"/>
              </w:rPr>
              <w:t xml:space="preserve">Ar stažuotojai jaučia, kad Podoktorantūros stažuočių projektų užsienyje reikalavimas yra prasmingas jų mokslinės kvalifikacijos kėlimo procese? Kokius pagrindinius įgūdžius ar žinias stažuotojai įgyja užsienio Podoktorantūros stažuočių projektų metu? Kaip stažuotojai vertina užsienio institucijų mokslinę aplinką ir jos indėlį į jų tyrimų kokybę? Kokius ilgalaikius ryšius užmezga stažuotojai, dalyvaudami užsienio stažuotėse? </w:t>
            </w:r>
          </w:p>
          <w:p w14:paraId="61791950" w14:textId="77777777" w:rsidR="006A5392" w:rsidRPr="00C028B1" w:rsidRDefault="006A5392" w:rsidP="00291424">
            <w:pPr>
              <w:ind w:firstLine="567"/>
              <w:jc w:val="both"/>
              <w:rPr>
                <w:rFonts w:ascii="Times New Roman" w:hAnsi="Times New Roman"/>
                <w:sz w:val="24"/>
                <w:szCs w:val="24"/>
              </w:rPr>
            </w:pPr>
            <w:r w:rsidRPr="00C028B1">
              <w:rPr>
                <w:rFonts w:ascii="Times New Roman" w:eastAsia="Calibri" w:hAnsi="Times New Roman"/>
                <w:sz w:val="24"/>
                <w:szCs w:val="24"/>
              </w:rPr>
              <w:t xml:space="preserve">6. </w:t>
            </w:r>
            <w:r w:rsidRPr="00C028B1">
              <w:rPr>
                <w:rFonts w:ascii="Times New Roman" w:hAnsi="Times New Roman"/>
                <w:sz w:val="24"/>
                <w:szCs w:val="24"/>
              </w:rPr>
              <w:t>Su kuriomis užsienio institucijomis bendradarbiauja Lietuvos mokslo ir studijų institucijos įgyvendindamos Konkursinės doktorantūros ir (ar) Podoktorantūros stažuočių projektus? Kiek šios partnerystės prisideda prie mobilumo reikalavimų įgyvendinimo (pvz., bendra projektinė veikla, dalijimasis ištekliais, bendra mentorystė)? Kaip Priimančios institucijos padeda dalyviams pasiruošti stažuotei užsienyje?</w:t>
            </w:r>
          </w:p>
        </w:tc>
      </w:tr>
      <w:tr w:rsidR="006A5392" w:rsidRPr="00C028B1" w14:paraId="3FFD3D38" w14:textId="77777777" w:rsidTr="00291424">
        <w:trPr>
          <w:trHeight w:val="253"/>
        </w:trPr>
        <w:tc>
          <w:tcPr>
            <w:tcW w:w="816" w:type="dxa"/>
            <w:vMerge w:val="restart"/>
            <w:tcBorders>
              <w:left w:val="single" w:sz="4" w:space="0" w:color="auto"/>
              <w:right w:val="single" w:sz="4" w:space="0" w:color="auto"/>
            </w:tcBorders>
          </w:tcPr>
          <w:p w14:paraId="3C3A6F4B" w14:textId="77777777" w:rsidR="006A5392" w:rsidRPr="00C028B1" w:rsidRDefault="006A5392" w:rsidP="00291424">
            <w:pPr>
              <w:tabs>
                <w:tab w:val="left" w:pos="425"/>
                <w:tab w:val="left" w:pos="709"/>
                <w:tab w:val="left" w:pos="851"/>
                <w:tab w:val="left" w:pos="993"/>
                <w:tab w:val="left" w:pos="1418"/>
                <w:tab w:val="left" w:pos="1843"/>
                <w:tab w:val="left" w:pos="2410"/>
              </w:tabs>
              <w:contextualSpacing/>
              <w:jc w:val="center"/>
              <w:rPr>
                <w:rFonts w:ascii="Times New Roman" w:hAnsi="Times New Roman"/>
                <w:sz w:val="24"/>
                <w:szCs w:val="24"/>
              </w:rPr>
            </w:pPr>
            <w:r w:rsidRPr="00C028B1">
              <w:rPr>
                <w:rFonts w:ascii="Times New Roman" w:hAnsi="Times New Roman"/>
                <w:sz w:val="24"/>
                <w:szCs w:val="24"/>
              </w:rPr>
              <w:t>2.3.4</w:t>
            </w:r>
          </w:p>
        </w:tc>
        <w:tc>
          <w:tcPr>
            <w:tcW w:w="9107" w:type="dxa"/>
            <w:tcBorders>
              <w:top w:val="single" w:sz="4" w:space="0" w:color="auto"/>
              <w:left w:val="single" w:sz="4" w:space="0" w:color="auto"/>
              <w:bottom w:val="single" w:sz="4" w:space="0" w:color="auto"/>
              <w:right w:val="single" w:sz="4" w:space="0" w:color="auto"/>
            </w:tcBorders>
          </w:tcPr>
          <w:p w14:paraId="28CC69CA" w14:textId="77777777" w:rsidR="006A5392" w:rsidRPr="00C028B1" w:rsidRDefault="006A5392" w:rsidP="00291424">
            <w:pPr>
              <w:tabs>
                <w:tab w:val="left" w:pos="32"/>
                <w:tab w:val="left" w:pos="460"/>
              </w:tabs>
              <w:ind w:firstLine="567"/>
              <w:jc w:val="both"/>
              <w:rPr>
                <w:rFonts w:ascii="Times New Roman" w:eastAsia="Calibri" w:hAnsi="Times New Roman"/>
                <w:sz w:val="24"/>
                <w:szCs w:val="24"/>
              </w:rPr>
            </w:pPr>
            <w:r w:rsidRPr="00C028B1">
              <w:rPr>
                <w:rFonts w:ascii="Times New Roman" w:eastAsia="Calibri" w:hAnsi="Times New Roman"/>
                <w:sz w:val="24"/>
                <w:szCs w:val="24"/>
              </w:rPr>
              <w:t>Pagrindinis vertinimo uždavinys:</w:t>
            </w:r>
          </w:p>
          <w:p w14:paraId="4503202E" w14:textId="77777777" w:rsidR="006A5392" w:rsidRPr="00C028B1" w:rsidRDefault="006A5392" w:rsidP="00291424">
            <w:pPr>
              <w:ind w:firstLine="536"/>
              <w:jc w:val="both"/>
              <w:rPr>
                <w:rFonts w:ascii="Times New Roman" w:hAnsi="Times New Roman"/>
                <w:sz w:val="24"/>
                <w:szCs w:val="24"/>
              </w:rPr>
            </w:pPr>
            <w:r w:rsidRPr="00C028B1">
              <w:rPr>
                <w:rFonts w:ascii="Times New Roman" w:hAnsi="Times New Roman"/>
                <w:sz w:val="24"/>
                <w:szCs w:val="24"/>
              </w:rPr>
              <w:t>Konkursinės doktorantūros ir Podoktorantūros stažuočių projektų veiksmingumo, rezultatyvumo, naudos Lietuvos mokslui, visuomenei ir tarptautiniam konkurencingumui įvertinimas ir apibendrinančių išvadų suformulavimas;</w:t>
            </w:r>
          </w:p>
          <w:p w14:paraId="23F66E96" w14:textId="77777777" w:rsidR="006A5392" w:rsidRPr="00C028B1" w:rsidRDefault="006A5392" w:rsidP="00291424">
            <w:pPr>
              <w:tabs>
                <w:tab w:val="left" w:pos="32"/>
                <w:tab w:val="left" w:pos="460"/>
              </w:tabs>
              <w:ind w:firstLine="567"/>
              <w:jc w:val="both"/>
              <w:rPr>
                <w:rFonts w:ascii="Times New Roman" w:eastAsia="Calibri" w:hAnsi="Times New Roman"/>
                <w:sz w:val="24"/>
                <w:szCs w:val="24"/>
              </w:rPr>
            </w:pPr>
          </w:p>
        </w:tc>
      </w:tr>
      <w:tr w:rsidR="006A5392" w:rsidRPr="00C028B1" w14:paraId="2C38B743" w14:textId="77777777" w:rsidTr="00291424">
        <w:trPr>
          <w:trHeight w:val="253"/>
        </w:trPr>
        <w:tc>
          <w:tcPr>
            <w:tcW w:w="816" w:type="dxa"/>
            <w:vMerge/>
          </w:tcPr>
          <w:p w14:paraId="7122672E" w14:textId="77777777" w:rsidR="006A5392" w:rsidRPr="00C028B1" w:rsidRDefault="006A5392" w:rsidP="00291424">
            <w:pPr>
              <w:tabs>
                <w:tab w:val="left" w:pos="425"/>
                <w:tab w:val="left" w:pos="709"/>
                <w:tab w:val="left" w:pos="851"/>
                <w:tab w:val="left" w:pos="993"/>
                <w:tab w:val="left" w:pos="1418"/>
                <w:tab w:val="left" w:pos="1843"/>
                <w:tab w:val="left" w:pos="2410"/>
              </w:tabs>
              <w:contextualSpacing/>
              <w:jc w:val="center"/>
              <w:rPr>
                <w:rFonts w:ascii="Times New Roman" w:hAnsi="Times New Roman"/>
                <w:sz w:val="24"/>
                <w:szCs w:val="24"/>
              </w:rPr>
            </w:pPr>
          </w:p>
        </w:tc>
        <w:tc>
          <w:tcPr>
            <w:tcW w:w="9107" w:type="dxa"/>
            <w:tcBorders>
              <w:top w:val="single" w:sz="4" w:space="0" w:color="auto"/>
              <w:left w:val="single" w:sz="4" w:space="0" w:color="auto"/>
              <w:bottom w:val="single" w:sz="4" w:space="0" w:color="auto"/>
              <w:right w:val="single" w:sz="4" w:space="0" w:color="auto"/>
            </w:tcBorders>
          </w:tcPr>
          <w:p w14:paraId="4FDD47BF" w14:textId="77777777" w:rsidR="006A5392" w:rsidRPr="00C028B1" w:rsidRDefault="006A5392" w:rsidP="00291424">
            <w:pPr>
              <w:tabs>
                <w:tab w:val="left" w:pos="32"/>
                <w:tab w:val="left" w:pos="460"/>
              </w:tabs>
              <w:ind w:firstLine="567"/>
              <w:jc w:val="both"/>
              <w:rPr>
                <w:rFonts w:ascii="Times New Roman" w:eastAsia="Calibri" w:hAnsi="Times New Roman"/>
                <w:sz w:val="24"/>
                <w:szCs w:val="24"/>
              </w:rPr>
            </w:pPr>
            <w:r w:rsidRPr="00C028B1">
              <w:rPr>
                <w:rFonts w:ascii="Times New Roman" w:eastAsia="Calibri" w:hAnsi="Times New Roman"/>
                <w:sz w:val="24"/>
                <w:szCs w:val="24"/>
              </w:rPr>
              <w:t>Paaiškinimas:</w:t>
            </w:r>
          </w:p>
          <w:p w14:paraId="771643EC" w14:textId="77777777" w:rsidR="006A5392" w:rsidRPr="00C028B1" w:rsidRDefault="006A5392" w:rsidP="00291424">
            <w:pPr>
              <w:tabs>
                <w:tab w:val="left" w:pos="32"/>
                <w:tab w:val="left" w:pos="460"/>
              </w:tabs>
              <w:ind w:firstLine="567"/>
              <w:jc w:val="both"/>
              <w:rPr>
                <w:rFonts w:ascii="Times New Roman" w:eastAsia="Calibri" w:hAnsi="Times New Roman"/>
                <w:sz w:val="24"/>
                <w:szCs w:val="24"/>
              </w:rPr>
            </w:pPr>
            <w:r w:rsidRPr="00C028B1">
              <w:rPr>
                <w:rFonts w:ascii="Times New Roman" w:eastAsia="Calibri" w:hAnsi="Times New Roman"/>
                <w:sz w:val="24"/>
                <w:szCs w:val="24"/>
              </w:rPr>
              <w:t>Įvertinus pirminiuose, antriniuose šaltiniuose pateiktą bei kitą gautą informaciją įvertinti Konkursinės doktorantūros ir Podoktorantūros stažuočių projektų efektyvumą, naudą Lietuvos mokslui, visuomenei, ekonomikai ir tarptautiniam konkurencingumui.</w:t>
            </w:r>
          </w:p>
        </w:tc>
      </w:tr>
      <w:tr w:rsidR="006A5392" w:rsidRPr="00C028B1" w14:paraId="1F3EBDCF" w14:textId="77777777" w:rsidTr="00291424">
        <w:tc>
          <w:tcPr>
            <w:tcW w:w="816" w:type="dxa"/>
            <w:vMerge/>
          </w:tcPr>
          <w:p w14:paraId="16DB4901" w14:textId="77777777" w:rsidR="006A5392" w:rsidRPr="00C028B1" w:rsidRDefault="006A5392" w:rsidP="00291424">
            <w:pPr>
              <w:tabs>
                <w:tab w:val="left" w:pos="425"/>
                <w:tab w:val="left" w:pos="709"/>
                <w:tab w:val="left" w:pos="851"/>
                <w:tab w:val="left" w:pos="993"/>
                <w:tab w:val="left" w:pos="1418"/>
                <w:tab w:val="left" w:pos="1843"/>
                <w:tab w:val="left" w:pos="2410"/>
              </w:tabs>
              <w:contextualSpacing/>
              <w:jc w:val="both"/>
              <w:rPr>
                <w:rFonts w:ascii="Times New Roman" w:hAnsi="Times New Roman"/>
                <w:sz w:val="24"/>
                <w:szCs w:val="24"/>
              </w:rPr>
            </w:pPr>
          </w:p>
        </w:tc>
        <w:tc>
          <w:tcPr>
            <w:tcW w:w="9107" w:type="dxa"/>
            <w:tcBorders>
              <w:top w:val="single" w:sz="4" w:space="0" w:color="auto"/>
              <w:left w:val="single" w:sz="4" w:space="0" w:color="auto"/>
              <w:bottom w:val="single" w:sz="4" w:space="0" w:color="auto"/>
              <w:right w:val="single" w:sz="4" w:space="0" w:color="auto"/>
            </w:tcBorders>
          </w:tcPr>
          <w:p w14:paraId="758C5FA9"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Detalizuojantys klausimai:</w:t>
            </w:r>
          </w:p>
          <w:p w14:paraId="253ECE5B"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 Kokie respondentų karjeros dinamikos skirtumai tarp tų, kurie stažavosi Lietuvoje, ir tų, kurie vykdė Podoktorantūros stažuočių projektus užsienyje?</w:t>
            </w:r>
          </w:p>
          <w:p w14:paraId="757F4B8D" w14:textId="77777777" w:rsidR="006A5392" w:rsidRPr="00C028B1" w:rsidRDefault="006A5392" w:rsidP="00291424">
            <w:pPr>
              <w:ind w:firstLine="567"/>
              <w:jc w:val="both"/>
              <w:rPr>
                <w:rFonts w:ascii="Times New Roman" w:eastAsia="Calibri" w:hAnsi="Times New Roman"/>
                <w:sz w:val="24"/>
                <w:szCs w:val="24"/>
              </w:rPr>
            </w:pPr>
            <w:r w:rsidRPr="00C028B1">
              <w:rPr>
                <w:rFonts w:ascii="Times New Roman" w:eastAsia="Calibri" w:hAnsi="Times New Roman"/>
                <w:sz w:val="24"/>
                <w:szCs w:val="24"/>
              </w:rPr>
              <w:t xml:space="preserve">2. Ar </w:t>
            </w:r>
            <w:r w:rsidRPr="00C028B1">
              <w:rPr>
                <w:rFonts w:ascii="Times New Roman" w:hAnsi="Times New Roman"/>
                <w:sz w:val="24"/>
                <w:szCs w:val="24"/>
              </w:rPr>
              <w:t>Podoktorantūros stažuočių projektų vykdymo</w:t>
            </w:r>
            <w:r w:rsidRPr="00C028B1">
              <w:rPr>
                <w:rFonts w:ascii="Times New Roman" w:eastAsia="Calibri" w:hAnsi="Times New Roman"/>
                <w:sz w:val="24"/>
                <w:szCs w:val="24"/>
              </w:rPr>
              <w:t xml:space="preserve"> užsienyje patirtis padidina stažuotojo konkurencingumą Lietuvos ir tarptautinėje akademinėje rinkoje? </w:t>
            </w:r>
          </w:p>
          <w:p w14:paraId="2F825FE7"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3. Ar Podoktorantūros stažuočių projektų vykdymas užsienyje dažnai tampa pagrindu tolimesnei akademinei ar profesinei veiklai užsienyje?</w:t>
            </w:r>
          </w:p>
          <w:p w14:paraId="37A5E82D"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4. Kiek publikacijų buvo paskelbta po dalyvavimo Konkursinės doktorantūros ir (ar) Podoktorantūros stažuočių projektuose? Kokia jų kokybė (pvz., citavimo rodikliai, prestižiniai leidiniai)?</w:t>
            </w:r>
          </w:p>
          <w:p w14:paraId="72C8D638"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lastRenderedPageBreak/>
              <w:t>5. Ar dalyvavimas Konkursinėje doktorantūroje ir (ar) Podoktorantūros stažuočių projektuose paskatino inicijuoti naujus mokslinius projektus ar tyrimų kryptis?</w:t>
            </w:r>
          </w:p>
          <w:p w14:paraId="1DCF1450"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6. Ar Konkursinė doktorantūra ir Podoktorantūros stažuočių projektai paskatino Lietuvos dalyvavimą tarptautiniuose moksliniuose tinkluose, konferencijose ar aljansuose?</w:t>
            </w:r>
          </w:p>
          <w:p w14:paraId="2C4AFF2E"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7. Kaip Podoktorantūros stažuočių projektų vykdymas užsienyje padeda integruotis į tarptautines mokslinių tyrimų grupes ar bendruomenes?</w:t>
            </w:r>
          </w:p>
          <w:p w14:paraId="542C5171"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8. Ar Konkursinė doktorantūra ir Podoktorantūros stažuočių projektai prisidėjo prie Lietuvos mokslininkų pripažinimo tarptautinėje erdvėje?</w:t>
            </w:r>
          </w:p>
          <w:p w14:paraId="433D2BB3"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9. Ar Konkursinė doktorantūra ir (ar) Podoktorantūros stažuočių projektai paskatino bendradarbiavimą su tarptautinėmis mokslininkų grupėmis ar institucijomis?</w:t>
            </w:r>
          </w:p>
          <w:p w14:paraId="1CC24F17"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10. Kiek respondentų Konkursinės doktorantūros ir (ar) Podoktorantūros stažuočių projektų metu dalyvavo tarptautinėse stažuotėse, konferencijose ar mainų programose?</w:t>
            </w:r>
          </w:p>
          <w:p w14:paraId="6560EFC2"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11. Ar Konkursinės doktorantūros ir (ar) Podoktorantūros stažuočių projektų metu kilusios iniciatyvos prisidėjo prie naujų produktų, paslaugų ar technologijų kūrimo, turinčių reikšmingą poveikį visuomenei, valstybei, ar reikšmingų socialinių inovacijų kontekste? </w:t>
            </w:r>
          </w:p>
          <w:p w14:paraId="52DACD7A"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12. Ar Konkursinė doktorantūra ir Podoktorantūros stažuočių projektai pritraukė papildomų investicijų į mokslą ar inovacijas?</w:t>
            </w:r>
          </w:p>
          <w:p w14:paraId="2F099FA8"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13. Ar vidutiniškai 70 konkurso būdu atrinktų Konkursinės doktorantūros vietų kasmet finansavimas pasiekia savo tikslą – į doktorantūrą pritraukti daugiau kvalifikuotų specialistų ir plėtoti MTEP atsižvelgiant į Lietuvos visuomenės ir ūkio poreikius?</w:t>
            </w:r>
          </w:p>
        </w:tc>
      </w:tr>
      <w:tr w:rsidR="006A5392" w:rsidRPr="00C028B1" w14:paraId="43EBF44F" w14:textId="77777777" w:rsidTr="00291424">
        <w:tc>
          <w:tcPr>
            <w:tcW w:w="816" w:type="dxa"/>
            <w:vMerge w:val="restart"/>
            <w:tcBorders>
              <w:top w:val="single" w:sz="4" w:space="0" w:color="auto"/>
              <w:left w:val="single" w:sz="4" w:space="0" w:color="auto"/>
              <w:right w:val="single" w:sz="4" w:space="0" w:color="auto"/>
            </w:tcBorders>
          </w:tcPr>
          <w:p w14:paraId="45047681" w14:textId="77777777" w:rsidR="006A5392" w:rsidRPr="00C028B1" w:rsidRDefault="006A5392" w:rsidP="00291424">
            <w:pPr>
              <w:tabs>
                <w:tab w:val="left" w:pos="425"/>
                <w:tab w:val="left" w:pos="709"/>
                <w:tab w:val="left" w:pos="851"/>
                <w:tab w:val="left" w:pos="993"/>
                <w:tab w:val="left" w:pos="1418"/>
                <w:tab w:val="left" w:pos="1843"/>
                <w:tab w:val="left" w:pos="2410"/>
              </w:tabs>
              <w:contextualSpacing/>
              <w:jc w:val="center"/>
              <w:rPr>
                <w:rFonts w:ascii="Times New Roman" w:hAnsi="Times New Roman"/>
                <w:sz w:val="24"/>
                <w:szCs w:val="24"/>
              </w:rPr>
            </w:pPr>
            <w:r w:rsidRPr="00C028B1">
              <w:rPr>
                <w:rFonts w:ascii="Times New Roman" w:hAnsi="Times New Roman"/>
                <w:sz w:val="24"/>
                <w:szCs w:val="24"/>
              </w:rPr>
              <w:lastRenderedPageBreak/>
              <w:t>2.3.5</w:t>
            </w:r>
          </w:p>
        </w:tc>
        <w:tc>
          <w:tcPr>
            <w:tcW w:w="9107" w:type="dxa"/>
            <w:tcBorders>
              <w:top w:val="single" w:sz="4" w:space="0" w:color="auto"/>
              <w:left w:val="single" w:sz="4" w:space="0" w:color="auto"/>
              <w:bottom w:val="single" w:sz="4" w:space="0" w:color="auto"/>
              <w:right w:val="single" w:sz="4" w:space="0" w:color="auto"/>
            </w:tcBorders>
          </w:tcPr>
          <w:p w14:paraId="57431791" w14:textId="77777777" w:rsidR="006A5392" w:rsidRPr="00C028B1" w:rsidRDefault="006A5392" w:rsidP="00291424">
            <w:pPr>
              <w:tabs>
                <w:tab w:val="left" w:pos="710"/>
              </w:tabs>
              <w:ind w:firstLine="567"/>
              <w:jc w:val="both"/>
              <w:rPr>
                <w:rFonts w:ascii="Times New Roman" w:hAnsi="Times New Roman"/>
                <w:sz w:val="24"/>
                <w:szCs w:val="24"/>
              </w:rPr>
            </w:pPr>
            <w:r w:rsidRPr="00C028B1">
              <w:rPr>
                <w:rFonts w:ascii="Times New Roman" w:hAnsi="Times New Roman"/>
                <w:sz w:val="24"/>
                <w:szCs w:val="24"/>
              </w:rPr>
              <w:t>Rekomendacijų dėl Konkursinės doktorantūros ir Podoktorantūros stažuočių projektų veiksmingumui, rezultatyvumui, naudai Lietuvos mokslui, visuomenei ir tarptautiniam konkurencingumui didinti parengimas</w:t>
            </w:r>
          </w:p>
        </w:tc>
      </w:tr>
      <w:tr w:rsidR="006A5392" w:rsidRPr="00C028B1" w14:paraId="4320DB02" w14:textId="77777777" w:rsidTr="00291424">
        <w:tc>
          <w:tcPr>
            <w:tcW w:w="816" w:type="dxa"/>
            <w:vMerge/>
          </w:tcPr>
          <w:p w14:paraId="4E086459" w14:textId="77777777" w:rsidR="006A5392" w:rsidRPr="00C028B1" w:rsidRDefault="006A5392" w:rsidP="00291424">
            <w:pPr>
              <w:tabs>
                <w:tab w:val="left" w:pos="851"/>
                <w:tab w:val="left" w:pos="993"/>
                <w:tab w:val="left" w:pos="1418"/>
                <w:tab w:val="left" w:pos="1843"/>
                <w:tab w:val="left" w:pos="2410"/>
              </w:tabs>
              <w:jc w:val="center"/>
              <w:rPr>
                <w:rFonts w:ascii="Times New Roman" w:hAnsi="Times New Roman"/>
                <w:sz w:val="24"/>
                <w:szCs w:val="24"/>
              </w:rPr>
            </w:pPr>
          </w:p>
        </w:tc>
        <w:tc>
          <w:tcPr>
            <w:tcW w:w="9107" w:type="dxa"/>
            <w:tcBorders>
              <w:top w:val="single" w:sz="4" w:space="0" w:color="auto"/>
              <w:left w:val="single" w:sz="4" w:space="0" w:color="auto"/>
              <w:bottom w:val="single" w:sz="4" w:space="0" w:color="auto"/>
              <w:right w:val="single" w:sz="4" w:space="0" w:color="auto"/>
            </w:tcBorders>
          </w:tcPr>
          <w:p w14:paraId="32FE8885"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Detalizuojantys klausimai:</w:t>
            </w:r>
          </w:p>
          <w:p w14:paraId="69C81627"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 Kokios yra gerosios praktikos mobilumo reikalavimų įgyvendinimo srityje Lietuvos mokslo ir studijų institucijose?</w:t>
            </w:r>
          </w:p>
          <w:p w14:paraId="3C06CD14"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2. Kokias rekomendacijas galėtų pateikti Podoktorantūros stažuočių projektų dalyviai ar institucijos, kad mobilumo reikalavimai būtų įgyvendinami efektyviau?</w:t>
            </w:r>
          </w:p>
          <w:p w14:paraId="6BF65C38"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3. Kaip būtų galima pagerinti mobilumo politiką ir jos įgyvendinimą Lietuvoje?</w:t>
            </w:r>
          </w:p>
          <w:p w14:paraId="653CB605"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4. Kokiomis sąlygomis tyrimų tematikų tęstinumas po Konkursinės doktorantūros ar Podoktorantūros projekto būtų naudingas? Kaip tai būtų galima skatinti?</w:t>
            </w:r>
          </w:p>
          <w:p w14:paraId="651FCA63"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5. Kokios priemonės galėtų padėti Podoktorantūros stažuočių projektų dalyviams lengviau pasirinkti tyrimų kryptis, atsižvelgiant į jų doktorantūros patirtį? </w:t>
            </w:r>
          </w:p>
          <w:p w14:paraId="0FA41960"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6. Ar reikėtų daugiau institucinio ar finansinio palaikymo, jei Podoktorantūros stažuočių projektų dalyviai nori keisti tyrimų kryptį?</w:t>
            </w:r>
          </w:p>
          <w:p w14:paraId="256E3073"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7. Kaip būtų galima skatinti tarpdisciplininius projektus Lietuvos mokslo ir studijų institucijose? </w:t>
            </w:r>
          </w:p>
          <w:p w14:paraId="0F456494"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8. Kokios naujos finansavimo schemos, infrastruktūros ar politikos galėtų pagerinti tarpdisciplininių projektų aplinką? </w:t>
            </w:r>
          </w:p>
          <w:p w14:paraId="7430291A"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9. Kaip būtų galima efektyviau įtraukti mažiau aktyvias mokslo ar meno kryptis į tarpdisciplininius projektus?</w:t>
            </w:r>
          </w:p>
          <w:p w14:paraId="76A5B225"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10. Kokios yra tyrėjų ir institucijų įžvalgos apie esamus sistemos trūkumus, ribojančius tyrėjų karjeros plėtrą (pvz., mentorystės nebuvimą, neapmokamą vadovų darbą, administracinę naštą)? </w:t>
            </w:r>
          </w:p>
          <w:p w14:paraId="4DB01E44"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11. Kokias gerąsias praktikas iš kitų šalių būtų galima pritaikyti Lietuvoje?</w:t>
            </w:r>
          </w:p>
          <w:p w14:paraId="7885F509"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12. Kaip galėtų būti tobulinama sistema, siekiant užtikrinti efektyvesnį Konkursinės doktorantūros ir Podoktorantūros stažuočių projektų poveikį tyrėjų karjerai?</w:t>
            </w:r>
          </w:p>
          <w:p w14:paraId="46164E69"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13. Kaip skatinti užsienio doktorantų pritraukimą į Lietuvos mokslo ir studijų institucijas?</w:t>
            </w:r>
          </w:p>
          <w:p w14:paraId="60CADA99"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lastRenderedPageBreak/>
              <w:t>14. Kaip Konkursinės doktorantūros ir Podoktorantūros stažuočių projektai galėtų prisidėti prie didesnio poveikio Lietuvos ūkiui ir visuomenei? Kokios kliūtys šiam poveikiui didėti ir kokios būtų tikslingos priemonės šiam poveikiui sustiprinti?</w:t>
            </w:r>
          </w:p>
          <w:p w14:paraId="61311238"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15. Koks laikotarpis būtų optimalus LMT sprendimui dėl konkurso rezultatų?</w:t>
            </w:r>
          </w:p>
          <w:p w14:paraId="3294EB1A"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 xml:space="preserve">16. Kaip turėtų būti nustatoma, kiek Konkursinės doktorantūros vietų skirti vienai ar kitai mokslo sričiai? </w:t>
            </w:r>
          </w:p>
          <w:p w14:paraId="160C087C" w14:textId="77777777" w:rsidR="006A5392" w:rsidRPr="00C028B1" w:rsidRDefault="006A5392" w:rsidP="00291424">
            <w:pPr>
              <w:ind w:firstLine="567"/>
              <w:jc w:val="both"/>
              <w:rPr>
                <w:rFonts w:ascii="Times New Roman" w:hAnsi="Times New Roman"/>
                <w:sz w:val="24"/>
                <w:szCs w:val="24"/>
              </w:rPr>
            </w:pPr>
            <w:r w:rsidRPr="00C028B1">
              <w:rPr>
                <w:rFonts w:ascii="Times New Roman" w:hAnsi="Times New Roman"/>
                <w:sz w:val="24"/>
                <w:szCs w:val="24"/>
              </w:rPr>
              <w:t>17. Ar yra kitų aspektų, kuriuos, Jūsų manymu, reikėtų keisti ar tobulinti, kad priemonės būtų veiksmingesnės ir geriau atlieptų tyrėjų bei institucijų poreikius? (Pvz., vadovų darbo įvertinimas, administracinė našta, ilgalaikės karjeros galimybės ir kt.)</w:t>
            </w:r>
          </w:p>
          <w:p w14:paraId="66AE2DD3" w14:textId="77777777" w:rsidR="006A5392" w:rsidRPr="00C028B1" w:rsidRDefault="006A5392" w:rsidP="00291424">
            <w:pPr>
              <w:ind w:firstLine="567"/>
              <w:jc w:val="both"/>
              <w:rPr>
                <w:rFonts w:ascii="Times New Roman" w:hAnsi="Times New Roman"/>
                <w:sz w:val="24"/>
                <w:szCs w:val="24"/>
              </w:rPr>
            </w:pPr>
          </w:p>
        </w:tc>
      </w:tr>
    </w:tbl>
    <w:p w14:paraId="5E7EB005" w14:textId="77777777" w:rsidR="006A5392" w:rsidRPr="00C028B1" w:rsidRDefault="006A5392" w:rsidP="006A5392">
      <w:pPr>
        <w:tabs>
          <w:tab w:val="left" w:pos="851"/>
          <w:tab w:val="left" w:pos="993"/>
          <w:tab w:val="left" w:pos="1418"/>
          <w:tab w:val="left" w:pos="1843"/>
          <w:tab w:val="left" w:pos="2410"/>
        </w:tabs>
        <w:ind w:firstLine="567"/>
        <w:rPr>
          <w:rFonts w:ascii="Times New Roman" w:hAnsi="Times New Roman"/>
          <w:b/>
          <w:sz w:val="24"/>
          <w:szCs w:val="24"/>
        </w:rPr>
      </w:pPr>
    </w:p>
    <w:p w14:paraId="3D3396EB" w14:textId="77777777" w:rsidR="006A5392" w:rsidRPr="00C028B1" w:rsidRDefault="006A5392" w:rsidP="006A5392">
      <w:pPr>
        <w:pStyle w:val="ListParagraph"/>
        <w:numPr>
          <w:ilvl w:val="0"/>
          <w:numId w:val="2"/>
        </w:numPr>
        <w:tabs>
          <w:tab w:val="left" w:pos="425"/>
          <w:tab w:val="left" w:pos="851"/>
          <w:tab w:val="left" w:pos="993"/>
          <w:tab w:val="left" w:pos="1418"/>
          <w:tab w:val="left" w:pos="1843"/>
          <w:tab w:val="left" w:pos="2410"/>
        </w:tabs>
        <w:spacing w:after="200"/>
        <w:jc w:val="center"/>
        <w:rPr>
          <w:rFonts w:ascii="Times New Roman" w:hAnsi="Times New Roman"/>
          <w:b/>
          <w:sz w:val="24"/>
          <w:szCs w:val="24"/>
        </w:rPr>
      </w:pPr>
      <w:r w:rsidRPr="00C028B1">
        <w:rPr>
          <w:rFonts w:ascii="Times New Roman" w:hAnsi="Times New Roman"/>
          <w:b/>
          <w:sz w:val="24"/>
          <w:szCs w:val="24"/>
        </w:rPr>
        <w:t>PASLAUGŲ TEIKIMO TERMINAS IR PAGRINDINĖS SĄLYGOS</w:t>
      </w:r>
    </w:p>
    <w:p w14:paraId="7F318CCF" w14:textId="77777777" w:rsidR="006A5392" w:rsidRPr="00C028B1" w:rsidRDefault="006A5392" w:rsidP="006A5392">
      <w:pPr>
        <w:pStyle w:val="ListParagraph"/>
        <w:tabs>
          <w:tab w:val="left" w:pos="425"/>
          <w:tab w:val="left" w:pos="851"/>
          <w:tab w:val="left" w:pos="993"/>
          <w:tab w:val="left" w:pos="1418"/>
          <w:tab w:val="left" w:pos="1843"/>
          <w:tab w:val="left" w:pos="2410"/>
        </w:tabs>
        <w:ind w:left="360"/>
        <w:rPr>
          <w:rFonts w:ascii="Times New Roman" w:hAnsi="Times New Roman"/>
          <w:b/>
          <w:sz w:val="24"/>
          <w:szCs w:val="24"/>
        </w:rPr>
      </w:pPr>
    </w:p>
    <w:p w14:paraId="2AF3E06E" w14:textId="77777777" w:rsidR="006A5392" w:rsidRPr="00C028B1" w:rsidRDefault="006A5392" w:rsidP="006A5392">
      <w:pPr>
        <w:pStyle w:val="ListParagraph"/>
        <w:numPr>
          <w:ilvl w:val="1"/>
          <w:numId w:val="2"/>
        </w:numPr>
        <w:tabs>
          <w:tab w:val="left" w:pos="851"/>
          <w:tab w:val="left" w:pos="993"/>
          <w:tab w:val="left" w:pos="1134"/>
          <w:tab w:val="left" w:pos="1843"/>
          <w:tab w:val="left" w:pos="2410"/>
        </w:tabs>
        <w:ind w:left="0" w:firstLine="567"/>
        <w:jc w:val="both"/>
        <w:rPr>
          <w:rFonts w:ascii="Times New Roman" w:hAnsi="Times New Roman"/>
          <w:sz w:val="24"/>
          <w:szCs w:val="24"/>
        </w:rPr>
      </w:pPr>
      <w:r w:rsidRPr="00C028B1">
        <w:rPr>
          <w:rFonts w:ascii="Times New Roman" w:hAnsi="Times New Roman"/>
          <w:sz w:val="24"/>
          <w:szCs w:val="24"/>
        </w:rPr>
        <w:t>Paslaugos turi būti suteiktos ne vėliau nei per 6 (šešis) mėnesius nuo Sutarties įsigaliojimo dienos:</w:t>
      </w:r>
    </w:p>
    <w:p w14:paraId="68F59FEB" w14:textId="77777777" w:rsidR="006A5392" w:rsidRPr="00C028B1" w:rsidRDefault="006A5392" w:rsidP="006A5392">
      <w:pPr>
        <w:numPr>
          <w:ilvl w:val="2"/>
          <w:numId w:val="2"/>
        </w:numPr>
        <w:tabs>
          <w:tab w:val="left" w:pos="709"/>
          <w:tab w:val="left" w:pos="851"/>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hAnsi="Times New Roman"/>
          <w:sz w:val="24"/>
          <w:szCs w:val="24"/>
          <w:lang w:eastAsia="lt-LT"/>
        </w:rPr>
        <w:t>Tarpinė ataskaita turi būti parengta ir pateikta LMT ne vėliau kaip po 4 mėnesių nuo sutarties dėl Paslaugų teikimo pasirašymo dienos</w:t>
      </w:r>
      <w:r w:rsidRPr="00C028B1">
        <w:rPr>
          <w:rFonts w:ascii="Times New Roman" w:eastAsia="Calibri" w:hAnsi="Times New Roman"/>
          <w:sz w:val="24"/>
          <w:szCs w:val="24"/>
        </w:rPr>
        <w:t>;</w:t>
      </w:r>
    </w:p>
    <w:p w14:paraId="3204F0E9" w14:textId="77777777" w:rsidR="006A5392" w:rsidRPr="00C028B1" w:rsidRDefault="006A5392" w:rsidP="006A5392">
      <w:pPr>
        <w:numPr>
          <w:ilvl w:val="2"/>
          <w:numId w:val="2"/>
        </w:numPr>
        <w:tabs>
          <w:tab w:val="left" w:pos="709"/>
          <w:tab w:val="left" w:pos="851"/>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hAnsi="Times New Roman"/>
          <w:sz w:val="24"/>
          <w:szCs w:val="24"/>
          <w:lang w:eastAsia="lt-LT"/>
        </w:rPr>
        <w:t xml:space="preserve">Galutinė ataskaita turi būti parengta ir pateikta LMT ne vėliau kaip likus 1 mėnesiui iki 3.1 papunktyje nurodyto termino pabaigos; </w:t>
      </w:r>
    </w:p>
    <w:p w14:paraId="029ADBC3" w14:textId="77777777" w:rsidR="006A5392" w:rsidRPr="00C028B1" w:rsidRDefault="006A5392" w:rsidP="006A5392">
      <w:pPr>
        <w:numPr>
          <w:ilvl w:val="2"/>
          <w:numId w:val="2"/>
        </w:numPr>
        <w:tabs>
          <w:tab w:val="left" w:pos="709"/>
          <w:tab w:val="left" w:pos="851"/>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hAnsi="Times New Roman"/>
          <w:sz w:val="24"/>
          <w:szCs w:val="24"/>
          <w:lang w:eastAsia="lt-LT"/>
        </w:rPr>
        <w:t>Rekomendacijos – projektas (galutinis) parengiamas ir teikiamas pritarimui ne vėliau kaip 1 (vienas) mėn. iki 3.1 papunktyje nurodyto termino pabaigos kartu su Galutine ataskaita.</w:t>
      </w:r>
    </w:p>
    <w:p w14:paraId="09ED7566" w14:textId="77777777" w:rsidR="006A5392" w:rsidRPr="00C028B1" w:rsidRDefault="006A5392" w:rsidP="006A5392">
      <w:pPr>
        <w:numPr>
          <w:ilvl w:val="1"/>
          <w:numId w:val="2"/>
        </w:numPr>
        <w:tabs>
          <w:tab w:val="left" w:pos="851"/>
          <w:tab w:val="left" w:pos="993"/>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P</w:t>
      </w:r>
      <w:r w:rsidRPr="00C028B1">
        <w:rPr>
          <w:rFonts w:ascii="Times New Roman" w:hAnsi="Times New Roman"/>
          <w:sz w:val="24"/>
          <w:szCs w:val="24"/>
        </w:rPr>
        <w:t>aslaugų teikimo terminas gali būti pratęstas rašytiniu šalių susitarimu ne ilgesniam nei 1 (vieno) mėnesio terminui kiekvienu atveju, bet iš viso ne ilgiau nei 3 (trims) mėnesiams, esant šioms aplinkybėms, kai:</w:t>
      </w:r>
    </w:p>
    <w:p w14:paraId="75BD8E50" w14:textId="77777777" w:rsidR="006A5392" w:rsidRPr="00C028B1" w:rsidRDefault="006A5392" w:rsidP="006A5392">
      <w:pPr>
        <w:numPr>
          <w:ilvl w:val="2"/>
          <w:numId w:val="2"/>
        </w:numPr>
        <w:tabs>
          <w:tab w:val="left" w:pos="709"/>
          <w:tab w:val="left" w:pos="851"/>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 xml:space="preserve"> LMT Paslaugų teikėjui pateikia papildomus nurodymus ir (ar) pastabas, kurios turi įtakos paslaugų teikimo terminui; </w:t>
      </w:r>
    </w:p>
    <w:p w14:paraId="0409961B" w14:textId="77777777" w:rsidR="006A5392" w:rsidRPr="00C028B1" w:rsidRDefault="006A5392" w:rsidP="006A5392">
      <w:pPr>
        <w:numPr>
          <w:ilvl w:val="2"/>
          <w:numId w:val="2"/>
        </w:numPr>
        <w:tabs>
          <w:tab w:val="left" w:pos="709"/>
          <w:tab w:val="left" w:pos="851"/>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 xml:space="preserve"> uždelsimas, kliūtys ar trukdymai įvyksta dėl LMT kaltės;</w:t>
      </w:r>
    </w:p>
    <w:p w14:paraId="7ED04885" w14:textId="77777777" w:rsidR="006A5392" w:rsidRPr="00C028B1" w:rsidRDefault="006A5392" w:rsidP="006A5392">
      <w:pPr>
        <w:numPr>
          <w:ilvl w:val="2"/>
          <w:numId w:val="2"/>
        </w:numPr>
        <w:tabs>
          <w:tab w:val="left" w:pos="709"/>
          <w:tab w:val="left" w:pos="851"/>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 xml:space="preserve"> uždelsimas, kliūtys ar trukdymai įvyksta dėl trečiųjų asmenų kaltės, o ne dėl Paslaugų teikėjo netinkamai pagal sutarties dėl Paslaugų teikimo sąlygas teikiamų Paslaugų.</w:t>
      </w:r>
    </w:p>
    <w:p w14:paraId="177B17CC" w14:textId="77777777" w:rsidR="006A5392" w:rsidRPr="00C028B1" w:rsidRDefault="006A5392" w:rsidP="006A5392">
      <w:pPr>
        <w:numPr>
          <w:ilvl w:val="1"/>
          <w:numId w:val="2"/>
        </w:numPr>
        <w:tabs>
          <w:tab w:val="left" w:pos="851"/>
          <w:tab w:val="left" w:pos="993"/>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Esant šios techninės specifikacijos 3.2 p. nurodytoms aplinkybėms, teikėjas turi kreiptis į LMT raštu ne vėliau kaip per 10 (dešimt) kalendorinių dienų nuo šių aplinkybių fakto paaiškėjimo ir pateikti duomenis apie aplinkybes, lemiančias Paslaugų teikimo termino pratęsimą. LMT pripažinus Paslaugų teikėjo nurodytas aplinkybes objektyviai pateisinamomis, nepriklausančiomis nuo Paslaugų teikėjo neveiklumo, Paslaugų teikimo termino pratęsimas įforminamas šalių susitarimu.</w:t>
      </w:r>
    </w:p>
    <w:p w14:paraId="684C9BCA" w14:textId="77777777" w:rsidR="006A5392" w:rsidRPr="00C028B1" w:rsidRDefault="006A5392" w:rsidP="006A5392">
      <w:pPr>
        <w:numPr>
          <w:ilvl w:val="1"/>
          <w:numId w:val="2"/>
        </w:numPr>
        <w:tabs>
          <w:tab w:val="left" w:pos="851"/>
          <w:tab w:val="left" w:pos="993"/>
          <w:tab w:val="left" w:pos="1134"/>
          <w:tab w:val="left" w:pos="1843"/>
          <w:tab w:val="left" w:pos="2410"/>
        </w:tabs>
        <w:ind w:left="0" w:firstLine="567"/>
        <w:contextualSpacing/>
        <w:jc w:val="both"/>
        <w:rPr>
          <w:rFonts w:ascii="Times New Roman" w:eastAsia="Calibri" w:hAnsi="Times New Roman"/>
          <w:sz w:val="24"/>
          <w:szCs w:val="24"/>
        </w:rPr>
      </w:pPr>
      <w:r w:rsidRPr="00C028B1">
        <w:rPr>
          <w:rFonts w:ascii="Times New Roman" w:eastAsia="Calibri" w:hAnsi="Times New Roman"/>
          <w:sz w:val="24"/>
          <w:szCs w:val="24"/>
        </w:rPr>
        <w:t xml:space="preserve">Kitos Paslaugų teikimo sąlygos gali būti numatytos sutartyje dėl Paslaugų teikimo. </w:t>
      </w:r>
    </w:p>
    <w:p w14:paraId="5E017470" w14:textId="77777777" w:rsidR="006A5392" w:rsidRPr="00C028B1" w:rsidRDefault="006A5392" w:rsidP="006A5392">
      <w:pPr>
        <w:tabs>
          <w:tab w:val="left" w:pos="567"/>
          <w:tab w:val="left" w:pos="851"/>
          <w:tab w:val="left" w:pos="993"/>
          <w:tab w:val="left" w:pos="1276"/>
          <w:tab w:val="left" w:pos="1418"/>
          <w:tab w:val="left" w:pos="1843"/>
          <w:tab w:val="left" w:pos="2410"/>
        </w:tabs>
        <w:ind w:firstLine="567"/>
        <w:jc w:val="both"/>
        <w:rPr>
          <w:rFonts w:ascii="Times New Roman" w:hAnsi="Times New Roman"/>
          <w:sz w:val="24"/>
          <w:szCs w:val="24"/>
        </w:rPr>
      </w:pPr>
    </w:p>
    <w:p w14:paraId="78DCE7A4" w14:textId="77777777" w:rsidR="006A5392" w:rsidRPr="00C028B1" w:rsidRDefault="006A5392" w:rsidP="006A5392">
      <w:pPr>
        <w:numPr>
          <w:ilvl w:val="0"/>
          <w:numId w:val="2"/>
        </w:numPr>
        <w:tabs>
          <w:tab w:val="left" w:pos="851"/>
          <w:tab w:val="left" w:pos="993"/>
          <w:tab w:val="left" w:pos="1418"/>
          <w:tab w:val="left" w:pos="1843"/>
          <w:tab w:val="left" w:pos="2410"/>
        </w:tabs>
        <w:suppressAutoHyphens/>
        <w:ind w:left="0" w:firstLine="567"/>
        <w:jc w:val="center"/>
        <w:rPr>
          <w:rFonts w:ascii="Times New Roman" w:hAnsi="Times New Roman"/>
          <w:b/>
          <w:sz w:val="24"/>
          <w:szCs w:val="24"/>
        </w:rPr>
      </w:pPr>
      <w:r w:rsidRPr="00C028B1">
        <w:rPr>
          <w:rFonts w:ascii="Times New Roman" w:hAnsi="Times New Roman"/>
          <w:b/>
          <w:sz w:val="24"/>
          <w:szCs w:val="24"/>
        </w:rPr>
        <w:t>LAUKIAMI REZULTATAI IR SUTARTIES VYKDYMO EIGA</w:t>
      </w:r>
    </w:p>
    <w:p w14:paraId="4DAF818D" w14:textId="77777777" w:rsidR="006A5392" w:rsidRPr="00C028B1" w:rsidRDefault="006A5392" w:rsidP="006A5392">
      <w:pPr>
        <w:tabs>
          <w:tab w:val="left" w:pos="851"/>
          <w:tab w:val="left" w:pos="993"/>
          <w:tab w:val="left" w:pos="1418"/>
          <w:tab w:val="left" w:pos="1843"/>
          <w:tab w:val="left" w:pos="2410"/>
        </w:tabs>
        <w:ind w:left="567"/>
        <w:rPr>
          <w:rFonts w:ascii="Times New Roman" w:hAnsi="Times New Roman"/>
          <w:b/>
          <w:sz w:val="24"/>
          <w:szCs w:val="24"/>
        </w:rPr>
      </w:pPr>
    </w:p>
    <w:p w14:paraId="6109EB8B" w14:textId="77777777" w:rsidR="006A5392" w:rsidRPr="00C028B1" w:rsidRDefault="006A5392" w:rsidP="006A5392">
      <w:pPr>
        <w:pStyle w:val="ListParagraph"/>
        <w:numPr>
          <w:ilvl w:val="1"/>
          <w:numId w:val="1"/>
        </w:numPr>
        <w:tabs>
          <w:tab w:val="left" w:pos="0"/>
          <w:tab w:val="left" w:pos="851"/>
          <w:tab w:val="left" w:pos="993"/>
          <w:tab w:val="left" w:pos="1276"/>
          <w:tab w:val="left" w:pos="1418"/>
          <w:tab w:val="left" w:pos="1843"/>
          <w:tab w:val="left" w:pos="2410"/>
        </w:tabs>
        <w:ind w:left="0" w:firstLine="567"/>
        <w:jc w:val="both"/>
        <w:rPr>
          <w:rFonts w:ascii="Times New Roman" w:hAnsi="Times New Roman"/>
          <w:sz w:val="24"/>
          <w:szCs w:val="24"/>
        </w:rPr>
      </w:pPr>
      <w:r w:rsidRPr="00C028B1">
        <w:rPr>
          <w:rFonts w:ascii="Times New Roman" w:hAnsi="Times New Roman"/>
          <w:b/>
          <w:sz w:val="24"/>
          <w:szCs w:val="24"/>
        </w:rPr>
        <w:t>Galutinis rezultatas</w:t>
      </w:r>
      <w:r w:rsidRPr="00C028B1">
        <w:rPr>
          <w:rFonts w:ascii="Times New Roman" w:hAnsi="Times New Roman"/>
          <w:sz w:val="24"/>
          <w:szCs w:val="24"/>
        </w:rPr>
        <w:t xml:space="preserve"> </w:t>
      </w:r>
      <w:r w:rsidRPr="00C028B1">
        <w:rPr>
          <w:rFonts w:ascii="Times New Roman" w:hAnsi="Times New Roman"/>
          <w:b/>
          <w:bCs/>
          <w:sz w:val="24"/>
          <w:szCs w:val="24"/>
        </w:rPr>
        <w:t xml:space="preserve">– </w:t>
      </w:r>
      <w:r w:rsidRPr="00C028B1">
        <w:rPr>
          <w:rFonts w:ascii="Times New Roman" w:hAnsi="Times New Roman"/>
          <w:sz w:val="24"/>
          <w:szCs w:val="24"/>
          <w:lang w:eastAsia="lt-LT"/>
        </w:rPr>
        <w:t xml:space="preserve">parengta ir LMT elektroniniu paštu </w:t>
      </w:r>
      <w:hyperlink r:id="rId16" w:tgtFrame="_blank" w:history="1">
        <w:r w:rsidRPr="00C028B1">
          <w:rPr>
            <w:rStyle w:val="Hyperlink"/>
            <w:rFonts w:ascii="Times New Roman" w:eastAsiaTheme="majorEastAsia" w:hAnsi="Times New Roman"/>
            <w:sz w:val="24"/>
            <w:szCs w:val="24"/>
            <w:lang w:eastAsia="lt-LT"/>
          </w:rPr>
          <w:t>info@lmt.lt</w:t>
        </w:r>
      </w:hyperlink>
      <w:r w:rsidRPr="00C028B1">
        <w:rPr>
          <w:rFonts w:ascii="Times New Roman" w:hAnsi="Times New Roman"/>
          <w:sz w:val="24"/>
          <w:szCs w:val="24"/>
          <w:lang w:eastAsia="lt-LT"/>
        </w:rPr>
        <w:t xml:space="preserve"> ir </w:t>
      </w:r>
      <w:r w:rsidRPr="00C028B1">
        <w:rPr>
          <w:rFonts w:ascii="Times New Roman" w:hAnsi="Times New Roman"/>
          <w:sz w:val="24"/>
          <w:szCs w:val="24"/>
        </w:rPr>
        <w:t xml:space="preserve">elektronine forma USB laikmenose („MS Word“ ir „PDF“ formatais), 2 vnt. </w:t>
      </w:r>
      <w:r w:rsidRPr="00C028B1">
        <w:rPr>
          <w:rFonts w:ascii="Times New Roman" w:hAnsi="Times New Roman"/>
          <w:sz w:val="24"/>
          <w:szCs w:val="24"/>
          <w:lang w:eastAsia="lt-LT"/>
        </w:rPr>
        <w:t xml:space="preserve">pateikta </w:t>
      </w:r>
      <w:r w:rsidRPr="00C028B1">
        <w:rPr>
          <w:rFonts w:ascii="Times New Roman" w:hAnsi="Times New Roman"/>
          <w:sz w:val="24"/>
          <w:szCs w:val="24"/>
        </w:rPr>
        <w:t xml:space="preserve">Paramos valstybės finansuojamoms doktorantūros vietoms, skirstomoms konkurso būdu (konkursinės doktorantūros), ir Podoktorantūros stažuočių projekto Galutinė priemonių įgyvendinimo vertinimo </w:t>
      </w:r>
      <w:r w:rsidRPr="00C028B1">
        <w:rPr>
          <w:rFonts w:ascii="Times New Roman" w:hAnsi="Times New Roman"/>
          <w:sz w:val="24"/>
          <w:szCs w:val="24"/>
          <w:lang w:eastAsia="lt-LT"/>
        </w:rPr>
        <w:t>ataskaita, kuri apima visą informaciją apie nuo sutarties pasirašymo pradžios atliktus darbus, jų santrauką bei suformuluotas pagrįstas rekomendacijas, kurios orientuotos į finansavimo priemonių veiksmingumo, rezultatyvumo, bei naudos Lietuvos mokslui, visuomenei bei tarptautiniam konkurencingumui didinimą:</w:t>
      </w:r>
    </w:p>
    <w:p w14:paraId="549E0DDC" w14:textId="77777777" w:rsidR="006A5392" w:rsidRPr="00C028B1" w:rsidRDefault="006A5392" w:rsidP="006A5392">
      <w:pPr>
        <w:pStyle w:val="ListParagraph"/>
        <w:tabs>
          <w:tab w:val="left" w:pos="0"/>
          <w:tab w:val="left" w:pos="851"/>
          <w:tab w:val="left" w:pos="993"/>
          <w:tab w:val="left" w:pos="1276"/>
          <w:tab w:val="left" w:pos="1418"/>
          <w:tab w:val="left" w:pos="1843"/>
          <w:tab w:val="left" w:pos="2410"/>
        </w:tabs>
        <w:ind w:left="0" w:firstLine="567"/>
        <w:jc w:val="both"/>
        <w:rPr>
          <w:rFonts w:ascii="Times New Roman" w:hAnsi="Times New Roman"/>
          <w:sz w:val="24"/>
          <w:szCs w:val="24"/>
        </w:rPr>
      </w:pPr>
      <w:r w:rsidRPr="00C028B1">
        <w:rPr>
          <w:rFonts w:ascii="Times New Roman" w:hAnsi="Times New Roman"/>
          <w:sz w:val="24"/>
          <w:szCs w:val="24"/>
        </w:rPr>
        <w:t xml:space="preserve">4.1.1. Galutinė vertinimo ataskaita (ne trumpesnė nei 20 psl.) turi būti pateikta lietuvių kalba, atsiųsta LMT elektroniniu paštu </w:t>
      </w:r>
      <w:hyperlink r:id="rId17" w:history="1">
        <w:r w:rsidRPr="00C028B1">
          <w:rPr>
            <w:rStyle w:val="Hyperlink"/>
            <w:rFonts w:ascii="Times New Roman" w:eastAsiaTheme="majorEastAsia" w:hAnsi="Times New Roman"/>
            <w:sz w:val="24"/>
            <w:szCs w:val="24"/>
          </w:rPr>
          <w:t>info@lmt.lt</w:t>
        </w:r>
      </w:hyperlink>
      <w:r w:rsidRPr="00C028B1">
        <w:rPr>
          <w:rFonts w:ascii="Times New Roman" w:hAnsi="Times New Roman"/>
          <w:sz w:val="24"/>
          <w:szCs w:val="24"/>
        </w:rPr>
        <w:t xml:space="preserve"> ir pateikiama elektronine forma USB laikmenose („MS Word“ ir „PDF“ formatais), 2 vnt. Galutinėje vertinimo ataskaitoje turi būti pateikti galutiniai vertinimo duomenys, atliktos visos veiklos, išnagrinėti numatyti uždaviniai, pateikta nagrinėjamų </w:t>
      </w:r>
      <w:r w:rsidRPr="00C028B1">
        <w:rPr>
          <w:rFonts w:ascii="Times New Roman" w:hAnsi="Times New Roman"/>
          <w:sz w:val="24"/>
          <w:szCs w:val="24"/>
        </w:rPr>
        <w:lastRenderedPageBreak/>
        <w:t xml:space="preserve">klausimų analizė. Faktai, kuriais vadovaujantis daromos išvados ir teikiamos rekomendacijos turi būti aiškūs ir identifikuojami vertinimo ataskaitos tekste. </w:t>
      </w:r>
    </w:p>
    <w:p w14:paraId="4E868D02" w14:textId="77777777" w:rsidR="006A5392" w:rsidRPr="00C028B1" w:rsidRDefault="006A5392" w:rsidP="006A5392">
      <w:pPr>
        <w:tabs>
          <w:tab w:val="left" w:pos="0"/>
          <w:tab w:val="left" w:pos="567"/>
          <w:tab w:val="left" w:pos="993"/>
          <w:tab w:val="left" w:pos="1134"/>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4.1.2. Galutinės vertinimo ataskaitos santrauka turi būti pateikta lietuvių ir anglų kalbomis, atsiųsta LMT elektroniniu paštu </w:t>
      </w:r>
      <w:hyperlink r:id="rId18" w:history="1">
        <w:r w:rsidRPr="00C028B1">
          <w:rPr>
            <w:rStyle w:val="Hyperlink"/>
            <w:rFonts w:ascii="Times New Roman" w:eastAsiaTheme="majorEastAsia" w:hAnsi="Times New Roman"/>
            <w:sz w:val="24"/>
            <w:szCs w:val="24"/>
          </w:rPr>
          <w:t>info@lmt.lt</w:t>
        </w:r>
      </w:hyperlink>
      <w:r w:rsidRPr="00C028B1">
        <w:rPr>
          <w:rFonts w:ascii="Times New Roman" w:hAnsi="Times New Roman"/>
          <w:sz w:val="24"/>
          <w:szCs w:val="24"/>
        </w:rPr>
        <w:t xml:space="preserve"> ir pateikiama elektronine forma USB laikmenose („word“ ir „pdf“ formatais) kartu su Galutine vertinimo ataskaita. Galutinės vertinimo ataskaitos santrauka turi būti pateikta ir prezentacijos forma, kuri turi būti struktūruota ir parengta naudojant grafinį dizainą; ataskaitos pristatymo apimtis – iki 20 skaidrių („MS PowerPoint“ formatu). Galutinės vertinimo ataskaitos santrauka turi apimti priemonių įgyvendinimo  vertinimo tikslą, uždavinius, trumpą aprašymą, esmines išvadas, svarbiausias rekomendacijas, bei vertinimo naudos pagrindimą.</w:t>
      </w:r>
    </w:p>
    <w:p w14:paraId="1ADC68A2" w14:textId="77777777" w:rsidR="006A5392" w:rsidRPr="00C028B1" w:rsidRDefault="006A5392" w:rsidP="006A5392">
      <w:pPr>
        <w:tabs>
          <w:tab w:val="left" w:pos="0"/>
          <w:tab w:val="left" w:pos="567"/>
          <w:tab w:val="left" w:pos="993"/>
          <w:tab w:val="left" w:pos="1134"/>
          <w:tab w:val="left" w:pos="1418"/>
          <w:tab w:val="left" w:pos="1843"/>
          <w:tab w:val="left" w:pos="2410"/>
        </w:tabs>
        <w:ind w:firstLine="567"/>
        <w:jc w:val="both"/>
        <w:rPr>
          <w:rFonts w:ascii="Times New Roman" w:hAnsi="Times New Roman"/>
          <w:sz w:val="24"/>
          <w:szCs w:val="24"/>
        </w:rPr>
      </w:pPr>
      <w:r w:rsidRPr="00C028B1">
        <w:rPr>
          <w:rFonts w:ascii="Times New Roman" w:hAnsi="Times New Roman"/>
          <w:sz w:val="24"/>
          <w:szCs w:val="24"/>
        </w:rPr>
        <w:t xml:space="preserve">4.1.3. Rekomendacijos turi būti pateiktos lietuvių kalba, atsiųstos LMT elektroniniu paštu </w:t>
      </w:r>
      <w:hyperlink r:id="rId19" w:history="1">
        <w:r w:rsidRPr="00C028B1">
          <w:rPr>
            <w:rStyle w:val="Hyperlink"/>
            <w:rFonts w:ascii="Times New Roman" w:eastAsiaTheme="majorEastAsia" w:hAnsi="Times New Roman"/>
            <w:sz w:val="24"/>
            <w:szCs w:val="24"/>
          </w:rPr>
          <w:t>info@lmt.lt</w:t>
        </w:r>
      </w:hyperlink>
      <w:r w:rsidRPr="00C028B1">
        <w:rPr>
          <w:rFonts w:ascii="Times New Roman" w:hAnsi="Times New Roman"/>
          <w:sz w:val="24"/>
          <w:szCs w:val="24"/>
        </w:rPr>
        <w:t xml:space="preserve"> ir elektronine forma USB laikmenose („MS Word“ ir „PDF“ formatais) kartu su Galutine vertinimo ataskaita ir Galutinės vertinimo ataskaitos santrauka. </w:t>
      </w:r>
      <w:r w:rsidRPr="00C028B1">
        <w:rPr>
          <w:rFonts w:ascii="Times New Roman" w:hAnsi="Times New Roman"/>
          <w:sz w:val="24"/>
          <w:szCs w:val="24"/>
          <w:lang w:eastAsia="lt-LT"/>
        </w:rPr>
        <w:t>Suformuluotos argumentuotos rekomendacijos turi būti orientuotos į finansavimo priemonių (Konkursinės doktorantūros ir Podoktorantūros stažuočių projektų) efektyvumo, naudos Lietuvos mokslui, tarptautiniam konkurencingumui  mokslo srityje bei ekonomikai didinimą.</w:t>
      </w:r>
    </w:p>
    <w:p w14:paraId="14A6DFB4" w14:textId="77777777" w:rsidR="006A5392" w:rsidRPr="00C028B1" w:rsidRDefault="006A5392" w:rsidP="006A5392">
      <w:pPr>
        <w:pStyle w:val="ListParagraph"/>
        <w:numPr>
          <w:ilvl w:val="1"/>
          <w:numId w:val="1"/>
        </w:numPr>
        <w:tabs>
          <w:tab w:val="left" w:pos="0"/>
          <w:tab w:val="left" w:pos="851"/>
          <w:tab w:val="left" w:pos="993"/>
          <w:tab w:val="left" w:pos="1276"/>
          <w:tab w:val="left" w:pos="1418"/>
          <w:tab w:val="left" w:pos="1843"/>
          <w:tab w:val="left" w:pos="2410"/>
        </w:tabs>
        <w:ind w:left="0" w:firstLine="567"/>
        <w:jc w:val="both"/>
        <w:rPr>
          <w:rFonts w:ascii="Times New Roman" w:hAnsi="Times New Roman"/>
          <w:sz w:val="24"/>
          <w:szCs w:val="24"/>
        </w:rPr>
      </w:pPr>
      <w:r w:rsidRPr="00C028B1">
        <w:rPr>
          <w:rFonts w:ascii="Times New Roman" w:hAnsi="Times New Roman"/>
          <w:sz w:val="24"/>
          <w:szCs w:val="24"/>
        </w:rPr>
        <w:t xml:space="preserve">Teikiant paslaugas turi būti suteikti tokie Paslaugų rezultatai: </w:t>
      </w:r>
    </w:p>
    <w:p w14:paraId="60E0AF7D" w14:textId="77777777" w:rsidR="006A5392" w:rsidRPr="00C028B1" w:rsidRDefault="006A5392" w:rsidP="006A5392">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bCs/>
          <w:sz w:val="24"/>
          <w:szCs w:val="24"/>
        </w:rPr>
        <w:t xml:space="preserve">4.2.1. Tarpinė vertinimo ataskaita, </w:t>
      </w:r>
      <w:r w:rsidRPr="00C028B1">
        <w:rPr>
          <w:rFonts w:ascii="Times New Roman" w:hAnsi="Times New Roman"/>
          <w:sz w:val="24"/>
          <w:szCs w:val="24"/>
          <w:lang w:eastAsia="lt-LT"/>
        </w:rPr>
        <w:t xml:space="preserve">kurioje turi būti pateikta išsami informacija apie visus nuo sutarties dėl Paslaugų teikimo pasirašymo dienos atliktus darbus, susijusius su Paslaugų teikimu, bei sąrašas darbų, kurie dar turi būti įgyvendinti. Šiame sąraše turi būti nurodomi būsimų darbų pavadinimai ir trumpi aprašymai; galimos rizikos, susijusios su savalaikiu darbų įgyvendinimu; numatytos priemonės rizikų mažinimui ar pašalinimui. Taip pat, kaip tarpinės ataskaitos priedai turi būti pateikiami jau įgyvendintų darbų rezultatai ir jų aprašymai raštu, lentelėmis ir grafikais nurodant naudotus metodus, duomenų šaltinius, analizės įrankius ir pan. </w:t>
      </w:r>
    </w:p>
    <w:p w14:paraId="26B949F8" w14:textId="77777777" w:rsidR="006A5392" w:rsidRPr="00C028B1" w:rsidRDefault="006A5392" w:rsidP="006A5392">
      <w:pPr>
        <w:tabs>
          <w:tab w:val="left" w:pos="460"/>
          <w:tab w:val="left" w:pos="1276"/>
        </w:tabs>
        <w:ind w:firstLine="532"/>
        <w:jc w:val="both"/>
        <w:rPr>
          <w:rFonts w:ascii="Times New Roman" w:hAnsi="Times New Roman"/>
          <w:sz w:val="24"/>
          <w:szCs w:val="24"/>
          <w:lang w:eastAsia="lt-LT"/>
        </w:rPr>
      </w:pPr>
      <w:r w:rsidRPr="00C028B1">
        <w:rPr>
          <w:rFonts w:ascii="Times New Roman" w:hAnsi="Times New Roman"/>
          <w:bCs/>
          <w:sz w:val="24"/>
          <w:szCs w:val="24"/>
        </w:rPr>
        <w:t>4.2.2. Galutinė vertinimo ataskaita</w:t>
      </w:r>
      <w:r w:rsidRPr="00C028B1">
        <w:rPr>
          <w:rFonts w:ascii="Times New Roman" w:hAnsi="Times New Roman"/>
          <w:sz w:val="24"/>
          <w:szCs w:val="24"/>
          <w:lang w:eastAsia="lt-LT"/>
        </w:rPr>
        <w:t>, kurioje turi būti pateikta informacija apie visus darbus, atliktus nuo sutarties dėl Paslaugų teikimo pasirašymo, atliktų darbų santrauka ir suformuluotos argumentuotos rekomendacijos, orientuotos į finansavimo priemonių efektyvumo, bei naudos Lietuvai,  Lietuvos mokslui, ekonomikai bei tarptautiniam konkurencingumui didinimą. Taip pat, kaip baigiamosios ataskaitos priedai, turi būti pateikti visų sutartyje numatytų darbų rezultatai, pateikti raštu, lentelėmis ir grafikais nurodant naudotus metodus, duomenų šaltinius, analizės įrankius ir pan.</w:t>
      </w:r>
    </w:p>
    <w:p w14:paraId="2D5776BA" w14:textId="77777777" w:rsidR="006A5392" w:rsidRPr="00C028B1" w:rsidRDefault="006A5392" w:rsidP="006A5392">
      <w:pPr>
        <w:tabs>
          <w:tab w:val="left" w:pos="0"/>
          <w:tab w:val="left" w:pos="851"/>
          <w:tab w:val="left" w:pos="993"/>
          <w:tab w:val="left" w:pos="1276"/>
          <w:tab w:val="left" w:pos="1418"/>
          <w:tab w:val="left" w:pos="1843"/>
          <w:tab w:val="left" w:pos="2410"/>
        </w:tabs>
        <w:ind w:firstLine="567"/>
        <w:jc w:val="both"/>
        <w:rPr>
          <w:rFonts w:ascii="Times New Roman" w:hAnsi="Times New Roman"/>
          <w:bCs/>
          <w:sz w:val="24"/>
          <w:szCs w:val="24"/>
        </w:rPr>
      </w:pPr>
      <w:r w:rsidRPr="00C028B1">
        <w:rPr>
          <w:rFonts w:ascii="Times New Roman" w:hAnsi="Times New Roman"/>
          <w:sz w:val="24"/>
          <w:szCs w:val="24"/>
        </w:rPr>
        <w:t xml:space="preserve">4.3. Sutarties dėl Paslaugų teikimo vykdymo pradžia: Paslaugų teikėjas ne vėliau kaip per 5 (penkias) darbo dienas nuo sutarties dėl Paslaugų teikimo pasirašymo dienos, organizuoja pasirengimo teikti Paslaugas pasitarimą su LMT, kuriame Paslaugų teikėjas pateikia Paslaugų teikimo planą, ir kuriame su LMT aptariama būsima eiga. </w:t>
      </w:r>
      <w:bookmarkStart w:id="1" w:name="_Ref513466487"/>
      <w:r w:rsidRPr="00C028B1">
        <w:rPr>
          <w:rFonts w:ascii="Times New Roman" w:hAnsi="Times New Roman"/>
          <w:bCs/>
          <w:sz w:val="24"/>
          <w:szCs w:val="24"/>
        </w:rPr>
        <w:t xml:space="preserve"> </w:t>
      </w:r>
    </w:p>
    <w:p w14:paraId="0F7289ED" w14:textId="77777777" w:rsidR="006A5392" w:rsidRPr="00C028B1" w:rsidRDefault="006A5392" w:rsidP="006A5392">
      <w:pPr>
        <w:pStyle w:val="ListParagraph"/>
        <w:tabs>
          <w:tab w:val="left" w:pos="0"/>
          <w:tab w:val="left" w:pos="851"/>
          <w:tab w:val="left" w:pos="993"/>
          <w:tab w:val="left" w:pos="1134"/>
          <w:tab w:val="left" w:pos="1418"/>
          <w:tab w:val="left" w:pos="1843"/>
          <w:tab w:val="left" w:pos="2410"/>
        </w:tabs>
        <w:ind w:left="567"/>
        <w:jc w:val="both"/>
        <w:rPr>
          <w:rFonts w:ascii="Times New Roman" w:hAnsi="Times New Roman"/>
          <w:sz w:val="24"/>
          <w:szCs w:val="24"/>
        </w:rPr>
      </w:pPr>
    </w:p>
    <w:p w14:paraId="38220019" w14:textId="77777777" w:rsidR="006A5392" w:rsidRPr="00C028B1" w:rsidRDefault="006A5392" w:rsidP="006A5392">
      <w:pPr>
        <w:numPr>
          <w:ilvl w:val="0"/>
          <w:numId w:val="2"/>
        </w:numPr>
        <w:tabs>
          <w:tab w:val="left" w:pos="425"/>
          <w:tab w:val="left" w:pos="851"/>
          <w:tab w:val="left" w:pos="993"/>
          <w:tab w:val="left" w:pos="1418"/>
          <w:tab w:val="left" w:pos="1843"/>
          <w:tab w:val="left" w:pos="2410"/>
        </w:tabs>
        <w:spacing w:after="240"/>
        <w:contextualSpacing/>
        <w:jc w:val="center"/>
        <w:rPr>
          <w:rFonts w:ascii="Times New Roman" w:eastAsia="Calibri" w:hAnsi="Times New Roman"/>
          <w:b/>
          <w:bCs/>
          <w:sz w:val="24"/>
          <w:szCs w:val="24"/>
        </w:rPr>
      </w:pPr>
      <w:r w:rsidRPr="00C028B1">
        <w:rPr>
          <w:rFonts w:ascii="Times New Roman" w:eastAsia="Calibri" w:hAnsi="Times New Roman"/>
          <w:b/>
          <w:bCs/>
          <w:sz w:val="24"/>
          <w:szCs w:val="24"/>
        </w:rPr>
        <w:t>VERTINIMO METODIKA</w:t>
      </w:r>
    </w:p>
    <w:p w14:paraId="0B6A7F00" w14:textId="77777777" w:rsidR="006A5392" w:rsidRPr="00C028B1" w:rsidRDefault="006A5392" w:rsidP="006A5392">
      <w:pPr>
        <w:pStyle w:val="ListParagraph"/>
        <w:numPr>
          <w:ilvl w:val="1"/>
          <w:numId w:val="2"/>
        </w:numPr>
        <w:tabs>
          <w:tab w:val="left" w:pos="0"/>
          <w:tab w:val="left" w:pos="567"/>
          <w:tab w:val="left" w:pos="709"/>
          <w:tab w:val="left" w:pos="851"/>
          <w:tab w:val="left" w:pos="993"/>
          <w:tab w:val="left" w:pos="1418"/>
          <w:tab w:val="left" w:pos="1843"/>
          <w:tab w:val="left" w:pos="2410"/>
        </w:tabs>
        <w:spacing w:after="200"/>
        <w:ind w:left="0" w:firstLine="567"/>
        <w:jc w:val="both"/>
        <w:rPr>
          <w:rFonts w:ascii="Times New Roman" w:hAnsi="Times New Roman"/>
          <w:sz w:val="24"/>
          <w:szCs w:val="24"/>
        </w:rPr>
      </w:pPr>
      <w:r w:rsidRPr="00C028B1">
        <w:rPr>
          <w:rFonts w:ascii="Times New Roman" w:hAnsi="Times New Roman"/>
          <w:sz w:val="24"/>
          <w:szCs w:val="24"/>
        </w:rPr>
        <w:t xml:space="preserve">Atlikdamas vertinimą, Paslaugų teikėjas turi pagrįsti teikiamas išvadas bei rekomendacijas, pastebėjimus, taip pat pritaikyti įvairius, labiausiai vertinimo uždaviniams ir klausimams tinkamus kokybinius ir kiekybinius duomenų rinkimo ir analizės metodus (stebėsenos ir statistinių duomenų analizę, antrinių šaltinių analizę, apklausas, interviu, atlikti teorija grįstą priemonių įgyvendinimo  vertinimą ir pritaikyti kitus šiam vertinimui reikalingus Paslaugų teikėjo siūlomus metodus). </w:t>
      </w:r>
    </w:p>
    <w:p w14:paraId="0F96D428" w14:textId="77777777" w:rsidR="006A5392" w:rsidRPr="00C028B1" w:rsidRDefault="006A5392" w:rsidP="006A5392">
      <w:pPr>
        <w:pStyle w:val="ListParagraph"/>
        <w:numPr>
          <w:ilvl w:val="1"/>
          <w:numId w:val="2"/>
        </w:numPr>
        <w:tabs>
          <w:tab w:val="left" w:pos="0"/>
          <w:tab w:val="left" w:pos="567"/>
          <w:tab w:val="left" w:pos="709"/>
          <w:tab w:val="left" w:pos="851"/>
          <w:tab w:val="left" w:pos="993"/>
          <w:tab w:val="left" w:pos="1418"/>
          <w:tab w:val="left" w:pos="1843"/>
          <w:tab w:val="left" w:pos="2410"/>
        </w:tabs>
        <w:spacing w:after="200"/>
        <w:ind w:left="0" w:firstLine="567"/>
        <w:jc w:val="both"/>
        <w:rPr>
          <w:rFonts w:ascii="Times New Roman" w:hAnsi="Times New Roman"/>
          <w:sz w:val="24"/>
          <w:szCs w:val="24"/>
        </w:rPr>
      </w:pPr>
      <w:r w:rsidRPr="00C028B1">
        <w:rPr>
          <w:rFonts w:ascii="Times New Roman" w:hAnsi="Times New Roman"/>
          <w:sz w:val="24"/>
          <w:szCs w:val="24"/>
        </w:rPr>
        <w:t xml:space="preserve">Paslaugų teikėjas pasiūlyme turi detaliai aprašyti vertinimo teorinį pagrindą, siūlomus vertinimo metodus bei juos susieti su vertinimo uždaviniais ir klausimais. Taikomi metodai turi užtikrinti reikalingų duomenų patikimumą ir kokybę, vertinimo išvadų ir rekomendacijų pagrįstumą, nuoseklumą ir praktinį pritaikomumą. Vertinimo metodų visuma turi užtikrinti nuoseklų vertinimo pagrindą, naudojami vertinimo metodai turi būti tarpusavyje suderinti. Pasiūlyme turi būti nurodyti pagrindiniai informacijos šaltiniai, kuriais ketina naudotis paslaugų teikėjas, atlikdamas vertinimą, paaiškintas šių duomenų reikalingumas, patikimumas ir aktualumas. Vertinimas turi būti atliekamas sistemiškai ir atitinkamai išdėstomi argumentai, pastraipos, tematinės sritys, kryptys. Vertinimo </w:t>
      </w:r>
      <w:r w:rsidRPr="00C028B1">
        <w:rPr>
          <w:rFonts w:ascii="Times New Roman" w:hAnsi="Times New Roman"/>
          <w:sz w:val="24"/>
          <w:szCs w:val="24"/>
        </w:rPr>
        <w:lastRenderedPageBreak/>
        <w:t xml:space="preserve">rezultatai turi būti konkretūs ir išreikšti konkrečių priemonių / veiksmų trumpalaikėje ir ilgalaikėje perspektyvoje visuma.  </w:t>
      </w:r>
    </w:p>
    <w:p w14:paraId="2855BC01" w14:textId="77777777" w:rsidR="006A5392" w:rsidRPr="00C028B1" w:rsidRDefault="006A5392" w:rsidP="006A5392">
      <w:pPr>
        <w:pStyle w:val="ListParagraph"/>
        <w:numPr>
          <w:ilvl w:val="1"/>
          <w:numId w:val="2"/>
        </w:numPr>
        <w:tabs>
          <w:tab w:val="left" w:pos="0"/>
          <w:tab w:val="left" w:pos="567"/>
          <w:tab w:val="left" w:pos="709"/>
          <w:tab w:val="left" w:pos="851"/>
          <w:tab w:val="left" w:pos="993"/>
          <w:tab w:val="left" w:pos="1418"/>
          <w:tab w:val="left" w:pos="1843"/>
          <w:tab w:val="left" w:pos="2410"/>
        </w:tabs>
        <w:spacing w:after="200"/>
        <w:ind w:left="0" w:firstLine="567"/>
        <w:jc w:val="both"/>
        <w:rPr>
          <w:rFonts w:ascii="Times New Roman" w:hAnsi="Times New Roman"/>
          <w:sz w:val="24"/>
          <w:szCs w:val="24"/>
        </w:rPr>
      </w:pPr>
      <w:r w:rsidRPr="00C028B1">
        <w:rPr>
          <w:rFonts w:ascii="Times New Roman" w:hAnsi="Times New Roman"/>
          <w:sz w:val="24"/>
          <w:szCs w:val="24"/>
        </w:rPr>
        <w:t xml:space="preserve">Paslaugų teikėjui bus suteikta galimybė vertinimui naudoti LMT turimus duomenis, susijusius su Konkursine doktorantūra ir Podoktorantūros stažuočių projektais (paraiškomis, dalyvių kontaktine informacija, mokslo ir studijų institucijų, vykdančių šias priemones, pateikta informacija ir dokumentais, ir kt.). Duomenys ir informacija galės būti naudojami tik šio vertinimo uždaviniams atlikti. Bet kokia viešinimo, sklaidos žiniasklaidoje ar socialiniuose tinkluose informacija turės būti suderinta su LMT. </w:t>
      </w:r>
    </w:p>
    <w:bookmarkEnd w:id="1"/>
    <w:p w14:paraId="7C1A320D" w14:textId="77777777" w:rsidR="006A5392" w:rsidRDefault="006A5392" w:rsidP="006A5392">
      <w:pPr>
        <w:tabs>
          <w:tab w:val="center" w:pos="4153"/>
          <w:tab w:val="right" w:pos="8306"/>
        </w:tabs>
        <w:rPr>
          <w:rFonts w:ascii="Times New Roman" w:hAnsi="Times New Roman"/>
          <w:i/>
          <w:sz w:val="24"/>
          <w:szCs w:val="24"/>
        </w:rPr>
      </w:pPr>
    </w:p>
    <w:p w14:paraId="13FF05B3" w14:textId="77777777" w:rsidR="006A5392" w:rsidRPr="00F81232" w:rsidRDefault="006A5392" w:rsidP="006A5392">
      <w:pPr>
        <w:pStyle w:val="ListParagraph"/>
        <w:tabs>
          <w:tab w:val="left" w:pos="568"/>
        </w:tabs>
        <w:spacing w:line="276" w:lineRule="auto"/>
        <w:ind w:left="568"/>
        <w:jc w:val="center"/>
        <w:rPr>
          <w:rFonts w:ascii="Times New Roman" w:hAnsi="Times New Roman"/>
          <w:b/>
          <w:bCs/>
          <w:sz w:val="24"/>
          <w:szCs w:val="24"/>
        </w:rPr>
      </w:pPr>
      <w:r>
        <w:rPr>
          <w:rFonts w:ascii="Times New Roman" w:hAnsi="Times New Roman"/>
          <w:b/>
          <w:bCs/>
          <w:sz w:val="24"/>
          <w:szCs w:val="24"/>
        </w:rPr>
        <w:t>TIEKĖJŲ KVALIFIKACIJOS REIKALAVIMŲ PROJEKTAS</w:t>
      </w:r>
    </w:p>
    <w:p w14:paraId="398A69F0" w14:textId="77777777" w:rsidR="006A5392" w:rsidRPr="00F81232" w:rsidRDefault="006A5392" w:rsidP="006A5392">
      <w:pPr>
        <w:tabs>
          <w:tab w:val="center" w:pos="4153"/>
          <w:tab w:val="right" w:pos="8306"/>
        </w:tabs>
        <w:rPr>
          <w:rFonts w:ascii="Times New Roman" w:hAnsi="Times New Roman"/>
          <w:b/>
          <w:bCs/>
          <w:i/>
          <w:sz w:val="24"/>
          <w:szCs w:val="24"/>
        </w:rPr>
      </w:pPr>
    </w:p>
    <w:tbl>
      <w:tblPr>
        <w:tblStyle w:val="TableGrid"/>
        <w:tblW w:w="0" w:type="auto"/>
        <w:tblLook w:val="04A0" w:firstRow="1" w:lastRow="0" w:firstColumn="1" w:lastColumn="0" w:noHBand="0" w:noVBand="1"/>
      </w:tblPr>
      <w:tblGrid>
        <w:gridCol w:w="5243"/>
        <w:gridCol w:w="4385"/>
      </w:tblGrid>
      <w:tr w:rsidR="006A5392" w14:paraId="60E5CB00" w14:textId="77777777" w:rsidTr="00291424">
        <w:tc>
          <w:tcPr>
            <w:tcW w:w="5247" w:type="dxa"/>
          </w:tcPr>
          <w:p w14:paraId="0E0EE1B9" w14:textId="77777777" w:rsidR="006A5392" w:rsidRPr="00752C2A" w:rsidRDefault="006A5392" w:rsidP="00291424">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Kvalifikacijos reikalavimai: </w:t>
            </w:r>
          </w:p>
        </w:tc>
        <w:tc>
          <w:tcPr>
            <w:tcW w:w="4388" w:type="dxa"/>
          </w:tcPr>
          <w:p w14:paraId="6BF63F42" w14:textId="77777777" w:rsidR="006A5392" w:rsidRPr="00C22C2B" w:rsidRDefault="006A5392" w:rsidP="00291424">
            <w:pPr>
              <w:autoSpaceDE w:val="0"/>
              <w:autoSpaceDN w:val="0"/>
              <w:adjustRightInd w:val="0"/>
              <w:jc w:val="both"/>
              <w:rPr>
                <w:rFonts w:ascii="Times New Roman" w:hAnsi="Times New Roman"/>
                <w:b/>
                <w:bCs/>
                <w:sz w:val="24"/>
                <w:szCs w:val="24"/>
              </w:rPr>
            </w:pPr>
            <w:r w:rsidRPr="00C22C2B">
              <w:rPr>
                <w:rFonts w:ascii="Times New Roman" w:hAnsi="Times New Roman"/>
                <w:b/>
                <w:bCs/>
                <w:sz w:val="24"/>
                <w:szCs w:val="24"/>
              </w:rPr>
              <w:t>Atitiktį reikalavimui patvirtinantys dokumentai</w:t>
            </w:r>
            <w:r>
              <w:rPr>
                <w:rFonts w:ascii="Times New Roman" w:hAnsi="Times New Roman"/>
                <w:b/>
                <w:bCs/>
                <w:sz w:val="24"/>
                <w:szCs w:val="24"/>
              </w:rPr>
              <w:t>:</w:t>
            </w:r>
          </w:p>
        </w:tc>
      </w:tr>
      <w:tr w:rsidR="006A5392" w14:paraId="7334FAF7" w14:textId="77777777" w:rsidTr="00291424">
        <w:tc>
          <w:tcPr>
            <w:tcW w:w="5247" w:type="dxa"/>
          </w:tcPr>
          <w:p w14:paraId="6AA99AEF" w14:textId="77777777" w:rsidR="006A5392" w:rsidRPr="0041308A" w:rsidRDefault="006A5392" w:rsidP="00291424">
            <w:pPr>
              <w:autoSpaceDE w:val="0"/>
              <w:autoSpaceDN w:val="0"/>
              <w:adjustRightInd w:val="0"/>
              <w:jc w:val="both"/>
              <w:rPr>
                <w:rFonts w:ascii="Times New Roman" w:hAnsi="Times New Roman"/>
                <w:sz w:val="24"/>
                <w:szCs w:val="24"/>
              </w:rPr>
            </w:pPr>
            <w:r w:rsidRPr="00752C2A">
              <w:rPr>
                <w:rFonts w:ascii="Times New Roman" w:hAnsi="Times New Roman"/>
                <w:b/>
                <w:bCs/>
                <w:sz w:val="24"/>
                <w:szCs w:val="24"/>
              </w:rPr>
              <w:t>Tiekėjas sutarčiai vykdyti turi pasiūlyti ekspertų grupę, sudarytą mažiausiai iš trijų ekspertų, iš kurių</w:t>
            </w:r>
            <w:r w:rsidRPr="0041308A">
              <w:rPr>
                <w:rFonts w:ascii="Times New Roman" w:hAnsi="Times New Roman"/>
                <w:sz w:val="24"/>
                <w:szCs w:val="24"/>
              </w:rPr>
              <w:t xml:space="preserve">: </w:t>
            </w:r>
          </w:p>
          <w:p w14:paraId="07A9BE29" w14:textId="77777777" w:rsidR="006A5392" w:rsidRPr="0041308A" w:rsidRDefault="006A5392" w:rsidP="006A5392">
            <w:pPr>
              <w:pStyle w:val="ListParagraph"/>
              <w:numPr>
                <w:ilvl w:val="0"/>
                <w:numId w:val="4"/>
              </w:numPr>
              <w:autoSpaceDE w:val="0"/>
              <w:autoSpaceDN w:val="0"/>
              <w:adjustRightInd w:val="0"/>
              <w:jc w:val="both"/>
              <w:rPr>
                <w:rFonts w:ascii="Times New Roman" w:hAnsi="Times New Roman"/>
                <w:sz w:val="24"/>
                <w:szCs w:val="24"/>
              </w:rPr>
            </w:pPr>
            <w:r w:rsidRPr="00E2077B">
              <w:rPr>
                <w:rFonts w:ascii="Times New Roman" w:hAnsi="Times New Roman"/>
                <w:b/>
                <w:bCs/>
                <w:sz w:val="24"/>
                <w:szCs w:val="24"/>
              </w:rPr>
              <w:t>mažiausiai vieną poveikio vertinimo ekspertą</w:t>
            </w:r>
            <w:r w:rsidRPr="0041308A">
              <w:rPr>
                <w:rFonts w:ascii="Times New Roman" w:hAnsi="Times New Roman"/>
                <w:sz w:val="24"/>
                <w:szCs w:val="24"/>
              </w:rPr>
              <w:t>, kuris per p</w:t>
            </w:r>
            <w:r w:rsidRPr="0041308A">
              <w:rPr>
                <w:rFonts w:ascii="Times New Roman" w:hAnsi="Times New Roman"/>
                <w:color w:val="000000"/>
                <w:sz w:val="24"/>
                <w:szCs w:val="24"/>
              </w:rPr>
              <w:t xml:space="preserve">askutinius 5 metus arba per laiką nuo tiekėjo įregistravimo dienos (jeigu tiekėjas vykdo veiklą mažiau nei 5 metus) iki pasiūlymo pateikimo termino pabaigos </w:t>
            </w:r>
            <w:r w:rsidRPr="0041308A">
              <w:rPr>
                <w:rFonts w:ascii="Times New Roman" w:hAnsi="Times New Roman"/>
                <w:sz w:val="24"/>
                <w:szCs w:val="24"/>
              </w:rPr>
              <w:t xml:space="preserve">yra dalyvavęs sėkmingai atliekant bent </w:t>
            </w:r>
            <w:r>
              <w:rPr>
                <w:rFonts w:ascii="Times New Roman" w:hAnsi="Times New Roman"/>
                <w:sz w:val="24"/>
                <w:szCs w:val="24"/>
              </w:rPr>
              <w:t>du</w:t>
            </w:r>
            <w:r w:rsidRPr="0041308A">
              <w:rPr>
                <w:rFonts w:ascii="Times New Roman" w:hAnsi="Times New Roman"/>
                <w:sz w:val="24"/>
                <w:szCs w:val="24"/>
              </w:rPr>
              <w:t xml:space="preserve"> moksl</w:t>
            </w:r>
            <w:r>
              <w:rPr>
                <w:rFonts w:ascii="Times New Roman" w:hAnsi="Times New Roman"/>
                <w:sz w:val="24"/>
                <w:szCs w:val="24"/>
              </w:rPr>
              <w:t>o finansavimo, mokslo politikos</w:t>
            </w:r>
            <w:r w:rsidRPr="0041308A">
              <w:rPr>
                <w:rFonts w:ascii="Times New Roman" w:hAnsi="Times New Roman"/>
                <w:sz w:val="24"/>
                <w:szCs w:val="24"/>
              </w:rPr>
              <w:t xml:space="preserve">, </w:t>
            </w:r>
            <w:r>
              <w:rPr>
                <w:rFonts w:ascii="Times New Roman" w:hAnsi="Times New Roman"/>
                <w:sz w:val="24"/>
                <w:szCs w:val="24"/>
              </w:rPr>
              <w:t xml:space="preserve">švietimo ar </w:t>
            </w:r>
            <w:r w:rsidRPr="0041308A">
              <w:rPr>
                <w:rFonts w:ascii="Times New Roman" w:hAnsi="Times New Roman"/>
                <w:sz w:val="24"/>
                <w:szCs w:val="24"/>
              </w:rPr>
              <w:t xml:space="preserve">inovacijų </w:t>
            </w:r>
            <w:r>
              <w:rPr>
                <w:rFonts w:ascii="Times New Roman" w:hAnsi="Times New Roman"/>
                <w:sz w:val="24"/>
                <w:szCs w:val="24"/>
              </w:rPr>
              <w:t>projektų</w:t>
            </w:r>
            <w:r w:rsidRPr="0041308A">
              <w:rPr>
                <w:rFonts w:ascii="Times New Roman" w:hAnsi="Times New Roman"/>
                <w:sz w:val="24"/>
                <w:szCs w:val="24"/>
              </w:rPr>
              <w:t xml:space="preserve"> poveikio vertinim</w:t>
            </w:r>
            <w:r>
              <w:rPr>
                <w:rFonts w:ascii="Times New Roman" w:hAnsi="Times New Roman"/>
                <w:sz w:val="24"/>
                <w:szCs w:val="24"/>
              </w:rPr>
              <w:t>us</w:t>
            </w:r>
            <w:r w:rsidRPr="0041308A">
              <w:rPr>
                <w:rFonts w:ascii="Times New Roman" w:hAnsi="Times New Roman"/>
                <w:sz w:val="24"/>
                <w:szCs w:val="24"/>
              </w:rPr>
              <w:t>, gebantį analizuoti mokslo, švietimo, inovacijų ar mokslo finansavimo priemones, rengti analitines ataskaitas bei praktines rekomendacijas;</w:t>
            </w:r>
          </w:p>
          <w:p w14:paraId="15F0DDA0" w14:textId="77777777" w:rsidR="006A5392" w:rsidRPr="0041308A" w:rsidRDefault="006A5392" w:rsidP="006A5392">
            <w:pPr>
              <w:pStyle w:val="ListParagraph"/>
              <w:numPr>
                <w:ilvl w:val="0"/>
                <w:numId w:val="4"/>
              </w:numPr>
              <w:autoSpaceDE w:val="0"/>
              <w:autoSpaceDN w:val="0"/>
              <w:adjustRightInd w:val="0"/>
              <w:jc w:val="both"/>
              <w:rPr>
                <w:rFonts w:ascii="Times New Roman" w:hAnsi="Times New Roman"/>
                <w:sz w:val="24"/>
                <w:szCs w:val="24"/>
              </w:rPr>
            </w:pPr>
            <w:r w:rsidRPr="00E2077B">
              <w:rPr>
                <w:rFonts w:ascii="Times New Roman" w:hAnsi="Times New Roman"/>
                <w:b/>
                <w:bCs/>
                <w:sz w:val="24"/>
                <w:szCs w:val="24"/>
              </w:rPr>
              <w:t>mažiausiai vieną duomenų analizės ekspertą</w:t>
            </w:r>
            <w:r w:rsidRPr="0041308A">
              <w:rPr>
                <w:rFonts w:ascii="Times New Roman" w:hAnsi="Times New Roman"/>
                <w:sz w:val="24"/>
                <w:szCs w:val="24"/>
              </w:rPr>
              <w:t>, turintį ne mažiau kaip 3 metų patirtį atliekant duomenų rinkimą, apdorojimą ir analizę</w:t>
            </w:r>
            <w:r>
              <w:rPr>
                <w:rFonts w:ascii="Times New Roman" w:hAnsi="Times New Roman"/>
                <w:sz w:val="24"/>
                <w:szCs w:val="24"/>
              </w:rPr>
              <w:t xml:space="preserve">, bei per pastaruosius 5 metus </w:t>
            </w:r>
            <w:r w:rsidRPr="0041308A">
              <w:rPr>
                <w:rFonts w:ascii="Times New Roman" w:hAnsi="Times New Roman"/>
                <w:color w:val="000000"/>
                <w:sz w:val="24"/>
                <w:szCs w:val="24"/>
              </w:rPr>
              <w:t>arba per laiką nuo tiekėjo įregistravimo dienos (jeigu tiekėjas vykdo veiklą mažiau nei 5 metus) iki pasiūlymo pateikimo termino pabaigos</w:t>
            </w:r>
            <w:r>
              <w:rPr>
                <w:rFonts w:ascii="Times New Roman" w:hAnsi="Times New Roman"/>
                <w:sz w:val="24"/>
                <w:szCs w:val="24"/>
              </w:rPr>
              <w:t xml:space="preserve">  dalyvavusį </w:t>
            </w:r>
            <w:r w:rsidRPr="0041308A">
              <w:rPr>
                <w:rFonts w:ascii="Times New Roman" w:hAnsi="Times New Roman"/>
                <w:sz w:val="24"/>
                <w:szCs w:val="24"/>
              </w:rPr>
              <w:t xml:space="preserve">bent </w:t>
            </w:r>
            <w:r>
              <w:rPr>
                <w:rFonts w:ascii="Times New Roman" w:hAnsi="Times New Roman"/>
                <w:sz w:val="24"/>
                <w:szCs w:val="24"/>
              </w:rPr>
              <w:t>dviejuose</w:t>
            </w:r>
            <w:r w:rsidRPr="0041308A">
              <w:rPr>
                <w:rFonts w:ascii="Times New Roman" w:hAnsi="Times New Roman"/>
                <w:sz w:val="24"/>
                <w:szCs w:val="24"/>
              </w:rPr>
              <w:t xml:space="preserve"> moksl</w:t>
            </w:r>
            <w:r>
              <w:rPr>
                <w:rFonts w:ascii="Times New Roman" w:hAnsi="Times New Roman"/>
                <w:sz w:val="24"/>
                <w:szCs w:val="24"/>
              </w:rPr>
              <w:t>o finansavimo, mokslo politikos</w:t>
            </w:r>
            <w:r w:rsidRPr="0041308A">
              <w:rPr>
                <w:rFonts w:ascii="Times New Roman" w:hAnsi="Times New Roman"/>
                <w:sz w:val="24"/>
                <w:szCs w:val="24"/>
              </w:rPr>
              <w:t xml:space="preserve">, </w:t>
            </w:r>
            <w:r>
              <w:rPr>
                <w:rFonts w:ascii="Times New Roman" w:hAnsi="Times New Roman"/>
                <w:sz w:val="24"/>
                <w:szCs w:val="24"/>
              </w:rPr>
              <w:t xml:space="preserve">švietimo ar </w:t>
            </w:r>
            <w:r w:rsidRPr="0041308A">
              <w:rPr>
                <w:rFonts w:ascii="Times New Roman" w:hAnsi="Times New Roman"/>
                <w:sz w:val="24"/>
                <w:szCs w:val="24"/>
              </w:rPr>
              <w:t xml:space="preserve">inovacijų </w:t>
            </w:r>
            <w:r>
              <w:rPr>
                <w:rFonts w:ascii="Times New Roman" w:hAnsi="Times New Roman"/>
                <w:sz w:val="24"/>
                <w:szCs w:val="24"/>
              </w:rPr>
              <w:t>projektų</w:t>
            </w:r>
            <w:r w:rsidRPr="0041308A">
              <w:rPr>
                <w:rFonts w:ascii="Times New Roman" w:hAnsi="Times New Roman"/>
                <w:sz w:val="24"/>
                <w:szCs w:val="24"/>
              </w:rPr>
              <w:t xml:space="preserve"> poveikio vertinim</w:t>
            </w:r>
            <w:r>
              <w:rPr>
                <w:rFonts w:ascii="Times New Roman" w:hAnsi="Times New Roman"/>
                <w:sz w:val="24"/>
                <w:szCs w:val="24"/>
              </w:rPr>
              <w:t>o projektuose</w:t>
            </w:r>
            <w:r w:rsidRPr="0041308A">
              <w:rPr>
                <w:rFonts w:ascii="Times New Roman" w:hAnsi="Times New Roman"/>
                <w:sz w:val="24"/>
                <w:szCs w:val="24"/>
              </w:rPr>
              <w:t>, mokantį taikyti kokybinius ir kiekybinius duomenų rinkimo bei analizės metodus, turintį praktinės patirties dirbant su duomenų analizės programine įranga</w:t>
            </w:r>
            <w:r>
              <w:rPr>
                <w:rFonts w:ascii="Times New Roman" w:hAnsi="Times New Roman"/>
                <w:sz w:val="24"/>
                <w:szCs w:val="24"/>
              </w:rPr>
              <w:t xml:space="preserve">, tinkamą sutartyje ir techninėje specifikacijoje numatytiems tikslams pasiekti </w:t>
            </w:r>
            <w:r w:rsidRPr="0041308A">
              <w:rPr>
                <w:rFonts w:ascii="Times New Roman" w:hAnsi="Times New Roman"/>
                <w:sz w:val="24"/>
                <w:szCs w:val="24"/>
              </w:rPr>
              <w:t>(pavyzdžiui, SPSS, R, STATA ar kita lygiaverte programine įranga), gebantį teikti įžvalgas bei rekomendacijas, grįstas duomenų analize;</w:t>
            </w:r>
          </w:p>
          <w:p w14:paraId="5472F57A" w14:textId="77777777" w:rsidR="006A5392" w:rsidRDefault="006A5392" w:rsidP="006A5392">
            <w:pPr>
              <w:pStyle w:val="ListParagraph"/>
              <w:numPr>
                <w:ilvl w:val="0"/>
                <w:numId w:val="4"/>
              </w:numPr>
              <w:autoSpaceDE w:val="0"/>
              <w:autoSpaceDN w:val="0"/>
              <w:adjustRightInd w:val="0"/>
              <w:jc w:val="both"/>
              <w:rPr>
                <w:rFonts w:ascii="Times New Roman" w:hAnsi="Times New Roman"/>
                <w:sz w:val="24"/>
                <w:szCs w:val="24"/>
              </w:rPr>
            </w:pPr>
            <w:r w:rsidRPr="00794EC2">
              <w:rPr>
                <w:rFonts w:ascii="Times New Roman" w:hAnsi="Times New Roman"/>
                <w:b/>
                <w:bCs/>
                <w:sz w:val="24"/>
                <w:szCs w:val="24"/>
              </w:rPr>
              <w:t>mažiausiai vieną mokslo politikos ekspertą</w:t>
            </w:r>
            <w:r w:rsidRPr="0041308A">
              <w:rPr>
                <w:rFonts w:ascii="Times New Roman" w:hAnsi="Times New Roman"/>
                <w:sz w:val="24"/>
                <w:szCs w:val="24"/>
              </w:rPr>
              <w:t xml:space="preserve">, turintį </w:t>
            </w:r>
            <w:r>
              <w:rPr>
                <w:rFonts w:ascii="Times New Roman" w:hAnsi="Times New Roman"/>
                <w:sz w:val="24"/>
                <w:szCs w:val="24"/>
              </w:rPr>
              <w:t>patirties</w:t>
            </w:r>
            <w:r w:rsidRPr="0041308A">
              <w:rPr>
                <w:rFonts w:ascii="Times New Roman" w:hAnsi="Times New Roman"/>
                <w:sz w:val="24"/>
                <w:szCs w:val="24"/>
              </w:rPr>
              <w:t xml:space="preserve"> mokslo</w:t>
            </w:r>
            <w:r>
              <w:rPr>
                <w:rFonts w:ascii="Times New Roman" w:hAnsi="Times New Roman"/>
                <w:sz w:val="24"/>
                <w:szCs w:val="24"/>
              </w:rPr>
              <w:t xml:space="preserve"> finansavimo</w:t>
            </w:r>
            <w:r w:rsidRPr="0041308A">
              <w:rPr>
                <w:rFonts w:ascii="Times New Roman" w:hAnsi="Times New Roman"/>
                <w:sz w:val="24"/>
                <w:szCs w:val="24"/>
              </w:rPr>
              <w:t xml:space="preserve">, </w:t>
            </w:r>
            <w:r>
              <w:rPr>
                <w:rFonts w:ascii="Times New Roman" w:hAnsi="Times New Roman"/>
                <w:sz w:val="24"/>
                <w:szCs w:val="24"/>
              </w:rPr>
              <w:t xml:space="preserve">mokslo politikos, </w:t>
            </w:r>
            <w:r w:rsidRPr="0041308A">
              <w:rPr>
                <w:rFonts w:ascii="Times New Roman" w:hAnsi="Times New Roman"/>
                <w:sz w:val="24"/>
                <w:szCs w:val="24"/>
              </w:rPr>
              <w:t>švietimo</w:t>
            </w:r>
            <w:r>
              <w:rPr>
                <w:rFonts w:ascii="Times New Roman" w:hAnsi="Times New Roman"/>
                <w:sz w:val="24"/>
                <w:szCs w:val="24"/>
              </w:rPr>
              <w:t xml:space="preserve"> politikos</w:t>
            </w:r>
            <w:r w:rsidRPr="0041308A">
              <w:rPr>
                <w:rFonts w:ascii="Times New Roman" w:hAnsi="Times New Roman"/>
                <w:sz w:val="24"/>
                <w:szCs w:val="24"/>
              </w:rPr>
              <w:t xml:space="preserve"> ar inovacijų politikos analizės, kūrimo ar įgyvendinimo srityse, per pastaruosius 5 metus arba per laiką nuo tiekėjo įregistravimo dienos (jeigu tiekėjas vykdo veiklą </w:t>
            </w:r>
            <w:r w:rsidRPr="0041308A">
              <w:rPr>
                <w:rFonts w:ascii="Times New Roman" w:hAnsi="Times New Roman"/>
                <w:sz w:val="24"/>
                <w:szCs w:val="24"/>
              </w:rPr>
              <w:lastRenderedPageBreak/>
              <w:t>mažiau nei 5 metus)</w:t>
            </w:r>
            <w:r>
              <w:rPr>
                <w:rFonts w:ascii="Times New Roman" w:hAnsi="Times New Roman"/>
                <w:sz w:val="24"/>
                <w:szCs w:val="24"/>
              </w:rPr>
              <w:t xml:space="preserve"> </w:t>
            </w:r>
            <w:r w:rsidRPr="0041308A">
              <w:rPr>
                <w:rFonts w:ascii="Times New Roman" w:hAnsi="Times New Roman"/>
                <w:color w:val="000000"/>
                <w:sz w:val="24"/>
                <w:szCs w:val="24"/>
              </w:rPr>
              <w:t>iki pasiūlymo pateikimo termino pabaigos</w:t>
            </w:r>
            <w:r w:rsidRPr="0041308A">
              <w:rPr>
                <w:rFonts w:ascii="Times New Roman" w:hAnsi="Times New Roman"/>
                <w:sz w:val="24"/>
                <w:szCs w:val="24"/>
              </w:rPr>
              <w:t xml:space="preserve"> būti dalyvavęs ne mažiau nei 2 projektuose, susijusiuose su mokslo</w:t>
            </w:r>
            <w:r>
              <w:rPr>
                <w:rFonts w:ascii="Times New Roman" w:hAnsi="Times New Roman"/>
                <w:sz w:val="24"/>
                <w:szCs w:val="24"/>
              </w:rPr>
              <w:t xml:space="preserve"> finansavimo</w:t>
            </w:r>
            <w:r w:rsidRPr="0041308A">
              <w:rPr>
                <w:rFonts w:ascii="Times New Roman" w:hAnsi="Times New Roman"/>
                <w:sz w:val="24"/>
                <w:szCs w:val="24"/>
              </w:rPr>
              <w:t xml:space="preserve">, </w:t>
            </w:r>
            <w:r>
              <w:rPr>
                <w:rFonts w:ascii="Times New Roman" w:hAnsi="Times New Roman"/>
                <w:sz w:val="24"/>
                <w:szCs w:val="24"/>
              </w:rPr>
              <w:t xml:space="preserve">mokslo politikos, švietimo ar </w:t>
            </w:r>
            <w:r w:rsidRPr="0041308A">
              <w:rPr>
                <w:rFonts w:ascii="Times New Roman" w:hAnsi="Times New Roman"/>
                <w:sz w:val="24"/>
                <w:szCs w:val="24"/>
              </w:rPr>
              <w:t>inovacij</w:t>
            </w:r>
            <w:r>
              <w:rPr>
                <w:rFonts w:ascii="Times New Roman" w:hAnsi="Times New Roman"/>
                <w:sz w:val="24"/>
                <w:szCs w:val="24"/>
              </w:rPr>
              <w:t>ų</w:t>
            </w:r>
            <w:r w:rsidRPr="0041308A">
              <w:rPr>
                <w:rFonts w:ascii="Times New Roman" w:hAnsi="Times New Roman"/>
                <w:sz w:val="24"/>
                <w:szCs w:val="24"/>
              </w:rPr>
              <w:t xml:space="preserve"> </w:t>
            </w:r>
            <w:r>
              <w:rPr>
                <w:rFonts w:ascii="Times New Roman" w:hAnsi="Times New Roman"/>
                <w:sz w:val="24"/>
                <w:szCs w:val="24"/>
              </w:rPr>
              <w:t xml:space="preserve">politikos </w:t>
            </w:r>
            <w:r w:rsidRPr="0041308A">
              <w:rPr>
                <w:rFonts w:ascii="Times New Roman" w:hAnsi="Times New Roman"/>
                <w:sz w:val="24"/>
                <w:szCs w:val="24"/>
              </w:rPr>
              <w:t>vertinimu, strategijų rengim</w:t>
            </w:r>
            <w:r>
              <w:rPr>
                <w:rFonts w:ascii="Times New Roman" w:hAnsi="Times New Roman"/>
                <w:sz w:val="24"/>
                <w:szCs w:val="24"/>
              </w:rPr>
              <w:t>u</w:t>
            </w:r>
            <w:r w:rsidRPr="0041308A">
              <w:rPr>
                <w:rFonts w:ascii="Times New Roman" w:hAnsi="Times New Roman"/>
                <w:sz w:val="24"/>
                <w:szCs w:val="24"/>
              </w:rPr>
              <w:t>, būti dalyvavęs ekspertų grupių ar darbo grupių veikloje, sprendžiant mokslo, švietimo ar inovacijų politikos klausimus arba teikiant siūlymus susijusiomis temomi</w:t>
            </w:r>
            <w:r>
              <w:rPr>
                <w:rFonts w:ascii="Times New Roman" w:hAnsi="Times New Roman"/>
                <w:sz w:val="24"/>
                <w:szCs w:val="24"/>
              </w:rPr>
              <w:t>s.</w:t>
            </w:r>
          </w:p>
          <w:p w14:paraId="5940258E" w14:textId="77777777" w:rsidR="006A5392" w:rsidRPr="00C22C2B" w:rsidRDefault="006A5392" w:rsidP="00291424">
            <w:pPr>
              <w:autoSpaceDE w:val="0"/>
              <w:autoSpaceDN w:val="0"/>
              <w:adjustRightInd w:val="0"/>
              <w:jc w:val="both"/>
              <w:rPr>
                <w:rFonts w:ascii="Times New Roman" w:hAnsi="Times New Roman"/>
                <w:sz w:val="24"/>
                <w:szCs w:val="24"/>
              </w:rPr>
            </w:pPr>
            <w:r>
              <w:rPr>
                <w:rFonts w:ascii="Times New Roman" w:hAnsi="Times New Roman"/>
                <w:i/>
                <w:iCs/>
                <w:sz w:val="24"/>
                <w:szCs w:val="24"/>
              </w:rPr>
              <w:t xml:space="preserve">Pastaba: </w:t>
            </w:r>
            <w:r w:rsidRPr="00C22C2B">
              <w:rPr>
                <w:rFonts w:ascii="Times New Roman" w:hAnsi="Times New Roman"/>
                <w:i/>
                <w:iCs/>
                <w:sz w:val="24"/>
                <w:szCs w:val="24"/>
              </w:rPr>
              <w:t>Tas pats specialistas negali būti siūlomas kelioms pozicijoms</w:t>
            </w:r>
            <w:r>
              <w:rPr>
                <w:rFonts w:ascii="Times New Roman" w:hAnsi="Times New Roman"/>
                <w:i/>
                <w:iCs/>
                <w:sz w:val="24"/>
                <w:szCs w:val="24"/>
              </w:rPr>
              <w:t>.</w:t>
            </w:r>
          </w:p>
        </w:tc>
        <w:tc>
          <w:tcPr>
            <w:tcW w:w="4388" w:type="dxa"/>
          </w:tcPr>
          <w:p w14:paraId="0CEDA96E" w14:textId="77777777" w:rsidR="006A5392" w:rsidRPr="0096586E" w:rsidRDefault="006A5392" w:rsidP="00291424">
            <w:pPr>
              <w:autoSpaceDE w:val="0"/>
              <w:autoSpaceDN w:val="0"/>
              <w:adjustRightInd w:val="0"/>
              <w:jc w:val="both"/>
              <w:rPr>
                <w:rFonts w:ascii="Times New Roman" w:hAnsi="Times New Roman"/>
                <w:sz w:val="24"/>
                <w:szCs w:val="24"/>
              </w:rPr>
            </w:pPr>
            <w:r w:rsidRPr="0096586E">
              <w:rPr>
                <w:rFonts w:ascii="Times New Roman" w:hAnsi="Times New Roman"/>
                <w:sz w:val="24"/>
                <w:szCs w:val="24"/>
              </w:rPr>
              <w:lastRenderedPageBreak/>
              <w:t xml:space="preserve">1. </w:t>
            </w:r>
            <w:r>
              <w:rPr>
                <w:rFonts w:ascii="Times New Roman" w:hAnsi="Times New Roman"/>
                <w:sz w:val="24"/>
                <w:szCs w:val="24"/>
              </w:rPr>
              <w:t>T</w:t>
            </w:r>
            <w:r w:rsidRPr="0096586E">
              <w:rPr>
                <w:rFonts w:ascii="Times New Roman" w:hAnsi="Times New Roman"/>
                <w:sz w:val="24"/>
                <w:szCs w:val="24"/>
              </w:rPr>
              <w:t>iekėjas turi pateikti siūlomų ekspertų į ekspertų grupę sąrašą ir kitą prašomą informaciją;</w:t>
            </w:r>
          </w:p>
          <w:p w14:paraId="1489A992" w14:textId="77777777" w:rsidR="006A5392" w:rsidRPr="0096586E" w:rsidRDefault="006A5392" w:rsidP="00291424">
            <w:pPr>
              <w:autoSpaceDE w:val="0"/>
              <w:autoSpaceDN w:val="0"/>
              <w:adjustRightInd w:val="0"/>
              <w:jc w:val="both"/>
              <w:rPr>
                <w:rFonts w:ascii="Times New Roman" w:hAnsi="Times New Roman"/>
                <w:sz w:val="24"/>
                <w:szCs w:val="24"/>
              </w:rPr>
            </w:pPr>
            <w:r>
              <w:rPr>
                <w:rFonts w:ascii="Times New Roman" w:hAnsi="Times New Roman"/>
                <w:sz w:val="24"/>
                <w:szCs w:val="24"/>
              </w:rPr>
              <w:t>2</w:t>
            </w:r>
            <w:r w:rsidRPr="0096586E">
              <w:rPr>
                <w:rFonts w:ascii="Times New Roman" w:hAnsi="Times New Roman"/>
                <w:sz w:val="24"/>
                <w:szCs w:val="24"/>
              </w:rPr>
              <w:t xml:space="preserve">. </w:t>
            </w:r>
            <w:r>
              <w:rPr>
                <w:rFonts w:ascii="Times New Roman" w:hAnsi="Times New Roman"/>
                <w:sz w:val="24"/>
                <w:szCs w:val="24"/>
              </w:rPr>
              <w:t>P</w:t>
            </w:r>
            <w:r w:rsidRPr="0096586E">
              <w:rPr>
                <w:rFonts w:ascii="Times New Roman" w:hAnsi="Times New Roman"/>
                <w:sz w:val="24"/>
                <w:szCs w:val="24"/>
              </w:rPr>
              <w:t>oveikio vertinimo eksperto pozicijai pateikti savo gyvenimo aprašymą bei per pastaruosius 5 metus arba nuo tiekėjo įregistravimo dienos (jeigu tiekėjas vykdo veiklą mažiau nei 5 metus) iki pasiūlymo pateikimo termino pabaigos atliktų poveikio vertinimų sąrašą, nurodant užsakovą, projekto pavadinimą, projekto apimtį ir vertinimo sritį;</w:t>
            </w:r>
          </w:p>
          <w:p w14:paraId="003AF9E5" w14:textId="77777777" w:rsidR="006A5392" w:rsidRPr="0096586E" w:rsidRDefault="006A5392" w:rsidP="00291424">
            <w:pPr>
              <w:autoSpaceDE w:val="0"/>
              <w:autoSpaceDN w:val="0"/>
              <w:adjustRightInd w:val="0"/>
              <w:jc w:val="both"/>
              <w:rPr>
                <w:rFonts w:ascii="Times New Roman" w:hAnsi="Times New Roman"/>
                <w:sz w:val="24"/>
                <w:szCs w:val="24"/>
              </w:rPr>
            </w:pPr>
            <w:r>
              <w:rPr>
                <w:rFonts w:ascii="Times New Roman" w:hAnsi="Times New Roman"/>
                <w:sz w:val="24"/>
                <w:szCs w:val="24"/>
              </w:rPr>
              <w:t>3</w:t>
            </w:r>
            <w:r w:rsidRPr="0096586E">
              <w:rPr>
                <w:rFonts w:ascii="Times New Roman" w:hAnsi="Times New Roman"/>
                <w:sz w:val="24"/>
                <w:szCs w:val="24"/>
              </w:rPr>
              <w:t xml:space="preserve">. </w:t>
            </w:r>
            <w:r>
              <w:rPr>
                <w:rFonts w:ascii="Times New Roman" w:hAnsi="Times New Roman"/>
                <w:sz w:val="24"/>
                <w:szCs w:val="24"/>
              </w:rPr>
              <w:t>D</w:t>
            </w:r>
            <w:r w:rsidRPr="0096586E">
              <w:rPr>
                <w:rFonts w:ascii="Times New Roman" w:hAnsi="Times New Roman"/>
                <w:sz w:val="24"/>
                <w:szCs w:val="24"/>
              </w:rPr>
              <w:t>uomenų analizės eksperto pozicijai pateikti savo gyvenimo aprašymą, patirties atliekant duomenų rinkimą, apdorojimą ir analizę dalyvaujant mokslo finansavimo, mokslo politikos, švietimo ar inovacijų projektų poveikio vertinimo projektuose aprašymą, bei sąrašą projektų, kuriuose dalyvavo per pastaruosius 5 metus arba nuo tiekėjo įregistravimo dienos (jeigu tiekėjas vykdo veiklą mažiau nei 5 metus) iki pasiūlymo pateikimo termino pabaigos, nurodant projekto pavadinimą, atliktas užduotis, pasiektus rezultatus;</w:t>
            </w:r>
          </w:p>
          <w:p w14:paraId="71916DFA" w14:textId="77777777" w:rsidR="006A5392" w:rsidRPr="0041308A" w:rsidRDefault="006A5392" w:rsidP="00291424">
            <w:pPr>
              <w:autoSpaceDE w:val="0"/>
              <w:autoSpaceDN w:val="0"/>
              <w:adjustRightInd w:val="0"/>
              <w:jc w:val="both"/>
              <w:rPr>
                <w:rFonts w:ascii="Times New Roman" w:hAnsi="Times New Roman"/>
                <w:sz w:val="24"/>
                <w:szCs w:val="24"/>
              </w:rPr>
            </w:pPr>
            <w:r>
              <w:rPr>
                <w:rFonts w:ascii="Times New Roman" w:hAnsi="Times New Roman"/>
                <w:sz w:val="24"/>
                <w:szCs w:val="24"/>
              </w:rPr>
              <w:t>4</w:t>
            </w:r>
            <w:r w:rsidRPr="0096586E">
              <w:rPr>
                <w:rFonts w:ascii="Times New Roman" w:hAnsi="Times New Roman"/>
                <w:sz w:val="24"/>
                <w:szCs w:val="24"/>
              </w:rPr>
              <w:t xml:space="preserve">. </w:t>
            </w:r>
            <w:r>
              <w:rPr>
                <w:rFonts w:ascii="Times New Roman" w:hAnsi="Times New Roman"/>
                <w:sz w:val="24"/>
                <w:szCs w:val="24"/>
              </w:rPr>
              <w:t>M</w:t>
            </w:r>
            <w:r w:rsidRPr="0096586E">
              <w:rPr>
                <w:rFonts w:ascii="Times New Roman" w:hAnsi="Times New Roman"/>
                <w:sz w:val="24"/>
                <w:szCs w:val="24"/>
              </w:rPr>
              <w:t>okslo politikos eksperto pozicijai pateikti savo gyvenimo aprašymą bei sąrašą projektų, ekspertų grupių ar darbo grupių, kuriose dalyvavo per pastaruosius 5 metus arba nuo tiekėjo įregistravimo dienos (jeigu tiekėjas vykdo veiklą mažiau nei 5 metus), nurodant projekto, ekspertų ar darbo grupės pavadinimą, atliktas užduotis, pasiektus rezultatus</w:t>
            </w:r>
          </w:p>
        </w:tc>
      </w:tr>
    </w:tbl>
    <w:p w14:paraId="4EFA3E61" w14:textId="77777777" w:rsidR="006A5392" w:rsidRDefault="006A5392"/>
    <w:sectPr w:rsidR="006A53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67329"/>
    <w:multiLevelType w:val="multilevel"/>
    <w:tmpl w:val="02001A16"/>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7B92889"/>
    <w:multiLevelType w:val="multilevel"/>
    <w:tmpl w:val="A1E4347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8C9103F"/>
    <w:multiLevelType w:val="multilevel"/>
    <w:tmpl w:val="B8562B6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812C1F"/>
    <w:multiLevelType w:val="multilevel"/>
    <w:tmpl w:val="73FAD212"/>
    <w:lvl w:ilvl="0">
      <w:start w:val="4"/>
      <w:numFmt w:val="decimal"/>
      <w:lvlText w:val="%1."/>
      <w:lvlJc w:val="left"/>
      <w:pPr>
        <w:ind w:left="540" w:hanging="540"/>
      </w:pPr>
      <w:rPr>
        <w:rFonts w:hint="default"/>
      </w:rPr>
    </w:lvl>
    <w:lvl w:ilvl="1">
      <w:start w:val="1"/>
      <w:numFmt w:val="decimal"/>
      <w:lvlText w:val="%1.%2."/>
      <w:lvlJc w:val="left"/>
      <w:pPr>
        <w:ind w:left="1533" w:hanging="540"/>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7736577">
    <w:abstractNumId w:val="3"/>
  </w:num>
  <w:num w:numId="2" w16cid:durableId="1327053573">
    <w:abstractNumId w:val="2"/>
  </w:num>
  <w:num w:numId="3" w16cid:durableId="1291785969">
    <w:abstractNumId w:val="1"/>
  </w:num>
  <w:num w:numId="4" w16cid:durableId="43798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92"/>
    <w:rsid w:val="00137C91"/>
    <w:rsid w:val="006A5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E327"/>
  <w15:chartTrackingRefBased/>
  <w15:docId w15:val="{09EF3D7D-9E9B-44F7-8746-2D1F74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92"/>
    <w:pPr>
      <w:spacing w:after="0" w:line="240" w:lineRule="auto"/>
    </w:pPr>
    <w:rPr>
      <w:rFonts w:ascii="TimesLT" w:eastAsia="Times New Roman" w:hAnsi="TimesLT" w:cs="Times New Roman"/>
      <w:kern w:val="0"/>
      <w:sz w:val="28"/>
      <w:szCs w:val="20"/>
      <w:lang w:val="en-US"/>
      <w14:ligatures w14:val="none"/>
    </w:rPr>
  </w:style>
  <w:style w:type="paragraph" w:styleId="Heading1">
    <w:name w:val="heading 1"/>
    <w:basedOn w:val="Normal"/>
    <w:next w:val="Normal"/>
    <w:link w:val="Heading1Char"/>
    <w:uiPriority w:val="9"/>
    <w:qFormat/>
    <w:rsid w:val="006A5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39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A5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3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3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3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3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392"/>
    <w:rPr>
      <w:rFonts w:eastAsiaTheme="majorEastAsia" w:cstheme="majorBidi"/>
      <w:color w:val="272727" w:themeColor="text1" w:themeTint="D8"/>
    </w:rPr>
  </w:style>
  <w:style w:type="paragraph" w:styleId="Title">
    <w:name w:val="Title"/>
    <w:basedOn w:val="Normal"/>
    <w:next w:val="Normal"/>
    <w:link w:val="TitleChar"/>
    <w:uiPriority w:val="10"/>
    <w:qFormat/>
    <w:rsid w:val="006A53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39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A5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392"/>
    <w:pPr>
      <w:spacing w:before="160"/>
      <w:jc w:val="center"/>
    </w:pPr>
    <w:rPr>
      <w:i/>
      <w:iCs/>
      <w:color w:val="404040" w:themeColor="text1" w:themeTint="BF"/>
    </w:rPr>
  </w:style>
  <w:style w:type="character" w:customStyle="1" w:styleId="QuoteChar">
    <w:name w:val="Quote Char"/>
    <w:basedOn w:val="DefaultParagraphFont"/>
    <w:link w:val="Quote"/>
    <w:uiPriority w:val="29"/>
    <w:rsid w:val="006A539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6A5392"/>
    <w:pPr>
      <w:ind w:left="720"/>
      <w:contextualSpacing/>
    </w:pPr>
  </w:style>
  <w:style w:type="character" w:styleId="IntenseEmphasis">
    <w:name w:val="Intense Emphasis"/>
    <w:basedOn w:val="DefaultParagraphFont"/>
    <w:uiPriority w:val="21"/>
    <w:qFormat/>
    <w:rsid w:val="006A5392"/>
    <w:rPr>
      <w:i/>
      <w:iCs/>
      <w:color w:val="0F4761" w:themeColor="accent1" w:themeShade="BF"/>
    </w:rPr>
  </w:style>
  <w:style w:type="paragraph" w:styleId="IntenseQuote">
    <w:name w:val="Intense Quote"/>
    <w:basedOn w:val="Normal"/>
    <w:next w:val="Normal"/>
    <w:link w:val="IntenseQuoteChar"/>
    <w:uiPriority w:val="30"/>
    <w:qFormat/>
    <w:rsid w:val="006A5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392"/>
    <w:rPr>
      <w:i/>
      <w:iCs/>
      <w:color w:val="0F4761" w:themeColor="accent1" w:themeShade="BF"/>
    </w:rPr>
  </w:style>
  <w:style w:type="character" w:styleId="IntenseReference">
    <w:name w:val="Intense Reference"/>
    <w:basedOn w:val="DefaultParagraphFont"/>
    <w:uiPriority w:val="32"/>
    <w:qFormat/>
    <w:rsid w:val="006A5392"/>
    <w:rPr>
      <w:b/>
      <w:bCs/>
      <w:smallCaps/>
      <w:color w:val="0F4761" w:themeColor="accent1" w:themeShade="BF"/>
      <w:spacing w:val="5"/>
    </w:rPr>
  </w:style>
  <w:style w:type="character" w:styleId="Hyperlink">
    <w:name w:val="Hyperlink"/>
    <w:aliases w:val="Alna"/>
    <w:basedOn w:val="DefaultParagraphFont"/>
    <w:uiPriority w:val="99"/>
    <w:unhideWhenUsed/>
    <w:rsid w:val="006A5392"/>
    <w:rPr>
      <w:color w:val="467886" w:themeColor="hyperlink"/>
      <w:u w:val="single"/>
    </w:rPr>
  </w:style>
  <w:style w:type="table" w:styleId="TableGrid">
    <w:name w:val="Table Grid"/>
    <w:basedOn w:val="TableNormal"/>
    <w:uiPriority w:val="39"/>
    <w:rsid w:val="006A53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A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C595FF45F869?faces-redirect=true" TargetMode="External"/><Relationship Id="rId13" Type="http://schemas.openxmlformats.org/officeDocument/2006/relationships/hyperlink" Target="https://e-tar.lt/portal/lt/legalActEditions/6ca8633004fa11e8b3e7ba9cffd043b1" TargetMode="External"/><Relationship Id="rId18" Type="http://schemas.openxmlformats.org/officeDocument/2006/relationships/hyperlink" Target="mailto:info@lmt.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t/legalAct/0a8bead0577611e9975f9c35aedfe438/asr" TargetMode="External"/><Relationship Id="rId12" Type="http://schemas.openxmlformats.org/officeDocument/2006/relationships/hyperlink" Target="https://lmt.lrv.lt/media/viesa/saugykla/2024/1/FAvg3MWsJaY.pdf" TargetMode="External"/><Relationship Id="rId17" Type="http://schemas.openxmlformats.org/officeDocument/2006/relationships/hyperlink" Target="mailto:info@lmt.lt" TargetMode="External"/><Relationship Id="rId2" Type="http://schemas.openxmlformats.org/officeDocument/2006/relationships/styles" Target="styles.xml"/><Relationship Id="rId16" Type="http://schemas.openxmlformats.org/officeDocument/2006/relationships/hyperlink" Target="mailto:info@lm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tar.lt/portal/lt/legalAct/a786ae101f4711e78397ae072f58c508/asr" TargetMode="External"/><Relationship Id="rId11" Type="http://schemas.openxmlformats.org/officeDocument/2006/relationships/hyperlink" Target="https://www.e-tar.lt/portal/lt/legalActEditions/0a8bead0577611e9975f9c35aedfe438" TargetMode="External"/><Relationship Id="rId5" Type="http://schemas.openxmlformats.org/officeDocument/2006/relationships/hyperlink" Target="mailto:info@lmt.lt" TargetMode="External"/><Relationship Id="rId15" Type="http://schemas.openxmlformats.org/officeDocument/2006/relationships/hyperlink" Target="https://lmt.lrv.lt/lt/veiklos-sritys/mokslo-finansavimas/karjeros-mobilumo-sklaidai-skatinimo-priemones/podoktoranturos-stazuotes/" TargetMode="External"/><Relationship Id="rId10" Type="http://schemas.openxmlformats.org/officeDocument/2006/relationships/hyperlink" Target="https://www.e-tar.lt/portal/lt/legalAct/c249ee00ef3a11ed9978886e85107ab2" TargetMode="External"/><Relationship Id="rId19" Type="http://schemas.openxmlformats.org/officeDocument/2006/relationships/hyperlink" Target="mailto:info@lmt.lt" TargetMode="External"/><Relationship Id="rId4" Type="http://schemas.openxmlformats.org/officeDocument/2006/relationships/webSettings" Target="webSettings.xml"/><Relationship Id="rId9" Type="http://schemas.openxmlformats.org/officeDocument/2006/relationships/hyperlink" Target="https://www.e-tar.lt/portal/lt/legalActEditions/ab7ce0b0058411e8b3e7ba9cffd043b1" TargetMode="External"/><Relationship Id="rId14" Type="http://schemas.openxmlformats.org/officeDocument/2006/relationships/hyperlink" Target="https://lmt.lrv.lt/lt/veiklos-sritys/mokslo-finansavimas/karjeros-mobilumo-sklaidai-skatinimo-priemones/parama-valstybes-finansuojamoms-doktoranturos-vietoms-skirstomoms-konkurso-budu-konkursine-doktoran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25876</Words>
  <Characters>14750</Characters>
  <Application>Microsoft Office Word</Application>
  <DocSecurity>0</DocSecurity>
  <Lines>122</Lines>
  <Paragraphs>81</Paragraphs>
  <ScaleCrop>false</ScaleCrop>
  <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1</cp:revision>
  <dcterms:created xsi:type="dcterms:W3CDTF">2025-07-23T13:19:00Z</dcterms:created>
  <dcterms:modified xsi:type="dcterms:W3CDTF">2025-07-23T13:20:00Z</dcterms:modified>
</cp:coreProperties>
</file>