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BBF02" w14:textId="77777777" w:rsidR="004E7EBF" w:rsidRPr="003F547B" w:rsidRDefault="004E7EBF" w:rsidP="004E7EBF">
      <w:pPr>
        <w:pStyle w:val="Heading2"/>
        <w:numPr>
          <w:ilvl w:val="0"/>
          <w:numId w:val="0"/>
        </w:numPr>
        <w:rPr>
          <w:rFonts w:eastAsia="Calibri"/>
          <w:b/>
          <w:color w:val="000000" w:themeColor="text1"/>
          <w:szCs w:val="24"/>
        </w:rPr>
      </w:pPr>
    </w:p>
    <w:tbl>
      <w:tblPr>
        <w:tblpPr w:leftFromText="180" w:rightFromText="180" w:vertAnchor="page" w:horzAnchor="margin" w:tblpXSpec="right" w:tblpY="495"/>
        <w:tblW w:w="2805" w:type="dxa"/>
        <w:tblLook w:val="01E0" w:firstRow="1" w:lastRow="1" w:firstColumn="1" w:lastColumn="1" w:noHBand="0" w:noVBand="0"/>
      </w:tblPr>
      <w:tblGrid>
        <w:gridCol w:w="2805"/>
      </w:tblGrid>
      <w:tr w:rsidR="004E7EBF" w:rsidRPr="00C430A7" w14:paraId="191D63A1" w14:textId="77777777" w:rsidTr="00D27F3C">
        <w:tc>
          <w:tcPr>
            <w:tcW w:w="2805" w:type="dxa"/>
          </w:tcPr>
          <w:p w14:paraId="15BBA19F" w14:textId="77777777" w:rsidR="004E7EBF" w:rsidRPr="00C430A7" w:rsidRDefault="004E7EBF" w:rsidP="00D27F3C">
            <w:pPr>
              <w:spacing w:after="0" w:line="240" w:lineRule="auto"/>
              <w:rPr>
                <w:szCs w:val="24"/>
              </w:rPr>
            </w:pPr>
            <w:r w:rsidRPr="00C430A7">
              <w:rPr>
                <w:szCs w:val="24"/>
              </w:rPr>
              <w:t xml:space="preserve">Supaprastinto atviro </w:t>
            </w:r>
          </w:p>
          <w:p w14:paraId="5A3407D5" w14:textId="77777777" w:rsidR="004E7EBF" w:rsidRPr="00C430A7" w:rsidRDefault="004E7EBF" w:rsidP="00D27F3C">
            <w:pPr>
              <w:spacing w:after="0" w:line="240" w:lineRule="auto"/>
              <w:rPr>
                <w:szCs w:val="24"/>
              </w:rPr>
            </w:pPr>
            <w:r w:rsidRPr="00C430A7">
              <w:rPr>
                <w:szCs w:val="24"/>
              </w:rPr>
              <w:t>konkurso sąlygų</w:t>
            </w:r>
          </w:p>
        </w:tc>
      </w:tr>
      <w:tr w:rsidR="004E7EBF" w:rsidRPr="00C430A7" w14:paraId="35170286" w14:textId="77777777" w:rsidTr="00D27F3C">
        <w:tc>
          <w:tcPr>
            <w:tcW w:w="2805" w:type="dxa"/>
          </w:tcPr>
          <w:p w14:paraId="1783C486" w14:textId="77777777" w:rsidR="004E7EBF" w:rsidRPr="00C430A7" w:rsidRDefault="004E7EBF" w:rsidP="00D27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430A7">
              <w:rPr>
                <w:szCs w:val="24"/>
              </w:rPr>
              <w:t xml:space="preserve"> priedas</w:t>
            </w:r>
          </w:p>
        </w:tc>
      </w:tr>
    </w:tbl>
    <w:p w14:paraId="4EC8B136" w14:textId="77777777" w:rsidR="004E7EBF" w:rsidRPr="000A78B5" w:rsidRDefault="004E7EBF" w:rsidP="004E7EBF">
      <w:pPr>
        <w:spacing w:after="0" w:line="240" w:lineRule="auto"/>
        <w:rPr>
          <w:b/>
          <w:szCs w:val="24"/>
        </w:rPr>
      </w:pPr>
    </w:p>
    <w:p w14:paraId="044338FE" w14:textId="77777777" w:rsidR="004E7EBF" w:rsidRDefault="004E7EBF" w:rsidP="004E7EBF">
      <w:pPr>
        <w:pStyle w:val="ListParagraph"/>
        <w:rPr>
          <w:b/>
        </w:rPr>
      </w:pPr>
    </w:p>
    <w:p w14:paraId="21EE099E" w14:textId="77777777" w:rsidR="004E7EBF" w:rsidRPr="004E7EBF" w:rsidRDefault="004E7EBF" w:rsidP="004E7EB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NAUJO M</w:t>
      </w:r>
      <w:r>
        <w:rPr>
          <w:b/>
          <w:szCs w:val="24"/>
          <w:lang w:val="en-US"/>
        </w:rPr>
        <w:t>3</w:t>
      </w:r>
      <w:r>
        <w:rPr>
          <w:b/>
          <w:szCs w:val="24"/>
        </w:rPr>
        <w:t xml:space="preserve"> KLASĖS DYZELINIO</w:t>
      </w:r>
      <w:r w:rsidRPr="00C62406">
        <w:rPr>
          <w:b/>
          <w:szCs w:val="24"/>
        </w:rPr>
        <w:t xml:space="preserve"> AUTOBUSO TECHNINĖ SPECIFIKACIJA</w:t>
      </w:r>
      <w:bookmarkStart w:id="0" w:name="_GoBack"/>
      <w:bookmarkEnd w:id="0"/>
    </w:p>
    <w:tbl>
      <w:tblPr>
        <w:tblpPr w:leftFromText="180" w:rightFromText="180" w:vertAnchor="text" w:horzAnchor="page" w:tblpX="822" w:tblpY="-1132"/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9C9C9"/>
        <w:tblLayout w:type="fixed"/>
        <w:tblLook w:val="0600" w:firstRow="0" w:lastRow="0" w:firstColumn="0" w:lastColumn="0" w:noHBand="1" w:noVBand="1"/>
      </w:tblPr>
      <w:tblGrid>
        <w:gridCol w:w="841"/>
        <w:gridCol w:w="1984"/>
        <w:gridCol w:w="4395"/>
        <w:gridCol w:w="2835"/>
      </w:tblGrid>
      <w:tr w:rsidR="004E7EBF" w:rsidRPr="00D75D45" w14:paraId="604EEC66" w14:textId="77777777" w:rsidTr="00D27F3C">
        <w:trPr>
          <w:trHeight w:val="1195"/>
        </w:trPr>
        <w:tc>
          <w:tcPr>
            <w:tcW w:w="84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3C5B8" w14:textId="77777777" w:rsidR="004E7EBF" w:rsidRPr="00D75D45" w:rsidRDefault="004E7EBF" w:rsidP="00D27F3C">
            <w:pPr>
              <w:ind w:left="112" w:right="121"/>
              <w:jc w:val="center"/>
            </w:pPr>
            <w:r w:rsidRPr="00D75D45">
              <w:rPr>
                <w:b/>
              </w:rPr>
              <w:lastRenderedPageBreak/>
              <w:t>Eil. Nr.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4FD15" w14:textId="77777777" w:rsidR="004E7EBF" w:rsidRPr="00D75D45" w:rsidRDefault="004E7EBF" w:rsidP="00D27F3C">
            <w:pPr>
              <w:ind w:left="45" w:right="-30" w:firstLine="75"/>
              <w:jc w:val="center"/>
            </w:pPr>
            <w:r w:rsidRPr="00D75D45">
              <w:rPr>
                <w:b/>
              </w:rPr>
              <w:t>Reikalavimas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DF548" w14:textId="77777777" w:rsidR="004E7EBF" w:rsidRPr="00D75D45" w:rsidRDefault="004E7EBF" w:rsidP="00D27F3C">
            <w:pPr>
              <w:ind w:left="45" w:right="-30" w:firstLine="75"/>
              <w:jc w:val="center"/>
            </w:pPr>
            <w:r w:rsidRPr="00D75D45">
              <w:rPr>
                <w:b/>
              </w:rPr>
              <w:t>Reikalavimų aprašymas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F4D" w14:textId="77777777" w:rsidR="004E7EBF" w:rsidRPr="00D75D45" w:rsidRDefault="004E7EBF" w:rsidP="00D27F3C">
            <w:pPr>
              <w:ind w:left="45" w:right="-30" w:firstLine="75"/>
              <w:jc w:val="center"/>
              <w:rPr>
                <w:b/>
                <w:color w:val="000000"/>
              </w:rPr>
            </w:pPr>
            <w:r w:rsidRPr="00D75D45">
              <w:rPr>
                <w:b/>
                <w:color w:val="000000"/>
              </w:rPr>
              <w:t>Tiekėjo siūlomos prekės parametro aprašas arba nurodomi konkretūs parametrai</w:t>
            </w:r>
          </w:p>
          <w:p w14:paraId="4F072623" w14:textId="77777777" w:rsidR="004E7EBF" w:rsidRPr="00E64BD1" w:rsidRDefault="004E7EBF" w:rsidP="00D27F3C">
            <w:pPr>
              <w:jc w:val="center"/>
              <w:rPr>
                <w:rFonts w:eastAsiaTheme="minorHAnsi"/>
                <w:b/>
                <w:color w:val="000000"/>
              </w:rPr>
            </w:pPr>
            <w:r w:rsidRPr="00D75D45">
              <w:rPr>
                <w:b/>
                <w:color w:val="FF0000"/>
              </w:rPr>
              <w:t>(nepakanka nurodyti vien „atitinka / neatitinka“, būtina nurodyti tikslias siūlomas reikšmes ar teikiamus dokumentus</w:t>
            </w:r>
            <w:r w:rsidRPr="00D75D45">
              <w:rPr>
                <w:b/>
                <w:color w:val="000000"/>
              </w:rPr>
              <w:t>)</w:t>
            </w:r>
          </w:p>
        </w:tc>
      </w:tr>
      <w:tr w:rsidR="004E7EBF" w:rsidRPr="00D75D45" w14:paraId="4964112B" w14:textId="77777777" w:rsidTr="00D27F3C">
        <w:tc>
          <w:tcPr>
            <w:tcW w:w="841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FDD2B" w14:textId="77777777" w:rsidR="004E7EBF" w:rsidRPr="00D75D45" w:rsidRDefault="004E7EBF" w:rsidP="00D27F3C">
            <w:pPr>
              <w:ind w:left="112" w:right="121"/>
              <w:jc w:val="center"/>
              <w:rPr>
                <w:b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4ABD7" w14:textId="77777777" w:rsidR="004E7EBF" w:rsidRPr="00D75D45" w:rsidRDefault="004E7EBF" w:rsidP="00D27F3C">
            <w:pPr>
              <w:ind w:left="45" w:right="-30" w:firstLine="75"/>
              <w:jc w:val="center"/>
              <w:rPr>
                <w:b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11C31" w14:textId="77777777" w:rsidR="004E7EBF" w:rsidRPr="00D75D45" w:rsidRDefault="004E7EBF" w:rsidP="00D27F3C">
            <w:pPr>
              <w:ind w:left="45" w:right="-30" w:firstLine="75"/>
              <w:jc w:val="center"/>
              <w:rPr>
                <w:b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4968" w14:textId="77777777" w:rsidR="004E7EBF" w:rsidRPr="00D75D45" w:rsidRDefault="004E7EBF" w:rsidP="00D27F3C">
            <w:pPr>
              <w:ind w:left="45" w:right="-30" w:firstLine="75"/>
              <w:jc w:val="center"/>
              <w:rPr>
                <w:b/>
                <w:color w:val="000000"/>
                <w:szCs w:val="20"/>
              </w:rPr>
            </w:pPr>
            <w:r w:rsidRPr="00D75D45">
              <w:rPr>
                <w:i/>
                <w:color w:val="0070C0"/>
              </w:rPr>
              <w:t>Pildo Tiekėjas</w:t>
            </w:r>
          </w:p>
        </w:tc>
      </w:tr>
      <w:tr w:rsidR="004E7EBF" w:rsidRPr="00D75D45" w14:paraId="01779CEB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3782A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5990E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Transporto priemonės tipas ir kiti reikalavimai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7DD97F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1.1. Naujas, M3 k</w:t>
            </w:r>
            <w:r>
              <w:rPr>
                <w:szCs w:val="20"/>
              </w:rPr>
              <w:t>lasė</w:t>
            </w:r>
            <w:r w:rsidRPr="00D75D45">
              <w:rPr>
                <w:szCs w:val="20"/>
              </w:rPr>
              <w:t xml:space="preserve">s, tarpmiestinio tipo autobusas, pagamintas ne anksčiau nei 2025 m. (pirmoji registracija), varomas dyzeliniu kuru. </w:t>
            </w:r>
          </w:p>
          <w:p w14:paraId="6B1B852B" w14:textId="77777777" w:rsidR="004E7EBF" w:rsidRPr="00D75D45" w:rsidRDefault="004E7EBF" w:rsidP="00D27F3C">
            <w:pPr>
              <w:ind w:left="45" w:right="60" w:firstLine="75"/>
              <w:jc w:val="both"/>
              <w:rPr>
                <w:b/>
                <w:bCs/>
                <w:szCs w:val="20"/>
              </w:rPr>
            </w:pPr>
            <w:r w:rsidRPr="003A77EB">
              <w:rPr>
                <w:b/>
                <w:bCs/>
                <w:szCs w:val="20"/>
              </w:rPr>
              <w:t>Kartu su pasiūlymu turi būti pateikti autobuso techninius parametrus įrodantys dokumentai</w:t>
            </w:r>
            <w:r>
              <w:rPr>
                <w:b/>
                <w:bCs/>
                <w:szCs w:val="20"/>
              </w:rPr>
              <w:t xml:space="preserve"> su siūlomo autobuso kėbulo numeriu</w:t>
            </w:r>
            <w:r w:rsidRPr="003A77EB">
              <w:rPr>
                <w:b/>
                <w:bCs/>
                <w:szCs w:val="20"/>
              </w:rPr>
              <w:t xml:space="preserve"> (registracijos liudijimas ar techninis pasas, ar COC sertifikatas, ar gamintojo sertifikatas, ar kt. lygiavertis techninis dokumentas, kuriame aiškiai matomi duomenys).</w:t>
            </w:r>
          </w:p>
          <w:p w14:paraId="19D0A36E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1.2. Autobuso rida turi būti ne didesnė nei </w:t>
            </w:r>
            <w:r>
              <w:rPr>
                <w:szCs w:val="20"/>
              </w:rPr>
              <w:t>3</w:t>
            </w:r>
            <w:r w:rsidRPr="00D75D45">
              <w:rPr>
                <w:szCs w:val="20"/>
              </w:rPr>
              <w:t>000 km.</w:t>
            </w:r>
          </w:p>
          <w:p w14:paraId="741A8082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1.3. Autobusas turi būti pritaikytas dirbti žiemos (iki -30ºC) ir vasaros (iki +35ºC) temperatūros sąlygomis.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C0FB5B" w14:textId="77777777" w:rsidR="004E7EBF" w:rsidRPr="004843A3" w:rsidRDefault="004E7EBF" w:rsidP="00D27F3C">
            <w:pPr>
              <w:ind w:firstLine="41"/>
              <w:jc w:val="both"/>
              <w:rPr>
                <w:bCs/>
                <w:i/>
                <w:iCs/>
                <w:szCs w:val="20"/>
              </w:rPr>
            </w:pPr>
          </w:p>
        </w:tc>
      </w:tr>
      <w:tr w:rsidR="004E7EBF" w:rsidRPr="00D75D45" w14:paraId="2FEAE4CA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B8217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A9853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Perkamas kiekis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EC2AA01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 (vienas) vnt.</w:t>
            </w:r>
          </w:p>
        </w:tc>
        <w:tc>
          <w:tcPr>
            <w:tcW w:w="2835" w:type="dxa"/>
          </w:tcPr>
          <w:p w14:paraId="4D00B9F6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40C9AE55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7EBBA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B3051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Bendras ilgis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793C90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3A77EB">
              <w:rPr>
                <w:szCs w:val="20"/>
              </w:rPr>
              <w:t>Ne daugiau</w:t>
            </w:r>
            <w:r>
              <w:rPr>
                <w:szCs w:val="20"/>
              </w:rPr>
              <w:t xml:space="preserve"> nei 7500mm</w:t>
            </w:r>
          </w:p>
        </w:tc>
        <w:tc>
          <w:tcPr>
            <w:tcW w:w="2835" w:type="dxa"/>
          </w:tcPr>
          <w:p w14:paraId="4D152F70" w14:textId="77777777" w:rsidR="004E7EBF" w:rsidRPr="004843A3" w:rsidRDefault="004E7EBF" w:rsidP="00D27F3C">
            <w:pPr>
              <w:ind w:firstLine="41"/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  <w:tr w:rsidR="004E7EBF" w:rsidRPr="00D75D45" w14:paraId="7BD10FF7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1DA22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A095D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Plotis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962BC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Ne daugiau</w:t>
            </w:r>
            <w:r>
              <w:rPr>
                <w:szCs w:val="20"/>
              </w:rPr>
              <w:t xml:space="preserve"> nei</w:t>
            </w:r>
            <w:r w:rsidRPr="00D75D45">
              <w:rPr>
                <w:szCs w:val="20"/>
              </w:rPr>
              <w:t xml:space="preserve"> 2200 mm</w:t>
            </w:r>
          </w:p>
        </w:tc>
        <w:tc>
          <w:tcPr>
            <w:tcW w:w="2835" w:type="dxa"/>
          </w:tcPr>
          <w:p w14:paraId="4D1A0F7D" w14:textId="77777777" w:rsidR="004E7EBF" w:rsidRPr="004843A3" w:rsidRDefault="004E7EBF" w:rsidP="00D27F3C">
            <w:pPr>
              <w:ind w:firstLine="41"/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  <w:tr w:rsidR="004E7EBF" w:rsidRPr="00D75D45" w14:paraId="7FE0D3D1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E639B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FE1F0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Aukštis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02B899B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Ne daugiau nei 3200 mm</w:t>
            </w:r>
          </w:p>
        </w:tc>
        <w:tc>
          <w:tcPr>
            <w:tcW w:w="2835" w:type="dxa"/>
          </w:tcPr>
          <w:p w14:paraId="114ADBD9" w14:textId="77777777" w:rsidR="004E7EBF" w:rsidRPr="004843A3" w:rsidRDefault="004E7EBF" w:rsidP="00D27F3C">
            <w:pPr>
              <w:ind w:firstLine="41"/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  <w:tr w:rsidR="004E7EBF" w:rsidRPr="00D75D45" w14:paraId="1F383054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AFDC5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670B7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 xml:space="preserve">Sėdimų ir stovimų vietų skaičius 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22F09F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6.1. Ne mažiau kaip 21 sėdima vieta, įskaitant vairuotojo ir gido vietas </w:t>
            </w:r>
          </w:p>
          <w:p w14:paraId="319D979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6.</w:t>
            </w:r>
            <w:r>
              <w:rPr>
                <w:szCs w:val="20"/>
              </w:rPr>
              <w:t>2</w:t>
            </w:r>
            <w:r w:rsidRPr="00D75D45">
              <w:rPr>
                <w:szCs w:val="20"/>
              </w:rPr>
              <w:t xml:space="preserve">. Ne mažiau kaip </w:t>
            </w:r>
            <w:r>
              <w:rPr>
                <w:szCs w:val="20"/>
                <w:lang w:val="en-US"/>
              </w:rPr>
              <w:t xml:space="preserve">5, bet ne </w:t>
            </w:r>
            <w:proofErr w:type="spellStart"/>
            <w:r>
              <w:rPr>
                <w:szCs w:val="20"/>
                <w:lang w:val="en-US"/>
              </w:rPr>
              <w:t>daugiau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nei</w:t>
            </w:r>
            <w:proofErr w:type="spellEnd"/>
            <w:r>
              <w:rPr>
                <w:szCs w:val="20"/>
                <w:lang w:val="en-US"/>
              </w:rPr>
              <w:t xml:space="preserve"> 10</w:t>
            </w:r>
            <w:r>
              <w:rPr>
                <w:szCs w:val="20"/>
              </w:rPr>
              <w:t xml:space="preserve"> vietų</w:t>
            </w:r>
            <w:r w:rsidRPr="00D75D45">
              <w:rPr>
                <w:szCs w:val="20"/>
              </w:rPr>
              <w:t xml:space="preserve"> stovintiems keleiviams.</w:t>
            </w:r>
          </w:p>
        </w:tc>
        <w:tc>
          <w:tcPr>
            <w:tcW w:w="2835" w:type="dxa"/>
          </w:tcPr>
          <w:p w14:paraId="05CCDC9D" w14:textId="77777777" w:rsidR="004E7EBF" w:rsidRPr="00D75D45" w:rsidRDefault="004E7EBF" w:rsidP="00D27F3C">
            <w:pPr>
              <w:ind w:right="1165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62F62006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2D052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EB069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Keleivių įlipimo durys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2625EB8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7.1. Vienos keleivių įlipimo/išlipimo durys </w:t>
            </w:r>
            <w:r>
              <w:rPr>
                <w:szCs w:val="20"/>
              </w:rPr>
              <w:t>turi būti autobuso priekyje ties priekiniu ratu.</w:t>
            </w:r>
          </w:p>
          <w:p w14:paraId="72D8A9FC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7.2. Atskiros vairuotojo durys kairėje pusėje</w:t>
            </w:r>
          </w:p>
          <w:p w14:paraId="7CFE0D06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7.3. Galinės dvivėrės durys</w:t>
            </w:r>
            <w:r>
              <w:rPr>
                <w:szCs w:val="20"/>
              </w:rPr>
              <w:t>.</w:t>
            </w:r>
          </w:p>
        </w:tc>
        <w:tc>
          <w:tcPr>
            <w:tcW w:w="2835" w:type="dxa"/>
          </w:tcPr>
          <w:p w14:paraId="39468F59" w14:textId="77777777" w:rsidR="004E7EBF" w:rsidRPr="00D75D45" w:rsidRDefault="004E7EBF" w:rsidP="00D27F3C">
            <w:pPr>
              <w:ind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702FDAAA" w14:textId="77777777" w:rsidTr="00D27F3C">
        <w:trPr>
          <w:trHeight w:val="306"/>
        </w:trPr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76617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44703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Bendra didžiausia leistina masė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3522F2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Ne daugiau kaip 6000 kg</w:t>
            </w:r>
            <w:r>
              <w:rPr>
                <w:szCs w:val="20"/>
              </w:rPr>
              <w:t>.</w:t>
            </w:r>
          </w:p>
        </w:tc>
        <w:tc>
          <w:tcPr>
            <w:tcW w:w="2835" w:type="dxa"/>
          </w:tcPr>
          <w:p w14:paraId="788A641E" w14:textId="77777777" w:rsidR="004E7EBF" w:rsidRPr="00D75D45" w:rsidRDefault="004E7EBF" w:rsidP="00D27F3C">
            <w:pPr>
              <w:ind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70409BB7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4B10D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Pr="00D75D45">
              <w:rPr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94552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Išorės dažymas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7952F88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Kėbulas privalo būti vienspalvis, baltos arba sidabrinės spalvos.</w:t>
            </w:r>
          </w:p>
        </w:tc>
        <w:tc>
          <w:tcPr>
            <w:tcW w:w="2835" w:type="dxa"/>
          </w:tcPr>
          <w:p w14:paraId="614D5EF4" w14:textId="77777777" w:rsidR="004E7EBF" w:rsidRPr="009A7592" w:rsidRDefault="004E7EBF" w:rsidP="00D27F3C">
            <w:pPr>
              <w:ind w:firstLine="41"/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  <w:tr w:rsidR="004E7EBF" w:rsidRPr="00D75D45" w14:paraId="7C0A889A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2BCF4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7D80B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Ašys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068247E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 (dvi)</w:t>
            </w:r>
          </w:p>
        </w:tc>
        <w:tc>
          <w:tcPr>
            <w:tcW w:w="2835" w:type="dxa"/>
          </w:tcPr>
          <w:p w14:paraId="764CD168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4345CC25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765AB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11.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43659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Jėgos agregatas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255DD62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11.1. Vidaus degimo, varomas dyzeliniu kuru.</w:t>
            </w:r>
          </w:p>
          <w:p w14:paraId="031AC58F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11.2. Privalo atitikti ne žemesnį nei Euro 6 emisijos standartą arba ekologiškesnių ir ekonomiškesnių variklių oro taršos ribinius reikalavimus.</w:t>
            </w:r>
          </w:p>
          <w:p w14:paraId="3519A0F8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11.3. Variklio galia – ne </w:t>
            </w:r>
            <w:r>
              <w:rPr>
                <w:szCs w:val="20"/>
              </w:rPr>
              <w:t>didesnė</w:t>
            </w:r>
            <w:r w:rsidRPr="00D75D45">
              <w:rPr>
                <w:szCs w:val="20"/>
              </w:rPr>
              <w:t xml:space="preserve"> kaip 120 kW.</w:t>
            </w:r>
          </w:p>
          <w:p w14:paraId="33410F68" w14:textId="77777777" w:rsidR="004E7EBF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11.4. Variklio darbinis tūris ne didesnis kaip </w:t>
            </w:r>
            <w:r>
              <w:rPr>
                <w:szCs w:val="20"/>
              </w:rPr>
              <w:t>2000</w:t>
            </w:r>
            <w:r w:rsidRPr="00D75D45">
              <w:rPr>
                <w:szCs w:val="20"/>
              </w:rPr>
              <w:t xml:space="preserve"> </w:t>
            </w:r>
            <w:proofErr w:type="spellStart"/>
            <w:r w:rsidRPr="00D75D45">
              <w:rPr>
                <w:szCs w:val="20"/>
              </w:rPr>
              <w:t>k</w:t>
            </w:r>
            <w:r>
              <w:rPr>
                <w:szCs w:val="20"/>
              </w:rPr>
              <w:t>ū</w:t>
            </w:r>
            <w:r w:rsidRPr="00D75D45">
              <w:rPr>
                <w:szCs w:val="20"/>
              </w:rPr>
              <w:t>binių</w:t>
            </w:r>
            <w:proofErr w:type="spellEnd"/>
            <w:r w:rsidRPr="00D75D45">
              <w:rPr>
                <w:szCs w:val="20"/>
              </w:rPr>
              <w:t xml:space="preserve"> centimetrų.</w:t>
            </w:r>
          </w:p>
          <w:p w14:paraId="61F8D3EF" w14:textId="77777777" w:rsidR="004E7EBF" w:rsidRPr="00B25A0C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>
              <w:rPr>
                <w:szCs w:val="20"/>
              </w:rPr>
              <w:t>11.5. Kuro sąnaudos ne daugiau kaip 13l/100km.</w:t>
            </w:r>
          </w:p>
        </w:tc>
        <w:tc>
          <w:tcPr>
            <w:tcW w:w="2835" w:type="dxa"/>
          </w:tcPr>
          <w:p w14:paraId="21E758C9" w14:textId="77777777" w:rsidR="004E7EBF" w:rsidRPr="00D75D45" w:rsidRDefault="004E7EBF" w:rsidP="00D27F3C">
            <w:pPr>
              <w:ind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7FC97084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578F6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12.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E672F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Pavarų dėžė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FF94C8A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12.1. Automatinė</w:t>
            </w:r>
          </w:p>
        </w:tc>
        <w:tc>
          <w:tcPr>
            <w:tcW w:w="2835" w:type="dxa"/>
          </w:tcPr>
          <w:p w14:paraId="29FA3B80" w14:textId="77777777" w:rsidR="004E7EBF" w:rsidRPr="009A7592" w:rsidRDefault="004E7EBF" w:rsidP="00D27F3C">
            <w:pPr>
              <w:ind w:firstLine="41"/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  <w:tr w:rsidR="004E7EBF" w:rsidRPr="00D75D45" w14:paraId="2DD22CE9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E820B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13.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FD734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Ratai ir padangos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EEFE5CA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13.1. Ratų kiekis ant priekinės ašies – 2 vnt.</w:t>
            </w:r>
          </w:p>
          <w:p w14:paraId="544F78FB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13.2. Ratų kiekis ant galinės ašies – 4 vnt.</w:t>
            </w:r>
          </w:p>
          <w:p w14:paraId="07E1261B" w14:textId="77777777" w:rsidR="004E7EBF" w:rsidRPr="00D75D45" w:rsidRDefault="004E7EBF" w:rsidP="00D27F3C">
            <w:pPr>
              <w:ind w:left="45" w:right="60" w:firstLine="75"/>
              <w:jc w:val="both"/>
              <w:rPr>
                <w:rFonts w:eastAsia="MS Mincho"/>
                <w:szCs w:val="20"/>
              </w:rPr>
            </w:pPr>
            <w:r w:rsidRPr="00D75D45">
              <w:rPr>
                <w:rFonts w:eastAsia="MS Mincho"/>
                <w:szCs w:val="20"/>
              </w:rPr>
              <w:t>13.3. Padangų išmatavimai turi atitikti autobuso gamintojo nurodytus matmenis.</w:t>
            </w:r>
          </w:p>
        </w:tc>
        <w:tc>
          <w:tcPr>
            <w:tcW w:w="2835" w:type="dxa"/>
          </w:tcPr>
          <w:p w14:paraId="637F8304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292BB91B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1B52B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14.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01A40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Pakaba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6DBC4D1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Linginė arba pneumatinė pakaba.</w:t>
            </w:r>
          </w:p>
        </w:tc>
        <w:tc>
          <w:tcPr>
            <w:tcW w:w="2835" w:type="dxa"/>
          </w:tcPr>
          <w:p w14:paraId="781A6F46" w14:textId="77777777" w:rsidR="004E7EBF" w:rsidRPr="009A7592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17BA9A7A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91136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15.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5F446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Stabdžiai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F38E8FC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15.1. Visi stabdžiai – diskinio tipo.</w:t>
            </w:r>
          </w:p>
          <w:p w14:paraId="554EF74B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15.2. ABS (angl. </w:t>
            </w:r>
            <w:proofErr w:type="spellStart"/>
            <w:r w:rsidRPr="00D75D45">
              <w:rPr>
                <w:i/>
                <w:szCs w:val="20"/>
              </w:rPr>
              <w:t>Anti-lock</w:t>
            </w:r>
            <w:proofErr w:type="spellEnd"/>
            <w:r w:rsidRPr="00D75D45">
              <w:rPr>
                <w:i/>
                <w:szCs w:val="20"/>
              </w:rPr>
              <w:t xml:space="preserve"> </w:t>
            </w:r>
            <w:proofErr w:type="spellStart"/>
            <w:r w:rsidRPr="00D75D45">
              <w:rPr>
                <w:i/>
                <w:szCs w:val="20"/>
              </w:rPr>
              <w:t>Braking</w:t>
            </w:r>
            <w:proofErr w:type="spellEnd"/>
            <w:r w:rsidRPr="00D75D45">
              <w:rPr>
                <w:i/>
                <w:szCs w:val="20"/>
              </w:rPr>
              <w:t xml:space="preserve"> System</w:t>
            </w:r>
            <w:r w:rsidRPr="00D75D45">
              <w:rPr>
                <w:szCs w:val="20"/>
              </w:rPr>
              <w:t>) sistema.</w:t>
            </w:r>
          </w:p>
        </w:tc>
        <w:tc>
          <w:tcPr>
            <w:tcW w:w="2835" w:type="dxa"/>
          </w:tcPr>
          <w:p w14:paraId="5171D9BA" w14:textId="77777777" w:rsidR="004E7EBF" w:rsidRPr="00B25A0C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025A862A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4EEFE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16.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17AB6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Vairavimo sistema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B9D7C72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16.1. Sistema su stiprintuvu.</w:t>
            </w:r>
          </w:p>
          <w:p w14:paraId="13BC0393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16.2. Vairas kairėje pusėje.</w:t>
            </w:r>
          </w:p>
          <w:p w14:paraId="2EE1D01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16.3. Vairo padėtis reguliuojama.</w:t>
            </w:r>
          </w:p>
        </w:tc>
        <w:tc>
          <w:tcPr>
            <w:tcW w:w="2835" w:type="dxa"/>
          </w:tcPr>
          <w:p w14:paraId="27F87984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552D3E07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99820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17.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DFD89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Elektros sistema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8E44F8E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17.1. Darbinė įtampa – 24 V DC.</w:t>
            </w:r>
          </w:p>
          <w:p w14:paraId="09CCCBD0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17.2. Ne mažiau nei 10 USB jungčių keleivių salone.</w:t>
            </w:r>
          </w:p>
        </w:tc>
        <w:tc>
          <w:tcPr>
            <w:tcW w:w="2835" w:type="dxa"/>
          </w:tcPr>
          <w:p w14:paraId="10B39A25" w14:textId="77777777" w:rsidR="004E7EBF" w:rsidRPr="00B25A0C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50C08F31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18269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18.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4D741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Akumuliatoriai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229BAC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Akumuliatorių masės jungiklis. </w:t>
            </w:r>
          </w:p>
        </w:tc>
        <w:tc>
          <w:tcPr>
            <w:tcW w:w="2835" w:type="dxa"/>
          </w:tcPr>
          <w:p w14:paraId="7BBB0520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0CDE1BAC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21A4E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19.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7CB19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Aušinimo sistema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D3750BB" w14:textId="77777777" w:rsidR="004E7EBF" w:rsidRPr="00D75D45" w:rsidRDefault="004E7EBF" w:rsidP="00D27F3C">
            <w:pPr>
              <w:ind w:left="45" w:right="60" w:firstLine="75"/>
              <w:jc w:val="both"/>
              <w:rPr>
                <w:rFonts w:eastAsia="MS Mincho"/>
                <w:szCs w:val="20"/>
              </w:rPr>
            </w:pPr>
            <w:r w:rsidRPr="00D75D45">
              <w:rPr>
                <w:szCs w:val="20"/>
              </w:rPr>
              <w:t>19.1. Variklis aušinamas aušinimo skysčiu.</w:t>
            </w:r>
          </w:p>
        </w:tc>
        <w:tc>
          <w:tcPr>
            <w:tcW w:w="2835" w:type="dxa"/>
          </w:tcPr>
          <w:p w14:paraId="3E20D6D2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3FBB5F26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83FBF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20.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1246F2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 xml:space="preserve">Kuro bakas (-ai) 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89378" w14:textId="77777777" w:rsidR="004E7EBF" w:rsidRPr="00DC1E5E" w:rsidRDefault="004E7EBF" w:rsidP="00D27F3C">
            <w:pPr>
              <w:ind w:left="45" w:right="60" w:firstLine="75"/>
              <w:jc w:val="both"/>
              <w:rPr>
                <w:rFonts w:eastAsia="MS Mincho"/>
                <w:szCs w:val="20"/>
              </w:rPr>
            </w:pPr>
            <w:r w:rsidRPr="00D75D45">
              <w:rPr>
                <w:rFonts w:eastAsia="MS Mincho"/>
                <w:szCs w:val="20"/>
              </w:rPr>
              <w:t xml:space="preserve">20.1. Kuro bako talpa ne mažiau nei 70 litrų. </w:t>
            </w:r>
          </w:p>
        </w:tc>
        <w:tc>
          <w:tcPr>
            <w:tcW w:w="2835" w:type="dxa"/>
          </w:tcPr>
          <w:p w14:paraId="237E4F77" w14:textId="77777777" w:rsidR="004E7EBF" w:rsidRPr="009A7592" w:rsidRDefault="004E7EBF" w:rsidP="00D27F3C">
            <w:pPr>
              <w:ind w:right="60" w:firstLine="41"/>
              <w:jc w:val="both"/>
              <w:rPr>
                <w:rFonts w:eastAsia="MS Mincho"/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2C85A631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3E0342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21.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FB545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Autobuso greitis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9FE0C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Transporto priemonėje privalo būti greičio ribotuvas. Maksimalus greitis turi būti apribotas iki 100 km/h.</w:t>
            </w:r>
          </w:p>
        </w:tc>
        <w:tc>
          <w:tcPr>
            <w:tcW w:w="2835" w:type="dxa"/>
          </w:tcPr>
          <w:p w14:paraId="0583CE15" w14:textId="77777777" w:rsidR="004E7EBF" w:rsidRPr="009A7592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7987CB22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55FDF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22.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BBF15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Keleivių salono ventiliacija ir šildymas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E7700" w14:textId="77777777" w:rsidR="004E7EBF" w:rsidRPr="00D75D45" w:rsidRDefault="004E7EBF" w:rsidP="00D27F3C">
            <w:pPr>
              <w:ind w:left="45" w:right="60"/>
              <w:jc w:val="both"/>
              <w:rPr>
                <w:szCs w:val="20"/>
                <w:highlight w:val="yellow"/>
              </w:rPr>
            </w:pPr>
            <w:r>
              <w:rPr>
                <w:szCs w:val="20"/>
              </w:rPr>
              <w:t>Lentynėlės su personaliniu apipūtimu.</w:t>
            </w:r>
          </w:p>
        </w:tc>
        <w:tc>
          <w:tcPr>
            <w:tcW w:w="2835" w:type="dxa"/>
          </w:tcPr>
          <w:p w14:paraId="270803D5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09E10959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8BF80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23.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77DEC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Šildymas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69A3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23.1. Autonominis šildymas (</w:t>
            </w:r>
            <w:proofErr w:type="spellStart"/>
            <w:r w:rsidRPr="00D75D45">
              <w:rPr>
                <w:szCs w:val="20"/>
              </w:rPr>
              <w:t>webasto</w:t>
            </w:r>
            <w:proofErr w:type="spellEnd"/>
            <w:r w:rsidRPr="00D75D45">
              <w:rPr>
                <w:szCs w:val="20"/>
              </w:rPr>
              <w:t xml:space="preserve"> arba analogiškas). </w:t>
            </w:r>
          </w:p>
          <w:p w14:paraId="5A26A411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23.2. </w:t>
            </w:r>
            <w:proofErr w:type="spellStart"/>
            <w:r w:rsidRPr="00D75D45">
              <w:rPr>
                <w:szCs w:val="20"/>
              </w:rPr>
              <w:t>Konvektoriniai</w:t>
            </w:r>
            <w:proofErr w:type="spellEnd"/>
            <w:r w:rsidRPr="00D75D45">
              <w:rPr>
                <w:szCs w:val="20"/>
              </w:rPr>
              <w:t xml:space="preserve"> radiatoriai abiejose salono pusėse ne mažiau kaip 2000 mm ilgio kiekvienas.</w:t>
            </w:r>
          </w:p>
          <w:p w14:paraId="1770FE9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23.3. Atskiras vairuotojo darbo vietos ir keleivių salono šildymas.</w:t>
            </w:r>
          </w:p>
        </w:tc>
        <w:tc>
          <w:tcPr>
            <w:tcW w:w="2835" w:type="dxa"/>
          </w:tcPr>
          <w:p w14:paraId="64E3953C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22D88C80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05A0D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24.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FB5978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Oro kondicionavimo sistema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44C00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24.1. Turi būti įrengta ne mažesnė nei 10 kW galingumo kondicionavimo sistema keleiviams. </w:t>
            </w:r>
          </w:p>
          <w:p w14:paraId="29047C22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24.2. Atskirai valdoma vairuotojo darbo vietos kondicionavimo sistema.</w:t>
            </w:r>
          </w:p>
        </w:tc>
        <w:tc>
          <w:tcPr>
            <w:tcW w:w="2835" w:type="dxa"/>
          </w:tcPr>
          <w:p w14:paraId="2C1AFFEA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0070C0"/>
                <w:szCs w:val="20"/>
              </w:rPr>
            </w:pPr>
          </w:p>
        </w:tc>
      </w:tr>
      <w:tr w:rsidR="004E7EBF" w:rsidRPr="00D75D45" w14:paraId="28EE0C65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2D1D4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25.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8AF38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Vairuotojo darbo vieta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6E531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25.1. Pagrindiniai jungikliai, signalinės lemputės, pranešimai borto kompiuteryje turi būti pažymėti atpažinimo ženklais.</w:t>
            </w:r>
          </w:p>
          <w:p w14:paraId="3C83473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25.2. Prietaisų skydelyje montuojamas spidometras, </w:t>
            </w:r>
            <w:proofErr w:type="spellStart"/>
            <w:r w:rsidRPr="00D75D45">
              <w:rPr>
                <w:szCs w:val="20"/>
              </w:rPr>
              <w:t>tachometras</w:t>
            </w:r>
            <w:proofErr w:type="spellEnd"/>
            <w:r w:rsidRPr="00D75D45">
              <w:rPr>
                <w:szCs w:val="20"/>
              </w:rPr>
              <w:t xml:space="preserve">, </w:t>
            </w:r>
            <w:proofErr w:type="spellStart"/>
            <w:r w:rsidRPr="00D75D45">
              <w:rPr>
                <w:szCs w:val="20"/>
              </w:rPr>
              <w:t>odometras</w:t>
            </w:r>
            <w:proofErr w:type="spellEnd"/>
            <w:r w:rsidRPr="00D75D45">
              <w:rPr>
                <w:szCs w:val="20"/>
              </w:rPr>
              <w:t xml:space="preserve">. </w:t>
            </w:r>
          </w:p>
          <w:p w14:paraId="134FEE96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25.3. Prietaisų skydelyje turi būti pateikiama visa vairuotojui informacija apie transporto priemonės sistemų techninę būklę.</w:t>
            </w:r>
          </w:p>
          <w:p w14:paraId="7C80AFA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25.4. Matavimo prietaisų skalės turi būti metrinės matavimo sistemos.</w:t>
            </w:r>
          </w:p>
          <w:p w14:paraId="6FDF9E9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25.5. Variklis užvedamas iš vairuotojo darbo vietos.</w:t>
            </w:r>
          </w:p>
          <w:p w14:paraId="70D3E9AF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25.6. Vairuotojo darbo vietoje turi būti įrengtas </w:t>
            </w:r>
            <w:proofErr w:type="spellStart"/>
            <w:r w:rsidRPr="00D75D45">
              <w:rPr>
                <w:szCs w:val="20"/>
              </w:rPr>
              <w:t>tachografas</w:t>
            </w:r>
            <w:proofErr w:type="spellEnd"/>
            <w:r w:rsidRPr="00D75D45">
              <w:rPr>
                <w:szCs w:val="20"/>
              </w:rPr>
              <w:t>.</w:t>
            </w:r>
          </w:p>
          <w:p w14:paraId="0CB8CEE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25.7. Autobuso salono temperatūros rodmenų pateikimas vairuotojo darbo vietoje.</w:t>
            </w:r>
          </w:p>
          <w:p w14:paraId="28E5E57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25.8. Radijo/garso sistema. </w:t>
            </w:r>
          </w:p>
        </w:tc>
        <w:tc>
          <w:tcPr>
            <w:tcW w:w="2835" w:type="dxa"/>
          </w:tcPr>
          <w:p w14:paraId="16A0912C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4B044709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E3623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26.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FC670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Keleivių sėdynės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C9BD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26.1. Keleivių sėdynės individualios, aukštos, minkštos, atlenkiamos atgal, su </w:t>
            </w:r>
            <w:proofErr w:type="spellStart"/>
            <w:r w:rsidRPr="00D75D45">
              <w:rPr>
                <w:szCs w:val="20"/>
              </w:rPr>
              <w:t>porankiu</w:t>
            </w:r>
            <w:proofErr w:type="spellEnd"/>
            <w:r w:rsidRPr="00D75D45">
              <w:rPr>
                <w:szCs w:val="20"/>
              </w:rPr>
              <w:t>.</w:t>
            </w:r>
          </w:p>
          <w:p w14:paraId="0673695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26.2. Keleivių sėdynės su saugos diržais. </w:t>
            </w:r>
          </w:p>
          <w:p w14:paraId="149CE71B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26.3. Sėdynių apmušalai tamsaus audinio.</w:t>
            </w:r>
          </w:p>
        </w:tc>
        <w:tc>
          <w:tcPr>
            <w:tcW w:w="2835" w:type="dxa"/>
          </w:tcPr>
          <w:p w14:paraId="625AA8A2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5E6B27C4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60B98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27.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7B291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Apsaugos, gelbėjimo įranga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AA315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27.1. Lengvai prieinami ir pažymėti 2 milteliniai ugnies gesintuvai.</w:t>
            </w:r>
          </w:p>
          <w:p w14:paraId="0E33366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27.2. Raudonai atspindintis avarinis trikampis ženklas.</w:t>
            </w:r>
          </w:p>
          <w:p w14:paraId="5DBA49C2" w14:textId="77777777" w:rsidR="004E7EBF" w:rsidRPr="00D75D45" w:rsidRDefault="004E7EBF" w:rsidP="00D27F3C">
            <w:pPr>
              <w:ind w:left="45" w:right="60" w:firstLine="18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27.3. Ne mažiau kaip 2 (dvi) ratų atsparos.</w:t>
            </w:r>
          </w:p>
          <w:p w14:paraId="4EAC707E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27.4. Dvi ryškiaspalvės šviesą atspindinčios liemenės.</w:t>
            </w:r>
          </w:p>
          <w:p w14:paraId="4864638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27.5. Pritvirtinti avariniai plaktukai.</w:t>
            </w:r>
          </w:p>
          <w:p w14:paraId="4E4AC5AC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27.6. Pirmosios pagalbos rinkinys (vaistinėlė)  </w:t>
            </w:r>
            <w:r>
              <w:rPr>
                <w:szCs w:val="20"/>
              </w:rPr>
              <w:t xml:space="preserve">pagal </w:t>
            </w:r>
            <w:r w:rsidRPr="00D75D45">
              <w:rPr>
                <w:szCs w:val="20"/>
              </w:rPr>
              <w:t>Lietuvos Respublikos sveikatos apsaugos ministro 2003 m. liepos 11 d. įsakymu Nr. V-450 patvirtintą aprašą (aktuali redakcija).</w:t>
            </w:r>
          </w:p>
        </w:tc>
        <w:tc>
          <w:tcPr>
            <w:tcW w:w="2835" w:type="dxa"/>
          </w:tcPr>
          <w:p w14:paraId="258E47F4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5562F7FF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17905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28.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CA776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Priekinio lango stiklas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109E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Priekinio lango stiklas apipučiamas oru.</w:t>
            </w:r>
          </w:p>
        </w:tc>
        <w:tc>
          <w:tcPr>
            <w:tcW w:w="2835" w:type="dxa"/>
          </w:tcPr>
          <w:p w14:paraId="10458098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02B35B2A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0D4FE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29.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7E891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Langai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1E9C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29.1. Langai turi būti pagaminti iš saugaus (grūdinto) stiklo, šoniniai – dvigubų stiklų paketo, neskilę ar kitaip nepažeisti, neužrasoję.</w:t>
            </w:r>
          </w:p>
        </w:tc>
        <w:tc>
          <w:tcPr>
            <w:tcW w:w="2835" w:type="dxa"/>
          </w:tcPr>
          <w:p w14:paraId="19A24EBD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20DBC3C7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D1E12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30.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75AC7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Avariniai išėjimai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A264A6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30.1. Avariniai išėjimai pažymėti užrašu „Avarinis išėjimas“.</w:t>
            </w:r>
          </w:p>
          <w:p w14:paraId="09FC24C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30.2. Šalia avarinio išėjimo patikimai pritvirtinti plaktukai, skirti stiklui sudaužyti.</w:t>
            </w:r>
          </w:p>
        </w:tc>
        <w:tc>
          <w:tcPr>
            <w:tcW w:w="2835" w:type="dxa"/>
          </w:tcPr>
          <w:p w14:paraId="291B8C22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2D52AC90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27173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31.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71F8B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Vidaus apšvietimas, išorinis apšvietimas, žibintai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1FE60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31.1. Ne mažiau dviejų lygių salono apšvietimas, reguliuojamas iš vairuotojo darbo vietos.</w:t>
            </w:r>
          </w:p>
          <w:p w14:paraId="41086B69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31.2. Atskiras apšvietimas vairuotojo darbo vietoje.</w:t>
            </w:r>
          </w:p>
          <w:p w14:paraId="7B0D805F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31.3. Keleivių salono personaliniai šviestuvai.</w:t>
            </w:r>
          </w:p>
          <w:p w14:paraId="5002A58F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31.4. Keleivių salono apšvietimui naudojamos LED technologijos.</w:t>
            </w:r>
          </w:p>
          <w:p w14:paraId="1096524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31.5. Artimųjų, tolimųjų ir dienos šviesos žibintai.</w:t>
            </w:r>
          </w:p>
          <w:p w14:paraId="71DEC315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31.6. </w:t>
            </w:r>
            <w:proofErr w:type="spellStart"/>
            <w:r w:rsidRPr="00D75D45">
              <w:rPr>
                <w:szCs w:val="20"/>
              </w:rPr>
              <w:t>Priešrūkiniai</w:t>
            </w:r>
            <w:proofErr w:type="spellEnd"/>
            <w:r w:rsidRPr="00D75D45">
              <w:rPr>
                <w:szCs w:val="20"/>
              </w:rPr>
              <w:t xml:space="preserve"> žibintai.</w:t>
            </w:r>
          </w:p>
        </w:tc>
        <w:tc>
          <w:tcPr>
            <w:tcW w:w="2835" w:type="dxa"/>
          </w:tcPr>
          <w:p w14:paraId="09EEE84E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165E511B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B2DAF1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32.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62619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Veidrodžiai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038B1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32.1. Išoriniai veidrodžiai valdomi elektra, šildomi arba vaizdo kameros atliekančios išorinių veidrodžių funkciją.</w:t>
            </w:r>
          </w:p>
          <w:p w14:paraId="083BAD3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32.2. Mechaniškai reguliuojamas veidrodis salone.</w:t>
            </w:r>
          </w:p>
        </w:tc>
        <w:tc>
          <w:tcPr>
            <w:tcW w:w="2835" w:type="dxa"/>
          </w:tcPr>
          <w:p w14:paraId="747061A1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02599CF5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A36C6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33.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F42C17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Užrašai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4C1FE2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Visi užrašai ir informacija salone tik lietuvių kalba.</w:t>
            </w:r>
          </w:p>
        </w:tc>
        <w:tc>
          <w:tcPr>
            <w:tcW w:w="2835" w:type="dxa"/>
          </w:tcPr>
          <w:p w14:paraId="2B6FFD6A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2B9F5AA1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7277D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34.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E2C100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Grindys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12FEA1" w14:textId="77777777" w:rsidR="004E7EBF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34.1. Atspari dilimui grindų danga autobuso viduje.</w:t>
            </w:r>
          </w:p>
          <w:p w14:paraId="69BF5A53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>
              <w:rPr>
                <w:szCs w:val="20"/>
              </w:rPr>
              <w:t>34.2. Įgilintas keleivių salono praėjimo takas.</w:t>
            </w:r>
          </w:p>
        </w:tc>
        <w:tc>
          <w:tcPr>
            <w:tcW w:w="2835" w:type="dxa"/>
          </w:tcPr>
          <w:p w14:paraId="6CF91B75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71EADEA5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4A789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35.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BEC76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Vidaus ir keleivių salono papildoma įranga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2B65D3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35.</w:t>
            </w:r>
            <w:r>
              <w:rPr>
                <w:szCs w:val="20"/>
              </w:rPr>
              <w:t>1</w:t>
            </w:r>
            <w:r w:rsidRPr="00D75D45">
              <w:rPr>
                <w:szCs w:val="20"/>
              </w:rPr>
              <w:t>. Keleivių salono langų užuolaidos.</w:t>
            </w:r>
          </w:p>
          <w:p w14:paraId="2BEE2C57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35.</w:t>
            </w:r>
            <w:r>
              <w:rPr>
                <w:szCs w:val="20"/>
              </w:rPr>
              <w:t>2</w:t>
            </w:r>
            <w:r w:rsidRPr="00D75D45">
              <w:rPr>
                <w:szCs w:val="20"/>
              </w:rPr>
              <w:t>. Bagažo lentynos virš sėdynių.</w:t>
            </w:r>
          </w:p>
        </w:tc>
        <w:tc>
          <w:tcPr>
            <w:tcW w:w="2835" w:type="dxa"/>
          </w:tcPr>
          <w:p w14:paraId="6B27D387" w14:textId="77777777" w:rsidR="004E7EBF" w:rsidRPr="00D75D45" w:rsidRDefault="004E7EBF" w:rsidP="00D27F3C">
            <w:pPr>
              <w:ind w:right="60" w:firstLine="41"/>
              <w:jc w:val="both"/>
              <w:rPr>
                <w:i/>
                <w:iCs/>
                <w:szCs w:val="20"/>
              </w:rPr>
            </w:pPr>
          </w:p>
        </w:tc>
      </w:tr>
      <w:tr w:rsidR="004E7EBF" w:rsidRPr="00D75D45" w14:paraId="0E884965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6C62D7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36.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8B889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Išorės įranga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6C1EDC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Įgilintas bagažo skyrius autobuso gale.</w:t>
            </w:r>
          </w:p>
        </w:tc>
        <w:tc>
          <w:tcPr>
            <w:tcW w:w="2835" w:type="dxa"/>
          </w:tcPr>
          <w:p w14:paraId="24E8B584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4BBBE5A8" w14:textId="77777777" w:rsidTr="00D27F3C">
        <w:tc>
          <w:tcPr>
            <w:tcW w:w="84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46343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</w:t>
            </w:r>
            <w:r>
              <w:rPr>
                <w:szCs w:val="20"/>
              </w:rPr>
              <w:t>7</w:t>
            </w:r>
            <w:r w:rsidRPr="00D75D45">
              <w:rPr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10C454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Kita privaloma įranga</w:t>
            </w:r>
          </w:p>
        </w:tc>
        <w:tc>
          <w:tcPr>
            <w:tcW w:w="439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488CD4" w14:textId="77777777" w:rsidR="004E7EBF" w:rsidRPr="00D75D45" w:rsidRDefault="004E7EBF" w:rsidP="00D27F3C">
            <w:pPr>
              <w:ind w:left="45" w:right="60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Privalo būti atsarginis ratas, keltuvas, ratui pakeisti reikalingi įrankiai.</w:t>
            </w:r>
          </w:p>
        </w:tc>
        <w:tc>
          <w:tcPr>
            <w:tcW w:w="2835" w:type="dxa"/>
          </w:tcPr>
          <w:p w14:paraId="5D4F7156" w14:textId="77777777" w:rsidR="004E7EBF" w:rsidRPr="00D75D45" w:rsidRDefault="004E7EBF" w:rsidP="00D27F3C">
            <w:pPr>
              <w:ind w:right="60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0A890993" w14:textId="77777777" w:rsidTr="00D27F3C"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629B7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3</w:t>
            </w:r>
            <w:r>
              <w:rPr>
                <w:szCs w:val="20"/>
              </w:rPr>
              <w:t>8</w:t>
            </w:r>
            <w:r w:rsidRPr="00D75D45">
              <w:rPr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AF021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Registracijos dokumentai ir pristatymas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AE0A1" w14:textId="77777777" w:rsidR="004E7EBF" w:rsidRPr="00D75D45" w:rsidRDefault="004E7EBF" w:rsidP="00D27F3C">
            <w:pPr>
              <w:ind w:left="45" w:right="67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Autobusas turi būti užregistruotas Lietuvos Respublikos transporto priemonių registre ir pristatytas su visais privalomais dokumentais, ne vėliau kaip per </w:t>
            </w:r>
            <w:r>
              <w:rPr>
                <w:szCs w:val="20"/>
                <w:lang w:val="en-US"/>
              </w:rPr>
              <w:t>3</w:t>
            </w:r>
            <w:r>
              <w:rPr>
                <w:szCs w:val="20"/>
              </w:rPr>
              <w:t>0 dienų</w:t>
            </w:r>
            <w:r w:rsidRPr="00D75D45">
              <w:rPr>
                <w:szCs w:val="20"/>
              </w:rPr>
              <w:t xml:space="preserve"> po sutarties pasirašymo datos. </w:t>
            </w:r>
          </w:p>
          <w:p w14:paraId="4F486BA3" w14:textId="77777777" w:rsidR="004E7EBF" w:rsidRPr="00D75D45" w:rsidRDefault="004E7EBF" w:rsidP="00D27F3C">
            <w:pPr>
              <w:ind w:left="45" w:right="67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Autobuso pristatymo vieta: </w:t>
            </w:r>
            <w:r w:rsidRPr="007259A7">
              <w:rPr>
                <w:szCs w:val="20"/>
                <w:u w:val="single"/>
              </w:rPr>
              <w:t xml:space="preserve">Spaustuvės g. </w:t>
            </w:r>
            <w:r w:rsidRPr="007259A7">
              <w:rPr>
                <w:szCs w:val="20"/>
                <w:u w:val="single"/>
                <w:lang w:val="en-US"/>
              </w:rPr>
              <w:t xml:space="preserve">8, </w:t>
            </w:r>
            <w:proofErr w:type="spellStart"/>
            <w:r w:rsidRPr="007259A7">
              <w:rPr>
                <w:szCs w:val="20"/>
                <w:u w:val="single"/>
                <w:lang w:val="en-US"/>
              </w:rPr>
              <w:t>Var</w:t>
            </w:r>
            <w:r w:rsidRPr="007259A7">
              <w:rPr>
                <w:szCs w:val="20"/>
                <w:u w:val="single"/>
              </w:rPr>
              <w:t>ėna</w:t>
            </w:r>
            <w:proofErr w:type="spellEnd"/>
            <w:r>
              <w:rPr>
                <w:szCs w:val="20"/>
              </w:rPr>
              <w:t xml:space="preserve">. </w:t>
            </w:r>
            <w:r w:rsidRPr="00D75D45">
              <w:rPr>
                <w:szCs w:val="20"/>
              </w:rPr>
              <w:t>Autobuso pristatymo termino pratęsimas – nenumatytas.</w:t>
            </w:r>
          </w:p>
        </w:tc>
        <w:tc>
          <w:tcPr>
            <w:tcW w:w="2835" w:type="dxa"/>
          </w:tcPr>
          <w:p w14:paraId="28561C51" w14:textId="77777777" w:rsidR="004E7EBF" w:rsidRPr="00D75D45" w:rsidRDefault="004E7EBF" w:rsidP="00D27F3C">
            <w:pPr>
              <w:ind w:right="67"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07E48B89" w14:textId="77777777" w:rsidTr="00D27F3C">
        <w:trPr>
          <w:trHeight w:val="457"/>
        </w:trPr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0FE14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>
              <w:rPr>
                <w:szCs w:val="20"/>
              </w:rPr>
              <w:t>39</w:t>
            </w:r>
            <w:r w:rsidRPr="00D75D45">
              <w:rPr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02F84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 xml:space="preserve">Garantija 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BA428" w14:textId="77777777" w:rsidR="004E7EBF" w:rsidRPr="00D75D45" w:rsidRDefault="004E7EBF" w:rsidP="00D27F3C">
            <w:pPr>
              <w:ind w:left="45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 xml:space="preserve">Garantija viskam - ne mažiau kaip 24 mėnesiai. </w:t>
            </w:r>
          </w:p>
        </w:tc>
        <w:tc>
          <w:tcPr>
            <w:tcW w:w="2835" w:type="dxa"/>
          </w:tcPr>
          <w:p w14:paraId="20A57E21" w14:textId="77777777" w:rsidR="004E7EBF" w:rsidRPr="007372DC" w:rsidRDefault="004E7EBF" w:rsidP="00D27F3C">
            <w:pPr>
              <w:ind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3798B221" w14:textId="77777777" w:rsidTr="00D27F3C">
        <w:trPr>
          <w:trHeight w:val="645"/>
        </w:trPr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9CE8D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  <w:r w:rsidRPr="00D75D45">
              <w:rPr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5D184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 w:rsidRPr="00D75D45">
              <w:rPr>
                <w:szCs w:val="20"/>
              </w:rPr>
              <w:t>Papildomi reikalavimai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363B6" w14:textId="77777777" w:rsidR="004E7EBF" w:rsidRPr="00D75D45" w:rsidRDefault="004E7EBF" w:rsidP="00D27F3C">
            <w:pPr>
              <w:ind w:left="45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Siūlomos prekės techninės charakteristikos turi atitikti Europos standartus bei Europos standartą perimantį Lietuvos standartą.</w:t>
            </w:r>
          </w:p>
        </w:tc>
        <w:tc>
          <w:tcPr>
            <w:tcW w:w="2835" w:type="dxa"/>
          </w:tcPr>
          <w:p w14:paraId="6054FDC7" w14:textId="77777777" w:rsidR="004E7EBF" w:rsidRPr="00D75D45" w:rsidRDefault="004E7EBF" w:rsidP="00D27F3C">
            <w:pPr>
              <w:ind w:firstLine="41"/>
              <w:jc w:val="both"/>
              <w:rPr>
                <w:b/>
                <w:bCs/>
                <w:color w:val="5B9BD5" w:themeColor="accent1"/>
                <w:szCs w:val="20"/>
              </w:rPr>
            </w:pPr>
          </w:p>
        </w:tc>
      </w:tr>
      <w:tr w:rsidR="004E7EBF" w:rsidRPr="00D75D45" w14:paraId="4F6E28C6" w14:textId="77777777" w:rsidTr="00D27F3C">
        <w:trPr>
          <w:trHeight w:val="4402"/>
        </w:trPr>
        <w:tc>
          <w:tcPr>
            <w:tcW w:w="84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678F9" w14:textId="77777777" w:rsidR="004E7EBF" w:rsidRPr="00D75D45" w:rsidRDefault="004E7EBF" w:rsidP="00D27F3C">
            <w:pPr>
              <w:ind w:left="112" w:right="121"/>
              <w:jc w:val="center"/>
              <w:rPr>
                <w:szCs w:val="20"/>
              </w:rPr>
            </w:pPr>
            <w:r w:rsidRPr="00D75D45">
              <w:rPr>
                <w:szCs w:val="20"/>
              </w:rPr>
              <w:t>4</w:t>
            </w:r>
            <w:r>
              <w:rPr>
                <w:szCs w:val="20"/>
              </w:rPr>
              <w:t>1</w:t>
            </w:r>
            <w:r w:rsidRPr="00D75D45">
              <w:rPr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BD241" w14:textId="77777777" w:rsidR="004E7EBF" w:rsidRPr="00D75D45" w:rsidRDefault="004E7EBF" w:rsidP="00D27F3C">
            <w:pPr>
              <w:ind w:left="45" w:right="-30" w:firstLine="75"/>
              <w:rPr>
                <w:szCs w:val="20"/>
              </w:rPr>
            </w:pPr>
            <w:r>
              <w:rPr>
                <w:szCs w:val="20"/>
              </w:rPr>
              <w:t>Vaizdinė medžiaga</w:t>
            </w:r>
          </w:p>
        </w:tc>
        <w:tc>
          <w:tcPr>
            <w:tcW w:w="439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DF3BD" w14:textId="77777777" w:rsidR="004E7EBF" w:rsidRPr="003A77EB" w:rsidRDefault="004E7EBF" w:rsidP="00D27F3C">
            <w:pPr>
              <w:ind w:left="45" w:firstLine="75"/>
              <w:jc w:val="both"/>
              <w:rPr>
                <w:szCs w:val="20"/>
              </w:rPr>
            </w:pPr>
            <w:r w:rsidRPr="00D75D45">
              <w:rPr>
                <w:szCs w:val="20"/>
              </w:rPr>
              <w:t>4</w:t>
            </w:r>
            <w:r>
              <w:rPr>
                <w:szCs w:val="20"/>
              </w:rPr>
              <w:t>1</w:t>
            </w:r>
            <w:r w:rsidRPr="00D75D45">
              <w:rPr>
                <w:szCs w:val="20"/>
              </w:rPr>
              <w:t xml:space="preserve">.1. </w:t>
            </w:r>
            <w:r w:rsidRPr="003A77EB">
              <w:rPr>
                <w:szCs w:val="20"/>
              </w:rPr>
              <w:t>Kartu su pasiūlymu privaloma pateikti vaizdinę medžiagą (</w:t>
            </w:r>
            <w:r>
              <w:rPr>
                <w:szCs w:val="20"/>
              </w:rPr>
              <w:t xml:space="preserve">pvz., </w:t>
            </w:r>
            <w:r w:rsidRPr="003A77EB">
              <w:rPr>
                <w:szCs w:val="20"/>
              </w:rPr>
              <w:t>nuotraukos ar bukletai, ar nuorodos į elektroninėje erdvėje esančią informaciją), kurioje būtų matoma:</w:t>
            </w:r>
          </w:p>
          <w:p w14:paraId="524C5142" w14:textId="77777777" w:rsidR="004E7EBF" w:rsidRDefault="004E7EBF" w:rsidP="00D27F3C">
            <w:pPr>
              <w:spacing w:line="240" w:lineRule="auto"/>
              <w:ind w:left="45" w:firstLine="75"/>
              <w:jc w:val="both"/>
              <w:rPr>
                <w:szCs w:val="20"/>
              </w:rPr>
            </w:pPr>
            <w:r w:rsidRPr="003A77EB">
              <w:rPr>
                <w:szCs w:val="20"/>
              </w:rPr>
              <w:t>4</w:t>
            </w:r>
            <w:r>
              <w:rPr>
                <w:szCs w:val="20"/>
              </w:rPr>
              <w:t>1</w:t>
            </w:r>
            <w:r w:rsidRPr="003A77EB">
              <w:rPr>
                <w:szCs w:val="20"/>
              </w:rPr>
              <w:t xml:space="preserve">.1.1. autobuso išorė iš </w:t>
            </w:r>
            <w:r>
              <w:rPr>
                <w:szCs w:val="20"/>
              </w:rPr>
              <w:t>priekio, galo ir abiejų šonų.</w:t>
            </w:r>
          </w:p>
          <w:p w14:paraId="54D62246" w14:textId="77777777" w:rsidR="004E7EBF" w:rsidRDefault="004E7EBF" w:rsidP="00D27F3C">
            <w:pPr>
              <w:spacing w:line="240" w:lineRule="auto"/>
              <w:ind w:left="45" w:firstLine="75"/>
              <w:jc w:val="both"/>
              <w:rPr>
                <w:szCs w:val="20"/>
              </w:rPr>
            </w:pPr>
            <w:r>
              <w:rPr>
                <w:szCs w:val="20"/>
              </w:rPr>
              <w:t>41.1.2. salonas iš priekio ir galo.</w:t>
            </w:r>
          </w:p>
          <w:p w14:paraId="35EDB457" w14:textId="77777777" w:rsidR="004E7EBF" w:rsidRDefault="004E7EBF" w:rsidP="00D27F3C">
            <w:pPr>
              <w:spacing w:line="240" w:lineRule="auto"/>
              <w:ind w:left="45" w:firstLine="75"/>
              <w:jc w:val="both"/>
              <w:rPr>
                <w:szCs w:val="20"/>
              </w:rPr>
            </w:pPr>
            <w:r>
              <w:rPr>
                <w:szCs w:val="20"/>
              </w:rPr>
              <w:t>41.1.3. vairuotojo vieta.</w:t>
            </w:r>
          </w:p>
          <w:p w14:paraId="7B2C506F" w14:textId="77777777" w:rsidR="004E7EBF" w:rsidRPr="003A77EB" w:rsidRDefault="004E7EBF" w:rsidP="00D27F3C">
            <w:pPr>
              <w:spacing w:line="240" w:lineRule="auto"/>
              <w:ind w:left="45" w:firstLine="75"/>
              <w:jc w:val="both"/>
              <w:rPr>
                <w:szCs w:val="20"/>
              </w:rPr>
            </w:pPr>
            <w:r>
              <w:rPr>
                <w:szCs w:val="20"/>
              </w:rPr>
              <w:t>41.1.4. įgilintas bagažo skyrius.</w:t>
            </w:r>
          </w:p>
          <w:p w14:paraId="6E16A290" w14:textId="77777777" w:rsidR="004E7EBF" w:rsidRDefault="004E7EBF" w:rsidP="00D27F3C">
            <w:pPr>
              <w:spacing w:line="240" w:lineRule="auto"/>
              <w:ind w:left="45" w:firstLine="75"/>
              <w:jc w:val="both"/>
              <w:rPr>
                <w:szCs w:val="20"/>
              </w:rPr>
            </w:pPr>
            <w:r w:rsidRPr="003A77EB">
              <w:rPr>
                <w:szCs w:val="20"/>
              </w:rPr>
              <w:t>4</w:t>
            </w:r>
            <w:r>
              <w:rPr>
                <w:szCs w:val="20"/>
              </w:rPr>
              <w:t>1</w:t>
            </w:r>
            <w:r w:rsidRPr="003A77EB">
              <w:rPr>
                <w:szCs w:val="20"/>
              </w:rPr>
              <w:t>.1.2. autobuso sėdimų vietų išdėstymas.</w:t>
            </w:r>
          </w:p>
          <w:p w14:paraId="75677268" w14:textId="77777777" w:rsidR="004E7EBF" w:rsidRPr="007D65EC" w:rsidRDefault="004E7EBF" w:rsidP="00D27F3C">
            <w:pPr>
              <w:ind w:left="45" w:firstLine="75"/>
              <w:jc w:val="both"/>
              <w:rPr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1C9D08FA" w14:textId="77777777" w:rsidR="004E7EBF" w:rsidRPr="00D75D45" w:rsidRDefault="004E7EBF" w:rsidP="00D27F3C">
            <w:pPr>
              <w:ind w:right="60"/>
              <w:jc w:val="both"/>
              <w:rPr>
                <w:i/>
                <w:iCs/>
                <w:szCs w:val="20"/>
              </w:rPr>
            </w:pPr>
          </w:p>
        </w:tc>
      </w:tr>
    </w:tbl>
    <w:p w14:paraId="501F187C" w14:textId="77777777" w:rsidR="00A40E7A" w:rsidRDefault="00A40E7A"/>
    <w:sectPr w:rsidR="00A40E7A" w:rsidSect="00951E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D0B68"/>
    <w:multiLevelType w:val="multilevel"/>
    <w:tmpl w:val="D6249E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415" w:firstLine="720"/>
      </w:pPr>
      <w:rPr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F"/>
    <w:rsid w:val="004E7EBF"/>
    <w:rsid w:val="00951E01"/>
    <w:rsid w:val="00A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7608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EBF"/>
    <w:pPr>
      <w:spacing w:after="200" w:line="276" w:lineRule="auto"/>
    </w:pPr>
    <w:rPr>
      <w:rFonts w:ascii="Times New Roman" w:eastAsia="Calibri" w:hAnsi="Times New Roman" w:cs="Times New Roman"/>
      <w:szCs w:val="22"/>
      <w:lang w:val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uiPriority w:val="9"/>
    <w:qFormat/>
    <w:rsid w:val="004E7E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uiPriority w:val="9"/>
    <w:qFormat/>
    <w:rsid w:val="004E7EBF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, Diagrama"/>
    <w:basedOn w:val="Normal"/>
    <w:next w:val="Normal"/>
    <w:link w:val="Heading3Char"/>
    <w:uiPriority w:val="9"/>
    <w:qFormat/>
    <w:rsid w:val="004E7E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,I4,4,l4,heading4,I41,41,l41,heading41,h4,4heading,H4,4 dash,d,Ref Heading 1,rh1,Unterunterabschnitt,Heading4,H4-Heading 4,a.,TF-Overskrift 4,H41,H42,t4"/>
    <w:basedOn w:val="Normal"/>
    <w:next w:val="Normal"/>
    <w:link w:val="Heading4Char"/>
    <w:uiPriority w:val="9"/>
    <w:qFormat/>
    <w:rsid w:val="004E7EBF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uiPriority w:val="9"/>
    <w:qFormat/>
    <w:rsid w:val="004E7EBF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uiPriority w:val="9"/>
    <w:qFormat/>
    <w:rsid w:val="004E7EBF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uiPriority w:val="9"/>
    <w:qFormat/>
    <w:rsid w:val="004E7EBF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7EBF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aliases w:val="PIM 9,App Heading"/>
    <w:basedOn w:val="Normal"/>
    <w:next w:val="Normal"/>
    <w:link w:val="Heading9Char"/>
    <w:uiPriority w:val="9"/>
    <w:qFormat/>
    <w:rsid w:val="004E7EBF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BF"/>
    <w:rPr>
      <w:rFonts w:ascii="Times New Roman" w:eastAsia="Calibri" w:hAnsi="Times New Roman" w:cs="Times New Roman"/>
      <w:sz w:val="28"/>
      <w:szCs w:val="22"/>
      <w:lang w:val="lt-LT" w:eastAsia="lt-LT"/>
    </w:rPr>
  </w:style>
  <w:style w:type="character" w:customStyle="1" w:styleId="Heading2Char">
    <w:name w:val="Heading 2 Char"/>
    <w:aliases w:val="Title Header2 Char,H2 Char,Heading 2 Char1 Char,Heading 2 Char Char Char,T2 Char,h2 Char,L2 Char,Punt 2 Char,l2 Char,2 Char,Titre 21 Char,t2.T2 Char,t2 Char,Contrat 2 Char,Ctt Char,t2.T2.Titre 2 Char,TITRE 2 Char,Titre 2ed Char,chn Char"/>
    <w:basedOn w:val="DefaultParagraphFont"/>
    <w:link w:val="Heading2"/>
    <w:uiPriority w:val="9"/>
    <w:rsid w:val="004E7EBF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4E7EBF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4E7EBF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4E7EBF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4E7EBF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4E7EBF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4E7EBF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4E7EBF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"/>
    <w:basedOn w:val="Normal"/>
    <w:link w:val="ListParagraphChar"/>
    <w:qFormat/>
    <w:rsid w:val="004E7EBF"/>
    <w:pPr>
      <w:spacing w:after="0" w:line="240" w:lineRule="auto"/>
      <w:ind w:left="720" w:firstLine="720"/>
      <w:contextualSpacing/>
    </w:pPr>
    <w:rPr>
      <w:rFonts w:eastAsia="Times New Roman"/>
      <w:szCs w:val="24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rsid w:val="004E7EBF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1085</Words>
  <Characters>6189</Characters>
  <Application>Microsoft Macintosh Word</Application>
  <DocSecurity>0</DocSecurity>
  <Lines>51</Lines>
  <Paragraphs>14</Paragraphs>
  <ScaleCrop>false</ScaleCrop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Jovaisyte</dc:creator>
  <cp:keywords/>
  <dc:description/>
  <cp:lastModifiedBy>Evelina Jovaisyte</cp:lastModifiedBy>
  <cp:revision>1</cp:revision>
  <dcterms:created xsi:type="dcterms:W3CDTF">2025-07-23T12:12:00Z</dcterms:created>
  <dcterms:modified xsi:type="dcterms:W3CDTF">2025-07-23T12:13:00Z</dcterms:modified>
</cp:coreProperties>
</file>