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0222" w14:textId="10363436" w:rsidR="00C33368" w:rsidRDefault="00C33368" w:rsidP="00C33368">
      <w:pPr>
        <w:spacing w:line="300" w:lineRule="atLeast"/>
        <w:jc w:val="both"/>
        <w:rPr>
          <w:b/>
          <w:bCs/>
          <w:color w:val="000000"/>
          <w:lang w:val="lt-LT"/>
        </w:rPr>
      </w:pPr>
      <w:r>
        <w:rPr>
          <w:rFonts w:ascii="Nunito Sans" w:hAnsi="Nunito Sans" w:cs="Arial"/>
          <w:noProof/>
          <w:color w:val="515365"/>
          <w:sz w:val="20"/>
          <w:szCs w:val="20"/>
        </w:rPr>
        <w:drawing>
          <wp:anchor distT="0" distB="0" distL="114300" distR="114300" simplePos="0" relativeHeight="251658240" behindDoc="0" locked="0" layoutInCell="1" allowOverlap="1" wp14:anchorId="6CA777BA" wp14:editId="2CB240CD">
            <wp:simplePos x="762000" y="685800"/>
            <wp:positionH relativeFrom="column">
              <wp:align>left</wp:align>
            </wp:positionH>
            <wp:positionV relativeFrom="paragraph">
              <wp:align>top</wp:align>
            </wp:positionV>
            <wp:extent cx="1248229" cy="51248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8229" cy="512485"/>
                    </a:xfrm>
                    <a:prstGeom prst="rect">
                      <a:avLst/>
                    </a:prstGeom>
                  </pic:spPr>
                </pic:pic>
              </a:graphicData>
            </a:graphic>
          </wp:anchor>
        </w:drawing>
      </w:r>
      <w:r>
        <w:rPr>
          <w:b/>
          <w:bCs/>
          <w:color w:val="000000"/>
          <w:lang w:val="lt-LT"/>
        </w:rPr>
        <w:br w:type="textWrapping" w:clear="all"/>
      </w:r>
    </w:p>
    <w:p w14:paraId="4F456098" w14:textId="77777777" w:rsidR="00C33368" w:rsidRDefault="00C33368" w:rsidP="00C33368">
      <w:pPr>
        <w:spacing w:line="300" w:lineRule="atLeast"/>
        <w:jc w:val="both"/>
        <w:rPr>
          <w:b/>
          <w:bCs/>
          <w:color w:val="000000"/>
          <w:lang w:val="lt-LT"/>
        </w:rPr>
      </w:pPr>
    </w:p>
    <w:p w14:paraId="09D4894E" w14:textId="52BA4712" w:rsidR="00C33368" w:rsidRPr="00C33368" w:rsidRDefault="00C33368" w:rsidP="00C33368">
      <w:pPr>
        <w:spacing w:line="300" w:lineRule="atLeast"/>
        <w:jc w:val="both"/>
        <w:rPr>
          <w:b/>
          <w:bCs/>
          <w:color w:val="000000"/>
          <w:lang w:val="lt-LT"/>
        </w:rPr>
      </w:pPr>
      <w:r w:rsidRPr="00C33368">
        <w:rPr>
          <w:b/>
          <w:bCs/>
          <w:color w:val="000000"/>
          <w:lang w:val="lt-LT"/>
        </w:rPr>
        <w:t>DĖL ATSAKYMŲ Į KLAUSIMUS</w:t>
      </w:r>
    </w:p>
    <w:p w14:paraId="39A435C6" w14:textId="77777777" w:rsidR="00C33368" w:rsidRPr="00C33368" w:rsidRDefault="00C33368" w:rsidP="00C33368">
      <w:pPr>
        <w:spacing w:line="300" w:lineRule="atLeast"/>
        <w:jc w:val="both"/>
        <w:rPr>
          <w:color w:val="000000"/>
          <w:lang w:val="lt-LT"/>
        </w:rPr>
      </w:pPr>
    </w:p>
    <w:p w14:paraId="6BAFCEDC" w14:textId="77777777" w:rsidR="00C33368" w:rsidRPr="00C33368" w:rsidRDefault="00C33368" w:rsidP="00C33368">
      <w:pPr>
        <w:spacing w:line="300" w:lineRule="atLeast"/>
        <w:ind w:firstLine="720"/>
        <w:jc w:val="both"/>
        <w:rPr>
          <w:color w:val="000000"/>
          <w:lang w:val="lt-LT"/>
        </w:rPr>
      </w:pPr>
    </w:p>
    <w:p w14:paraId="529FB745" w14:textId="77777777" w:rsidR="00C33368" w:rsidRPr="00C33368" w:rsidRDefault="00C33368" w:rsidP="00C33368">
      <w:pPr>
        <w:spacing w:line="300" w:lineRule="atLeast"/>
        <w:ind w:firstLine="720"/>
        <w:jc w:val="both"/>
        <w:rPr>
          <w:color w:val="000000"/>
          <w:lang w:val="lt-LT"/>
        </w:rPr>
      </w:pPr>
      <w:r w:rsidRPr="00C33368">
        <w:rPr>
          <w:color w:val="000000"/>
          <w:lang w:val="lt-LT"/>
        </w:rPr>
        <w:t>Viešoji įstaiga CPO LT, vykdydama viešąjį pirkimą atviro konkurso būdu (tarptautinis pirkimas) „VALSTYBĖS INFORMACINIŲ TECHNOLOGIJŲ PASLAUGŲ VALDYMO INFORMACINĖS SISTEMOS PRIEŽIŪROS IR PALAIKYMO PASLAUGOS</w:t>
      </w:r>
      <w:r w:rsidRPr="00C33368">
        <w:rPr>
          <w:lang w:val="lt-LT"/>
        </w:rPr>
        <w:t>”, CVP IS</w:t>
      </w:r>
      <w:r w:rsidRPr="00C33368">
        <w:rPr>
          <w:rFonts w:eastAsia="Times New Roman"/>
          <w:lang w:val="lt-LT"/>
        </w:rPr>
        <w:t xml:space="preserve"> ID </w:t>
      </w:r>
      <w:r w:rsidRPr="00C33368">
        <w:rPr>
          <w:lang w:val="lt-LT"/>
        </w:rPr>
        <w:t>3675467</w:t>
      </w:r>
      <w:r w:rsidRPr="00C33368">
        <w:rPr>
          <w:color w:val="000000"/>
          <w:lang w:val="lt-LT"/>
        </w:rPr>
        <w:t xml:space="preserve">, gavo suinteresuoto tiekėjo klausimą. </w:t>
      </w:r>
    </w:p>
    <w:p w14:paraId="5446BAE4" w14:textId="77777777" w:rsidR="00C33368" w:rsidRPr="00C33368" w:rsidRDefault="00C33368" w:rsidP="00C33368">
      <w:pPr>
        <w:ind w:firstLine="851"/>
        <w:jc w:val="both"/>
        <w:rPr>
          <w:lang w:val="lt-LT"/>
        </w:rPr>
      </w:pPr>
      <w:r w:rsidRPr="00C33368">
        <w:rPr>
          <w:lang w:val="lt-LT" w:eastAsia="en-GB"/>
        </w:rPr>
        <w:t xml:space="preserve">Vadovaudamiesi Lietuvos Respublikos viešųjų pirkimų įstatymo 36 straipsnio 5 dalimi </w:t>
      </w:r>
      <w:bookmarkStart w:id="0" w:name="_Hlk98232754"/>
      <w:r w:rsidRPr="00C33368">
        <w:rPr>
          <w:lang w:val="lt-LT" w:eastAsia="en-GB"/>
        </w:rPr>
        <w:t>bei Bendrųjų pirkimo sąlygų 5.2 pun</w:t>
      </w:r>
      <w:bookmarkEnd w:id="0"/>
      <w:r w:rsidRPr="00C33368">
        <w:rPr>
          <w:lang w:val="lt-LT" w:eastAsia="en-GB"/>
        </w:rPr>
        <w:t>ktu,</w:t>
      </w:r>
      <w:r w:rsidRPr="00C33368">
        <w:rPr>
          <w:lang w:val="lt-LT"/>
        </w:rPr>
        <w:t xml:space="preserve"> teikiame atsakymus į klausimą:</w:t>
      </w:r>
    </w:p>
    <w:p w14:paraId="387C9B17" w14:textId="77777777" w:rsidR="00C33368" w:rsidRPr="00C33368" w:rsidRDefault="00C33368" w:rsidP="00C33368">
      <w:pPr>
        <w:rPr>
          <w:lang w:val="lt-LT"/>
        </w:rPr>
      </w:pPr>
    </w:p>
    <w:tbl>
      <w:tblPr>
        <w:tblStyle w:val="TableGrid"/>
        <w:tblW w:w="9890" w:type="dxa"/>
        <w:tblInd w:w="-95" w:type="dxa"/>
        <w:tblLook w:val="04A0" w:firstRow="1" w:lastRow="0" w:firstColumn="1" w:lastColumn="0" w:noHBand="0" w:noVBand="1"/>
      </w:tblPr>
      <w:tblGrid>
        <w:gridCol w:w="570"/>
        <w:gridCol w:w="4847"/>
        <w:gridCol w:w="4473"/>
      </w:tblGrid>
      <w:tr w:rsidR="00C33368" w:rsidRPr="00C33368" w14:paraId="189BC014" w14:textId="77777777" w:rsidTr="00CE346F">
        <w:tc>
          <w:tcPr>
            <w:tcW w:w="570" w:type="dxa"/>
            <w:vAlign w:val="center"/>
          </w:tcPr>
          <w:p w14:paraId="1F56882A" w14:textId="77777777" w:rsidR="00C33368" w:rsidRPr="00C33368" w:rsidRDefault="00C33368" w:rsidP="00CE346F">
            <w:pPr>
              <w:rPr>
                <w:b/>
                <w:bCs/>
                <w:i/>
                <w:iCs/>
                <w:sz w:val="24"/>
                <w:szCs w:val="24"/>
              </w:rPr>
            </w:pPr>
            <w:r w:rsidRPr="00C33368">
              <w:rPr>
                <w:b/>
                <w:bCs/>
                <w:i/>
                <w:iCs/>
                <w:sz w:val="24"/>
                <w:szCs w:val="24"/>
              </w:rPr>
              <w:t>Eil. Nr.</w:t>
            </w:r>
          </w:p>
        </w:tc>
        <w:tc>
          <w:tcPr>
            <w:tcW w:w="4847" w:type="dxa"/>
            <w:vAlign w:val="center"/>
          </w:tcPr>
          <w:p w14:paraId="55B27FAF" w14:textId="77777777" w:rsidR="00C33368" w:rsidRPr="00C33368" w:rsidRDefault="00C33368" w:rsidP="00CE346F">
            <w:pPr>
              <w:jc w:val="center"/>
              <w:rPr>
                <w:b/>
                <w:bCs/>
                <w:i/>
                <w:iCs/>
                <w:sz w:val="24"/>
                <w:szCs w:val="24"/>
              </w:rPr>
            </w:pPr>
            <w:r w:rsidRPr="00C33368">
              <w:rPr>
                <w:b/>
                <w:bCs/>
                <w:i/>
                <w:iCs/>
                <w:sz w:val="24"/>
                <w:szCs w:val="24"/>
              </w:rPr>
              <w:t>KLAUSIMAS</w:t>
            </w:r>
          </w:p>
        </w:tc>
        <w:tc>
          <w:tcPr>
            <w:tcW w:w="4473" w:type="dxa"/>
            <w:vAlign w:val="center"/>
          </w:tcPr>
          <w:p w14:paraId="3BD940E7" w14:textId="77777777" w:rsidR="00C33368" w:rsidRPr="00C33368" w:rsidRDefault="00C33368" w:rsidP="00CE346F">
            <w:pPr>
              <w:jc w:val="center"/>
              <w:rPr>
                <w:b/>
                <w:bCs/>
                <w:i/>
                <w:iCs/>
                <w:sz w:val="24"/>
                <w:szCs w:val="24"/>
              </w:rPr>
            </w:pPr>
            <w:r w:rsidRPr="00C33368">
              <w:rPr>
                <w:b/>
                <w:bCs/>
                <w:i/>
                <w:iCs/>
                <w:sz w:val="24"/>
                <w:szCs w:val="24"/>
              </w:rPr>
              <w:t>ATSAKYMAS</w:t>
            </w:r>
          </w:p>
        </w:tc>
      </w:tr>
      <w:tr w:rsidR="00C33368" w:rsidRPr="00C33368" w14:paraId="308ADC6C" w14:textId="77777777" w:rsidTr="00CE346F">
        <w:tc>
          <w:tcPr>
            <w:tcW w:w="570" w:type="dxa"/>
          </w:tcPr>
          <w:p w14:paraId="2A2470CB" w14:textId="77777777" w:rsidR="00C33368" w:rsidRPr="00C33368" w:rsidRDefault="00C33368" w:rsidP="00CE346F">
            <w:pPr>
              <w:jc w:val="both"/>
              <w:rPr>
                <w:rFonts w:eastAsia="Times New Roman"/>
                <w:sz w:val="24"/>
                <w:szCs w:val="24"/>
                <w:lang w:eastAsia="lt-LT"/>
              </w:rPr>
            </w:pPr>
            <w:r w:rsidRPr="00C33368">
              <w:rPr>
                <w:rFonts w:eastAsia="Times New Roman"/>
                <w:sz w:val="24"/>
                <w:szCs w:val="24"/>
                <w:lang w:eastAsia="lt-LT"/>
              </w:rPr>
              <w:t>1.</w:t>
            </w:r>
          </w:p>
        </w:tc>
        <w:tc>
          <w:tcPr>
            <w:tcW w:w="4847" w:type="dxa"/>
            <w:shd w:val="clear" w:color="auto" w:fill="auto"/>
          </w:tcPr>
          <w:p w14:paraId="5307F80F" w14:textId="77777777" w:rsidR="00C33368" w:rsidRPr="00C33368" w:rsidRDefault="00C33368" w:rsidP="00CE346F">
            <w:pPr>
              <w:jc w:val="both"/>
              <w:rPr>
                <w:sz w:val="24"/>
                <w:szCs w:val="24"/>
              </w:rPr>
            </w:pPr>
            <w:r w:rsidRPr="00C33368">
              <w:rPr>
                <w:sz w:val="24"/>
                <w:szCs w:val="24"/>
              </w:rPr>
              <w:t>Turim kompetencijas ir norim dalyvauti šiame pirkime kartu su užsienio partneriu ir atlikti paslaugas. Užsienio kompanijos atstovai turi reikiamus sertifikatus šioms pozicijoms. Ar galime teikti pasiūlymą dalyvaujant šiame pirkime kartu su užsienio įmone?</w:t>
            </w:r>
          </w:p>
          <w:p w14:paraId="73C428E5" w14:textId="77777777" w:rsidR="00C33368" w:rsidRPr="00C33368" w:rsidRDefault="00C33368" w:rsidP="00CE346F">
            <w:pPr>
              <w:jc w:val="both"/>
              <w:rPr>
                <w:sz w:val="24"/>
                <w:szCs w:val="24"/>
              </w:rPr>
            </w:pPr>
          </w:p>
          <w:p w14:paraId="4761C40A" w14:textId="77777777" w:rsidR="00C33368" w:rsidRPr="00C33368" w:rsidRDefault="00C33368" w:rsidP="00CE346F">
            <w:pPr>
              <w:jc w:val="both"/>
              <w:rPr>
                <w:sz w:val="24"/>
                <w:szCs w:val="24"/>
              </w:rPr>
            </w:pPr>
            <w:r w:rsidRPr="00C33368">
              <w:rPr>
                <w:sz w:val="24"/>
                <w:szCs w:val="24"/>
              </w:rPr>
              <w:t>1.1. Projekto vadovas:</w:t>
            </w:r>
          </w:p>
          <w:p w14:paraId="0CAA8E60" w14:textId="77777777" w:rsidR="00C33368" w:rsidRPr="00C33368" w:rsidRDefault="00C33368" w:rsidP="00CE346F">
            <w:pPr>
              <w:jc w:val="both"/>
              <w:rPr>
                <w:sz w:val="24"/>
                <w:szCs w:val="24"/>
              </w:rPr>
            </w:pPr>
            <w:r w:rsidRPr="00C33368">
              <w:rPr>
                <w:sz w:val="24"/>
                <w:szCs w:val="24"/>
              </w:rPr>
              <w:t>- per paskutinius 5 (penkerius) metus turi būti vadovavęs bent 1 (vienam) IT paslaugų valdymo procesų projektavimo ar IT paslaugų/ pagalbos tarnybos (</w:t>
            </w:r>
            <w:proofErr w:type="spellStart"/>
            <w:r w:rsidRPr="00C33368">
              <w:rPr>
                <w:sz w:val="24"/>
                <w:szCs w:val="24"/>
              </w:rPr>
              <w:t>Service</w:t>
            </w:r>
            <w:proofErr w:type="spellEnd"/>
            <w:r w:rsidRPr="00C33368">
              <w:rPr>
                <w:sz w:val="24"/>
                <w:szCs w:val="24"/>
              </w:rPr>
              <w:t xml:space="preserve">/ </w:t>
            </w:r>
            <w:proofErr w:type="spellStart"/>
            <w:r w:rsidRPr="00C33368">
              <w:rPr>
                <w:sz w:val="24"/>
                <w:szCs w:val="24"/>
              </w:rPr>
              <w:t>Help</w:t>
            </w:r>
            <w:proofErr w:type="spellEnd"/>
            <w:r w:rsidRPr="00C33368">
              <w:rPr>
                <w:sz w:val="24"/>
                <w:szCs w:val="24"/>
              </w:rPr>
              <w:t xml:space="preserve"> </w:t>
            </w:r>
            <w:proofErr w:type="spellStart"/>
            <w:r w:rsidRPr="00C33368">
              <w:rPr>
                <w:sz w:val="24"/>
                <w:szCs w:val="24"/>
              </w:rPr>
              <w:t>Desk</w:t>
            </w:r>
            <w:proofErr w:type="spellEnd"/>
            <w:r w:rsidRPr="00C33368">
              <w:rPr>
                <w:sz w:val="24"/>
                <w:szCs w:val="24"/>
              </w:rPr>
              <w:t>) programinės įrangos kūrimo ar modifikavimo ar priežiūros ar diegimo paslaugų projektui.</w:t>
            </w:r>
          </w:p>
          <w:p w14:paraId="0624AB15" w14:textId="77777777" w:rsidR="00C33368" w:rsidRPr="00C33368" w:rsidRDefault="00C33368" w:rsidP="00CE346F">
            <w:pPr>
              <w:jc w:val="both"/>
              <w:rPr>
                <w:sz w:val="24"/>
                <w:szCs w:val="24"/>
              </w:rPr>
            </w:pPr>
            <w:r w:rsidRPr="00C33368">
              <w:rPr>
                <w:sz w:val="24"/>
                <w:szCs w:val="24"/>
              </w:rPr>
              <w:t>- tarptautiniu mastu pripažįstamą IT projektų vadovo kvalifikaciją.</w:t>
            </w:r>
          </w:p>
          <w:p w14:paraId="47C3EC91" w14:textId="77777777" w:rsidR="00C33368" w:rsidRPr="00C33368" w:rsidRDefault="00C33368" w:rsidP="00CE346F">
            <w:pPr>
              <w:jc w:val="both"/>
              <w:rPr>
                <w:sz w:val="24"/>
                <w:szCs w:val="24"/>
              </w:rPr>
            </w:pPr>
          </w:p>
          <w:p w14:paraId="42574966" w14:textId="77777777" w:rsidR="00C33368" w:rsidRPr="00C33368" w:rsidRDefault="00C33368" w:rsidP="00CE346F">
            <w:pPr>
              <w:jc w:val="both"/>
              <w:rPr>
                <w:sz w:val="24"/>
                <w:szCs w:val="24"/>
              </w:rPr>
            </w:pPr>
            <w:r w:rsidRPr="00C33368">
              <w:rPr>
                <w:sz w:val="24"/>
                <w:szCs w:val="24"/>
              </w:rPr>
              <w:t>PASTABA. Projekto (sutarties, kurios pagrindu vykdytas projektas) vykdymo pradžia ir pabaiga turi patekti į nurodytą 5 metų laikotarpį. Jeigu projektas dar nėra pasibaigęs vertiname projekte numatytas veiklas, kurias atliko specialistas.</w:t>
            </w:r>
          </w:p>
          <w:p w14:paraId="29A795EA" w14:textId="77777777" w:rsidR="00C33368" w:rsidRPr="00C33368" w:rsidRDefault="00C33368" w:rsidP="00CE346F">
            <w:pPr>
              <w:jc w:val="both"/>
              <w:rPr>
                <w:sz w:val="24"/>
                <w:szCs w:val="24"/>
              </w:rPr>
            </w:pPr>
          </w:p>
          <w:p w14:paraId="1D2EECE7" w14:textId="77777777" w:rsidR="00C33368" w:rsidRPr="00C33368" w:rsidRDefault="00C33368" w:rsidP="00CE346F">
            <w:pPr>
              <w:jc w:val="both"/>
              <w:rPr>
                <w:sz w:val="24"/>
                <w:szCs w:val="24"/>
              </w:rPr>
            </w:pPr>
            <w:r w:rsidRPr="00C33368">
              <w:rPr>
                <w:sz w:val="24"/>
                <w:szCs w:val="24"/>
              </w:rPr>
              <w:t>Pateikiama:</w:t>
            </w:r>
          </w:p>
          <w:p w14:paraId="2C432AEB" w14:textId="77777777" w:rsidR="00C33368" w:rsidRPr="00C33368" w:rsidRDefault="00C33368" w:rsidP="00CE346F">
            <w:pPr>
              <w:jc w:val="both"/>
              <w:rPr>
                <w:sz w:val="24"/>
                <w:szCs w:val="24"/>
              </w:rPr>
            </w:pPr>
            <w:r w:rsidRPr="00C33368">
              <w:rPr>
                <w:sz w:val="24"/>
                <w:szCs w:val="24"/>
              </w:rPr>
              <w:t>1) 1 p. reikalaujami dokumentai;</w:t>
            </w:r>
          </w:p>
          <w:p w14:paraId="27D23A69" w14:textId="77777777" w:rsidR="00C33368" w:rsidRPr="00C33368" w:rsidRDefault="00C33368" w:rsidP="00CE346F">
            <w:pPr>
              <w:jc w:val="both"/>
              <w:rPr>
                <w:sz w:val="24"/>
                <w:szCs w:val="24"/>
              </w:rPr>
            </w:pPr>
            <w:r w:rsidRPr="00C33368">
              <w:rPr>
                <w:sz w:val="24"/>
                <w:szCs w:val="24"/>
              </w:rPr>
              <w:t xml:space="preserve">2) Siūlomo specialisto kvalifikaciją patvirtinantis – </w:t>
            </w:r>
            <w:proofErr w:type="spellStart"/>
            <w:r w:rsidRPr="00C33368">
              <w:rPr>
                <w:sz w:val="24"/>
                <w:szCs w:val="24"/>
              </w:rPr>
              <w:t>CompTIA</w:t>
            </w:r>
            <w:proofErr w:type="spellEnd"/>
            <w:r w:rsidRPr="00C33368">
              <w:rPr>
                <w:sz w:val="24"/>
                <w:szCs w:val="24"/>
              </w:rPr>
              <w:t xml:space="preserve"> Project + arba PMP arba PRINCE2 arba kitas kvalifikaciją įrodantis lygiavertis dokumentas (lygiaverčiais laikytini pasirengimą pagal prašomą kvalifikaciją atitinkančią, tarptautiniu mastu pripažįstamą mokymo programą, įskaitant atitinkamo </w:t>
            </w:r>
            <w:r w:rsidRPr="00C33368">
              <w:rPr>
                <w:sz w:val="24"/>
                <w:szCs w:val="24"/>
              </w:rPr>
              <w:lastRenderedPageBreak/>
              <w:t>egzamino išlaikymą, patvirtinantys dokumentai, tuo tarpu vien tik kursų, seminarų, mokymo programų išklausymą patvirtinantys dokumentai nelaikomi lygiaverčiais tarptautiniu mastu pripažįstamą kvalifikaciją patvirtinantiems sertifikatams).</w:t>
            </w:r>
          </w:p>
          <w:p w14:paraId="47179B19" w14:textId="77777777" w:rsidR="00C33368" w:rsidRPr="00C33368" w:rsidRDefault="00C33368" w:rsidP="00CE346F">
            <w:pPr>
              <w:jc w:val="both"/>
              <w:rPr>
                <w:sz w:val="24"/>
                <w:szCs w:val="24"/>
              </w:rPr>
            </w:pPr>
          </w:p>
          <w:p w14:paraId="6FA5D676" w14:textId="77777777" w:rsidR="00C33368" w:rsidRPr="00C33368" w:rsidRDefault="00C33368" w:rsidP="00CE346F">
            <w:pPr>
              <w:jc w:val="both"/>
              <w:rPr>
                <w:sz w:val="24"/>
                <w:szCs w:val="24"/>
              </w:rPr>
            </w:pPr>
            <w:r w:rsidRPr="00C33368">
              <w:rPr>
                <w:sz w:val="24"/>
                <w:szCs w:val="24"/>
              </w:rPr>
              <w:t>Sertifikatų, pažymėjimų lygiavertiškumą tiekėjas turi gebėti pagrįsti.</w:t>
            </w:r>
          </w:p>
          <w:p w14:paraId="4821588A" w14:textId="77777777" w:rsidR="00C33368" w:rsidRPr="00C33368" w:rsidRDefault="00C33368" w:rsidP="00CE346F">
            <w:pPr>
              <w:jc w:val="both"/>
              <w:rPr>
                <w:sz w:val="24"/>
                <w:szCs w:val="24"/>
              </w:rPr>
            </w:pPr>
          </w:p>
          <w:p w14:paraId="424E80B9" w14:textId="77777777" w:rsidR="00C33368" w:rsidRPr="00C33368" w:rsidRDefault="00C33368" w:rsidP="00CE346F">
            <w:pPr>
              <w:jc w:val="both"/>
              <w:rPr>
                <w:sz w:val="24"/>
                <w:szCs w:val="24"/>
              </w:rPr>
            </w:pPr>
            <w:r w:rsidRPr="00C33368">
              <w:rPr>
                <w:sz w:val="24"/>
                <w:szCs w:val="24"/>
              </w:rPr>
              <w:t>1.2. ITSM programinės įrangos specialistas:</w:t>
            </w:r>
          </w:p>
          <w:p w14:paraId="58AD03D6" w14:textId="77777777" w:rsidR="00C33368" w:rsidRPr="00C33368" w:rsidRDefault="00C33368" w:rsidP="00CE346F">
            <w:pPr>
              <w:jc w:val="both"/>
              <w:rPr>
                <w:sz w:val="24"/>
                <w:szCs w:val="24"/>
              </w:rPr>
            </w:pPr>
            <w:r w:rsidRPr="00C33368">
              <w:rPr>
                <w:sz w:val="24"/>
                <w:szCs w:val="24"/>
              </w:rPr>
              <w:t>- per paskutinius 5 (penkerius) metus, kaip ITSM programinės įrangos specialistas, turi būti dalyvavęs įgyvendinant bent 1 (vieną) sutartį (projektą), kurios apimtyje atliko priežiūros, integravimo ar konfigūravimo darbus.</w:t>
            </w:r>
          </w:p>
          <w:p w14:paraId="0078FF4A" w14:textId="77777777" w:rsidR="00C33368" w:rsidRPr="00C33368" w:rsidRDefault="00C33368" w:rsidP="00CE346F">
            <w:pPr>
              <w:jc w:val="both"/>
              <w:rPr>
                <w:sz w:val="24"/>
                <w:szCs w:val="24"/>
              </w:rPr>
            </w:pPr>
          </w:p>
          <w:p w14:paraId="3CE6657E" w14:textId="77777777" w:rsidR="00C33368" w:rsidRPr="00C33368" w:rsidRDefault="00C33368" w:rsidP="00CE346F">
            <w:pPr>
              <w:jc w:val="both"/>
              <w:rPr>
                <w:sz w:val="24"/>
                <w:szCs w:val="24"/>
              </w:rPr>
            </w:pPr>
            <w:r w:rsidRPr="00C33368">
              <w:rPr>
                <w:sz w:val="24"/>
                <w:szCs w:val="24"/>
              </w:rPr>
              <w:t>PASTABA. Projekto (sutarties, kurios pagrindu vykdytas projektas) vykdymo pradžia ir pabaiga turi patekti į nurodytą 5 metų laikotarpį. Jeigu projektas dar nėra pasibaigęs vertiname projekte numatytas veiklas, kurias atliko specialistas.</w:t>
            </w:r>
          </w:p>
          <w:p w14:paraId="6DD061AC" w14:textId="77777777" w:rsidR="00C33368" w:rsidRPr="00C33368" w:rsidRDefault="00C33368" w:rsidP="00CE346F">
            <w:pPr>
              <w:jc w:val="both"/>
              <w:rPr>
                <w:sz w:val="24"/>
                <w:szCs w:val="24"/>
              </w:rPr>
            </w:pPr>
            <w:r w:rsidRPr="00C33368">
              <w:rPr>
                <w:sz w:val="24"/>
                <w:szCs w:val="24"/>
              </w:rPr>
              <w:t>Pateikiama:</w:t>
            </w:r>
          </w:p>
          <w:p w14:paraId="6E3FF30D" w14:textId="77777777" w:rsidR="00C33368" w:rsidRPr="00C33368" w:rsidRDefault="00C33368" w:rsidP="00CE346F">
            <w:pPr>
              <w:jc w:val="both"/>
              <w:rPr>
                <w:sz w:val="24"/>
                <w:szCs w:val="24"/>
              </w:rPr>
            </w:pPr>
            <w:r w:rsidRPr="00C33368">
              <w:rPr>
                <w:sz w:val="24"/>
                <w:szCs w:val="24"/>
              </w:rPr>
              <w:t>1) 1 p. reikalaujami dokumentai.</w:t>
            </w:r>
          </w:p>
        </w:tc>
        <w:tc>
          <w:tcPr>
            <w:tcW w:w="4473" w:type="dxa"/>
            <w:shd w:val="clear" w:color="auto" w:fill="auto"/>
          </w:tcPr>
          <w:p w14:paraId="265C2566" w14:textId="77777777" w:rsidR="00C33368" w:rsidRPr="00C33368" w:rsidRDefault="00C33368" w:rsidP="00CE346F">
            <w:pPr>
              <w:jc w:val="both"/>
              <w:rPr>
                <w:sz w:val="24"/>
                <w:szCs w:val="24"/>
              </w:rPr>
            </w:pPr>
            <w:r w:rsidRPr="00C33368">
              <w:rPr>
                <w:sz w:val="24"/>
                <w:szCs w:val="24"/>
              </w:rPr>
              <w:lastRenderedPageBreak/>
              <w:t>Informuojame, kad Viešųjų pirkimų komisija, vykdydama pirkimą, neatlieka išankstinio tiekėjų pasiūlymų vertinimo.</w:t>
            </w:r>
          </w:p>
          <w:p w14:paraId="38136E48" w14:textId="77777777" w:rsidR="00C33368" w:rsidRPr="00C33368" w:rsidRDefault="00C33368" w:rsidP="00CE346F">
            <w:pPr>
              <w:jc w:val="both"/>
              <w:rPr>
                <w:sz w:val="24"/>
                <w:szCs w:val="24"/>
              </w:rPr>
            </w:pPr>
          </w:p>
          <w:p w14:paraId="5C7A8AC9" w14:textId="77777777" w:rsidR="00C33368" w:rsidRPr="00C33368" w:rsidRDefault="00C33368" w:rsidP="00CE346F">
            <w:pPr>
              <w:jc w:val="both"/>
              <w:rPr>
                <w:sz w:val="24"/>
                <w:szCs w:val="24"/>
              </w:rPr>
            </w:pPr>
            <w:r w:rsidRPr="00C33368">
              <w:rPr>
                <w:sz w:val="24"/>
                <w:szCs w:val="24"/>
              </w:rPr>
              <w:t>Pirkimuose nėra draudžiama dalyvauti Europos sąjungos šalių narių tiekėjams. Perkančioji organizacija taip pat nenustato tiekėjų, dalyvaujančių pirkime, teisinės formos. Reikalavimai dėl rėmimosi kitų ūkio subjektų pajėgumais, subtiekėjų pasitelkimo  ir tiekėjų grupės dalyvavimo pirkime pateikiami Pirkimo sąlygų B Bendrosios dalies 10, 11 ir 12 skirsniuose.</w:t>
            </w:r>
          </w:p>
          <w:p w14:paraId="642B178F" w14:textId="77777777" w:rsidR="00C33368" w:rsidRPr="00C33368" w:rsidRDefault="00C33368" w:rsidP="00CE346F">
            <w:pPr>
              <w:jc w:val="both"/>
              <w:rPr>
                <w:sz w:val="24"/>
                <w:szCs w:val="24"/>
              </w:rPr>
            </w:pPr>
          </w:p>
          <w:p w14:paraId="6433C148" w14:textId="77777777" w:rsidR="00C33368" w:rsidRPr="00C33368" w:rsidRDefault="00C33368" w:rsidP="00CE346F">
            <w:pPr>
              <w:jc w:val="both"/>
              <w:rPr>
                <w:sz w:val="24"/>
                <w:szCs w:val="24"/>
              </w:rPr>
            </w:pPr>
            <w:r w:rsidRPr="00C33368">
              <w:rPr>
                <w:sz w:val="24"/>
                <w:szCs w:val="24"/>
              </w:rPr>
              <w:t>Viešųjų pirkimų tarnyba taip pat yra paskelbusi informacinius pranešimus dėl trečiųjų šalių tiekėjų dalyvavimo pirkimuose</w:t>
            </w:r>
            <w:r w:rsidRPr="00C33368">
              <w:rPr>
                <w:rStyle w:val="FootnoteReference"/>
                <w:sz w:val="24"/>
                <w:szCs w:val="24"/>
              </w:rPr>
              <w:footnoteReference w:id="1"/>
            </w:r>
            <w:r w:rsidRPr="00C33368">
              <w:rPr>
                <w:sz w:val="24"/>
                <w:szCs w:val="24"/>
              </w:rPr>
              <w:t>.</w:t>
            </w:r>
          </w:p>
        </w:tc>
      </w:tr>
    </w:tbl>
    <w:p w14:paraId="5A36D8F9" w14:textId="77777777" w:rsidR="00C33368" w:rsidRPr="00C33368" w:rsidRDefault="00C33368" w:rsidP="00C33368">
      <w:pPr>
        <w:pStyle w:val="FreeForm"/>
        <w:keepNext/>
        <w:spacing w:line="300" w:lineRule="atLeast"/>
        <w:rPr>
          <w:sz w:val="24"/>
          <w:szCs w:val="24"/>
          <w:lang w:val="lt-LT"/>
        </w:rPr>
      </w:pPr>
    </w:p>
    <w:p w14:paraId="052EBC13" w14:textId="77777777" w:rsidR="00C33368" w:rsidRPr="00C33368" w:rsidRDefault="00C33368" w:rsidP="00C33368">
      <w:pPr>
        <w:pStyle w:val="FreeForm"/>
        <w:keepNext/>
        <w:spacing w:line="300" w:lineRule="atLeast"/>
        <w:rPr>
          <w:sz w:val="24"/>
          <w:szCs w:val="24"/>
          <w:lang w:val="lt-LT"/>
        </w:rPr>
      </w:pPr>
    </w:p>
    <w:p w14:paraId="6CF1E2CA" w14:textId="77777777" w:rsidR="00C33368" w:rsidRPr="00C33368" w:rsidRDefault="00C33368" w:rsidP="00C33368">
      <w:pPr>
        <w:pStyle w:val="Caption"/>
        <w:rPr>
          <w:i w:val="0"/>
          <w:iCs w:val="0"/>
          <w:color w:val="auto"/>
          <w:sz w:val="24"/>
          <w:szCs w:val="24"/>
          <w:lang w:val="lt-LT"/>
        </w:rPr>
      </w:pPr>
      <w:r w:rsidRPr="00C33368">
        <w:rPr>
          <w:i w:val="0"/>
          <w:iCs w:val="0"/>
          <w:color w:val="auto"/>
          <w:sz w:val="24"/>
          <w:szCs w:val="24"/>
          <w:lang w:val="lt-LT"/>
        </w:rPr>
        <w:t>Viešojo pirkimo komisija</w:t>
      </w:r>
    </w:p>
    <w:p w14:paraId="1A07324A" w14:textId="77777777" w:rsidR="009E62D1" w:rsidRDefault="009E62D1"/>
    <w:sectPr w:rsidR="009E62D1" w:rsidSect="00C33368">
      <w:footerReference w:type="default" r:id="rId8"/>
      <w:pgSz w:w="11900" w:h="16840"/>
      <w:pgMar w:top="1080" w:right="740" w:bottom="10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C5A0" w14:textId="77777777" w:rsidR="00C33368" w:rsidRDefault="00C33368" w:rsidP="00C33368">
      <w:r>
        <w:separator/>
      </w:r>
    </w:p>
  </w:endnote>
  <w:endnote w:type="continuationSeparator" w:id="0">
    <w:p w14:paraId="1C7D312F" w14:textId="77777777" w:rsidR="00C33368" w:rsidRDefault="00C33368" w:rsidP="00C3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A98E" w14:textId="77777777" w:rsidR="00C33368" w:rsidRDefault="00C33368">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CEE0" w14:textId="77777777" w:rsidR="00C33368" w:rsidRDefault="00C33368" w:rsidP="00C33368">
      <w:r>
        <w:separator/>
      </w:r>
    </w:p>
  </w:footnote>
  <w:footnote w:type="continuationSeparator" w:id="0">
    <w:p w14:paraId="7885163F" w14:textId="77777777" w:rsidR="00C33368" w:rsidRDefault="00C33368" w:rsidP="00C33368">
      <w:r>
        <w:continuationSeparator/>
      </w:r>
    </w:p>
  </w:footnote>
  <w:footnote w:id="1">
    <w:p w14:paraId="169660F0" w14:textId="77777777" w:rsidR="00C33368" w:rsidRDefault="00C33368" w:rsidP="00C33368">
      <w:pPr>
        <w:pStyle w:val="FootnoteText"/>
      </w:pPr>
      <w:r>
        <w:rPr>
          <w:rStyle w:val="FootnoteReference"/>
        </w:rPr>
        <w:footnoteRef/>
      </w:r>
      <w:r>
        <w:t xml:space="preserve"> </w:t>
      </w:r>
      <w:hyperlink r:id="rId1" w:history="1">
        <w:proofErr w:type="spellStart"/>
        <w:r w:rsidRPr="000E6B7A">
          <w:rPr>
            <w:rStyle w:val="Hyperlink"/>
          </w:rPr>
          <w:t>Aktuali</w:t>
        </w:r>
        <w:proofErr w:type="spellEnd"/>
        <w:r w:rsidRPr="000E6B7A">
          <w:rPr>
            <w:rStyle w:val="Hyperlink"/>
          </w:rPr>
          <w:t xml:space="preserve"> </w:t>
        </w:r>
        <w:proofErr w:type="spellStart"/>
        <w:r w:rsidRPr="000E6B7A">
          <w:rPr>
            <w:rStyle w:val="Hyperlink"/>
          </w:rPr>
          <w:t>Teismo</w:t>
        </w:r>
        <w:proofErr w:type="spellEnd"/>
        <w:r w:rsidRPr="000E6B7A">
          <w:rPr>
            <w:rStyle w:val="Hyperlink"/>
          </w:rPr>
          <w:t xml:space="preserve"> </w:t>
        </w:r>
        <w:proofErr w:type="spellStart"/>
        <w:r w:rsidRPr="000E6B7A">
          <w:rPr>
            <w:rStyle w:val="Hyperlink"/>
          </w:rPr>
          <w:t>nutartis</w:t>
        </w:r>
        <w:proofErr w:type="spellEnd"/>
        <w:r w:rsidRPr="000E6B7A">
          <w:rPr>
            <w:rStyle w:val="Hyperlink"/>
          </w:rPr>
          <w:t xml:space="preserve"> </w:t>
        </w:r>
        <w:proofErr w:type="spellStart"/>
        <w:r w:rsidRPr="000E6B7A">
          <w:rPr>
            <w:rStyle w:val="Hyperlink"/>
          </w:rPr>
          <w:t>ir</w:t>
        </w:r>
        <w:proofErr w:type="spellEnd"/>
        <w:r w:rsidRPr="000E6B7A">
          <w:rPr>
            <w:rStyle w:val="Hyperlink"/>
          </w:rPr>
          <w:t xml:space="preserve"> EK </w:t>
        </w:r>
        <w:proofErr w:type="spellStart"/>
        <w:r w:rsidRPr="000E6B7A">
          <w:rPr>
            <w:rStyle w:val="Hyperlink"/>
          </w:rPr>
          <w:t>nuomonė</w:t>
        </w:r>
        <w:proofErr w:type="spellEnd"/>
        <w:r w:rsidRPr="000E6B7A">
          <w:rPr>
            <w:rStyle w:val="Hyperlink"/>
          </w:rPr>
          <w:t xml:space="preserve"> </w:t>
        </w:r>
        <w:proofErr w:type="spellStart"/>
        <w:r w:rsidRPr="000E6B7A">
          <w:rPr>
            <w:rStyle w:val="Hyperlink"/>
          </w:rPr>
          <w:t>dėl</w:t>
        </w:r>
        <w:proofErr w:type="spellEnd"/>
        <w:r w:rsidRPr="000E6B7A">
          <w:rPr>
            <w:rStyle w:val="Hyperlink"/>
          </w:rPr>
          <w:t xml:space="preserve"> </w:t>
        </w:r>
        <w:proofErr w:type="spellStart"/>
        <w:r w:rsidRPr="000E6B7A">
          <w:rPr>
            <w:rStyle w:val="Hyperlink"/>
          </w:rPr>
          <w:t>tiekėjų</w:t>
        </w:r>
        <w:proofErr w:type="spellEnd"/>
        <w:r w:rsidRPr="000E6B7A">
          <w:rPr>
            <w:rStyle w:val="Hyperlink"/>
          </w:rPr>
          <w:t xml:space="preserve"> </w:t>
        </w:r>
        <w:proofErr w:type="spellStart"/>
        <w:r w:rsidRPr="000E6B7A">
          <w:rPr>
            <w:rStyle w:val="Hyperlink"/>
          </w:rPr>
          <w:t>iš</w:t>
        </w:r>
        <w:proofErr w:type="spellEnd"/>
        <w:r w:rsidRPr="000E6B7A">
          <w:rPr>
            <w:rStyle w:val="Hyperlink"/>
          </w:rPr>
          <w:t xml:space="preserve"> </w:t>
        </w:r>
        <w:proofErr w:type="spellStart"/>
        <w:r w:rsidRPr="000E6B7A">
          <w:rPr>
            <w:rStyle w:val="Hyperlink"/>
          </w:rPr>
          <w:t>trečiųjų</w:t>
        </w:r>
        <w:proofErr w:type="spellEnd"/>
        <w:r w:rsidRPr="000E6B7A">
          <w:rPr>
            <w:rStyle w:val="Hyperlink"/>
          </w:rPr>
          <w:t xml:space="preserve"> </w:t>
        </w:r>
        <w:proofErr w:type="spellStart"/>
        <w:r w:rsidRPr="000E6B7A">
          <w:rPr>
            <w:rStyle w:val="Hyperlink"/>
          </w:rPr>
          <w:t>šalių</w:t>
        </w:r>
        <w:proofErr w:type="spellEnd"/>
        <w:r w:rsidRPr="000E6B7A">
          <w:rPr>
            <w:rStyle w:val="Hyperlink"/>
          </w:rPr>
          <w:t xml:space="preserve"> </w:t>
        </w:r>
        <w:proofErr w:type="spellStart"/>
        <w:r w:rsidRPr="000E6B7A">
          <w:rPr>
            <w:rStyle w:val="Hyperlink"/>
          </w:rPr>
          <w:t>dalyvavimo</w:t>
        </w:r>
        <w:proofErr w:type="spellEnd"/>
        <w:r w:rsidRPr="000E6B7A">
          <w:rPr>
            <w:rStyle w:val="Hyperlink"/>
          </w:rPr>
          <w:t xml:space="preserve"> </w:t>
        </w:r>
        <w:proofErr w:type="spellStart"/>
        <w:r w:rsidRPr="000E6B7A">
          <w:rPr>
            <w:rStyle w:val="Hyperlink"/>
          </w:rPr>
          <w:t>pirkimuose</w:t>
        </w:r>
        <w:proofErr w:type="spellEnd"/>
        <w:r w:rsidRPr="000E6B7A">
          <w:rPr>
            <w:rStyle w:val="Hyperlink"/>
          </w:rPr>
          <w:t xml:space="preserve"> - </w:t>
        </w:r>
        <w:proofErr w:type="spellStart"/>
        <w:r w:rsidRPr="000E6B7A">
          <w:rPr>
            <w:rStyle w:val="Hyperlink"/>
          </w:rPr>
          <w:t>Viešųjų</w:t>
        </w:r>
        <w:proofErr w:type="spellEnd"/>
        <w:r w:rsidRPr="000E6B7A">
          <w:rPr>
            <w:rStyle w:val="Hyperlink"/>
          </w:rPr>
          <w:t xml:space="preserve"> </w:t>
        </w:r>
        <w:proofErr w:type="spellStart"/>
        <w:r w:rsidRPr="000E6B7A">
          <w:rPr>
            <w:rStyle w:val="Hyperlink"/>
          </w:rPr>
          <w:t>pirkimų</w:t>
        </w:r>
        <w:proofErr w:type="spellEnd"/>
        <w:r w:rsidRPr="000E6B7A">
          <w:rPr>
            <w:rStyle w:val="Hyperlink"/>
          </w:rPr>
          <w:t xml:space="preserve"> </w:t>
        </w:r>
        <w:proofErr w:type="spellStart"/>
        <w:r w:rsidRPr="000E6B7A">
          <w:rPr>
            <w:rStyle w:val="Hyperlink"/>
          </w:rPr>
          <w:t>tarnyba</w:t>
        </w:r>
        <w:proofErr w:type="spellEnd"/>
      </w:hyperlink>
      <w:r>
        <w:t>;</w:t>
      </w:r>
    </w:p>
    <w:p w14:paraId="22118CEA" w14:textId="77777777" w:rsidR="00C33368" w:rsidRPr="000E6B7A" w:rsidRDefault="00C33368" w:rsidP="00C33368">
      <w:pPr>
        <w:pStyle w:val="FootnoteText"/>
        <w:rPr>
          <w:lang w:val="lt-LT"/>
        </w:rPr>
      </w:pPr>
      <w:hyperlink r:id="rId2" w:history="1">
        <w:r w:rsidRPr="00D54B05">
          <w:rPr>
            <w:rStyle w:val="Hyperlink"/>
          </w:rPr>
          <w:t xml:space="preserve">Nauja </w:t>
        </w:r>
        <w:proofErr w:type="spellStart"/>
        <w:r w:rsidRPr="00D54B05">
          <w:rPr>
            <w:rStyle w:val="Hyperlink"/>
          </w:rPr>
          <w:t>pagalbinė</w:t>
        </w:r>
        <w:proofErr w:type="spellEnd"/>
        <w:r w:rsidRPr="00D54B05">
          <w:rPr>
            <w:rStyle w:val="Hyperlink"/>
          </w:rPr>
          <w:t xml:space="preserve"> </w:t>
        </w:r>
        <w:proofErr w:type="spellStart"/>
        <w:r w:rsidRPr="00D54B05">
          <w:rPr>
            <w:rStyle w:val="Hyperlink"/>
          </w:rPr>
          <w:t>priemonė</w:t>
        </w:r>
        <w:proofErr w:type="spellEnd"/>
        <w:r w:rsidRPr="00D54B05">
          <w:rPr>
            <w:rStyle w:val="Hyperlink"/>
          </w:rPr>
          <w:t xml:space="preserve"> </w:t>
        </w:r>
        <w:proofErr w:type="spellStart"/>
        <w:r w:rsidRPr="00D54B05">
          <w:rPr>
            <w:rStyle w:val="Hyperlink"/>
          </w:rPr>
          <w:t>pirkimo</w:t>
        </w:r>
        <w:proofErr w:type="spellEnd"/>
        <w:r w:rsidRPr="00D54B05">
          <w:rPr>
            <w:rStyle w:val="Hyperlink"/>
          </w:rPr>
          <w:t xml:space="preserve"> </w:t>
        </w:r>
        <w:proofErr w:type="spellStart"/>
        <w:r w:rsidRPr="00D54B05">
          <w:rPr>
            <w:rStyle w:val="Hyperlink"/>
          </w:rPr>
          <w:t>vykdytojams</w:t>
        </w:r>
        <w:proofErr w:type="spellEnd"/>
        <w:r w:rsidRPr="00D54B05">
          <w:rPr>
            <w:rStyle w:val="Hyperlink"/>
          </w:rPr>
          <w:t xml:space="preserve"> - </w:t>
        </w:r>
        <w:proofErr w:type="spellStart"/>
        <w:r w:rsidRPr="00D54B05">
          <w:rPr>
            <w:rStyle w:val="Hyperlink"/>
          </w:rPr>
          <w:t>Viešųjų</w:t>
        </w:r>
        <w:proofErr w:type="spellEnd"/>
        <w:r w:rsidRPr="00D54B05">
          <w:rPr>
            <w:rStyle w:val="Hyperlink"/>
          </w:rPr>
          <w:t xml:space="preserve"> </w:t>
        </w:r>
        <w:proofErr w:type="spellStart"/>
        <w:r w:rsidRPr="00D54B05">
          <w:rPr>
            <w:rStyle w:val="Hyperlink"/>
          </w:rPr>
          <w:t>pirkimų</w:t>
        </w:r>
        <w:proofErr w:type="spellEnd"/>
        <w:r w:rsidRPr="00D54B05">
          <w:rPr>
            <w:rStyle w:val="Hyperlink"/>
          </w:rPr>
          <w:t xml:space="preserve"> </w:t>
        </w:r>
        <w:proofErr w:type="spellStart"/>
        <w:r w:rsidRPr="00D54B05">
          <w:rPr>
            <w:rStyle w:val="Hyperlink"/>
          </w:rPr>
          <w:t>tarnyba</w:t>
        </w:r>
        <w:proofErr w:type="spellEnd"/>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68"/>
    <w:rsid w:val="00560ADA"/>
    <w:rsid w:val="00681129"/>
    <w:rsid w:val="00681758"/>
    <w:rsid w:val="008B1785"/>
    <w:rsid w:val="009A495B"/>
    <w:rsid w:val="009D2AB4"/>
    <w:rsid w:val="009E62D1"/>
    <w:rsid w:val="00B9697F"/>
    <w:rsid w:val="00C33368"/>
    <w:rsid w:val="00D604AB"/>
    <w:rsid w:val="00D7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FD03"/>
  <w15:chartTrackingRefBased/>
  <w15:docId w15:val="{738E60B5-1D99-4123-9F28-5AAF559D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36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C3336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368"/>
    <w:rPr>
      <w:rFonts w:eastAsiaTheme="majorEastAsia" w:cstheme="majorBidi"/>
      <w:color w:val="272727" w:themeColor="text1" w:themeTint="D8"/>
    </w:rPr>
  </w:style>
  <w:style w:type="paragraph" w:styleId="Title">
    <w:name w:val="Title"/>
    <w:basedOn w:val="Normal"/>
    <w:next w:val="Normal"/>
    <w:link w:val="TitleChar"/>
    <w:uiPriority w:val="10"/>
    <w:qFormat/>
    <w:rsid w:val="00C33368"/>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C33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36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C33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368"/>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C33368"/>
    <w:rPr>
      <w:i/>
      <w:iCs/>
      <w:color w:val="404040" w:themeColor="text1" w:themeTint="BF"/>
    </w:rPr>
  </w:style>
  <w:style w:type="paragraph" w:styleId="ListParagraph">
    <w:name w:val="List Paragraph"/>
    <w:basedOn w:val="Normal"/>
    <w:uiPriority w:val="34"/>
    <w:qFormat/>
    <w:rsid w:val="00C3336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C33368"/>
    <w:rPr>
      <w:i/>
      <w:iCs/>
      <w:color w:val="0F4761" w:themeColor="accent1" w:themeShade="BF"/>
    </w:rPr>
  </w:style>
  <w:style w:type="paragraph" w:styleId="IntenseQuote">
    <w:name w:val="Intense Quote"/>
    <w:basedOn w:val="Normal"/>
    <w:next w:val="Normal"/>
    <w:link w:val="IntenseQuoteChar"/>
    <w:uiPriority w:val="30"/>
    <w:qFormat/>
    <w:rsid w:val="00C33368"/>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C33368"/>
    <w:rPr>
      <w:i/>
      <w:iCs/>
      <w:color w:val="0F4761" w:themeColor="accent1" w:themeShade="BF"/>
    </w:rPr>
  </w:style>
  <w:style w:type="character" w:styleId="IntenseReference">
    <w:name w:val="Intense Reference"/>
    <w:basedOn w:val="DefaultParagraphFont"/>
    <w:uiPriority w:val="32"/>
    <w:qFormat/>
    <w:rsid w:val="00C33368"/>
    <w:rPr>
      <w:b/>
      <w:bCs/>
      <w:smallCaps/>
      <w:color w:val="0F4761" w:themeColor="accent1" w:themeShade="BF"/>
      <w:spacing w:val="5"/>
    </w:rPr>
  </w:style>
  <w:style w:type="character" w:styleId="Hyperlink">
    <w:name w:val="Hyperlink"/>
    <w:rsid w:val="00C33368"/>
    <w:rPr>
      <w:u w:val="single"/>
    </w:rPr>
  </w:style>
  <w:style w:type="paragraph" w:customStyle="1" w:styleId="HeaderFooter">
    <w:name w:val="Header &amp; Footer"/>
    <w:rsid w:val="00C3336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14:ligatures w14:val="none"/>
    </w:rPr>
  </w:style>
  <w:style w:type="paragraph" w:customStyle="1" w:styleId="FreeForm">
    <w:name w:val="Free Form"/>
    <w:uiPriority w:val="99"/>
    <w:rsid w:val="00C33368"/>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 w:type="table" w:styleId="TableGrid">
    <w:name w:val="Table Grid"/>
    <w:basedOn w:val="TableNormal"/>
    <w:uiPriority w:val="39"/>
    <w:rsid w:val="00C33368"/>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33368"/>
    <w:pPr>
      <w:spacing w:after="200"/>
    </w:pPr>
    <w:rPr>
      <w:i/>
      <w:iCs/>
      <w:color w:val="0E2841" w:themeColor="text2"/>
      <w:sz w:val="18"/>
      <w:szCs w:val="18"/>
    </w:rPr>
  </w:style>
  <w:style w:type="paragraph" w:styleId="FootnoteText">
    <w:name w:val="footnote text"/>
    <w:basedOn w:val="Normal"/>
    <w:link w:val="FootnoteTextChar"/>
    <w:uiPriority w:val="99"/>
    <w:semiHidden/>
    <w:unhideWhenUsed/>
    <w:rsid w:val="00C33368"/>
    <w:rPr>
      <w:sz w:val="20"/>
      <w:szCs w:val="20"/>
    </w:rPr>
  </w:style>
  <w:style w:type="character" w:customStyle="1" w:styleId="FootnoteTextChar">
    <w:name w:val="Footnote Text Char"/>
    <w:basedOn w:val="DefaultParagraphFont"/>
    <w:link w:val="FootnoteText"/>
    <w:uiPriority w:val="99"/>
    <w:semiHidden/>
    <w:rsid w:val="00C33368"/>
    <w:rPr>
      <w:rFonts w:ascii="Times New Roman" w:eastAsia="Arial Unicode MS" w:hAnsi="Times New Roman" w:cs="Times New Roman"/>
      <w:kern w:val="0"/>
      <w:sz w:val="20"/>
      <w:szCs w:val="20"/>
      <w:bdr w:val="nil"/>
      <w14:ligatures w14:val="none"/>
    </w:rPr>
  </w:style>
  <w:style w:type="character" w:styleId="FootnoteReference">
    <w:name w:val="footnote reference"/>
    <w:basedOn w:val="DefaultParagraphFont"/>
    <w:uiPriority w:val="99"/>
    <w:semiHidden/>
    <w:unhideWhenUsed/>
    <w:rsid w:val="00C33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3/nauja-pagalbine-priemone-pirkimo-vykdytojams-ivo/" TargetMode="External"/><Relationship Id="rId1" Type="http://schemas.openxmlformats.org/officeDocument/2006/relationships/hyperlink" Target="https://vpt.lrv.lt/lt/naujienos-3/aktuali-teismo-nutartis-ir-ek-nuomone-del-tiekeju-is-treciuju-saliu-dalyvavimo-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72455-193D-4B53-A0A0-3AA2BFA1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Rūta Vitkauskienė</cp:lastModifiedBy>
  <cp:revision>2</cp:revision>
  <dcterms:created xsi:type="dcterms:W3CDTF">2025-07-24T07:32:00Z</dcterms:created>
  <dcterms:modified xsi:type="dcterms:W3CDTF">2025-07-24T07:32:00Z</dcterms:modified>
</cp:coreProperties>
</file>