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5C3C" w14:textId="77777777" w:rsidR="00CD5649" w:rsidRPr="00042F91" w:rsidRDefault="00CD5649" w:rsidP="00CD5649">
      <w:pPr>
        <w:pStyle w:val="Heading1"/>
        <w:spacing w:before="0"/>
        <w:jc w:val="right"/>
        <w:rPr>
          <w:rFonts w:asciiTheme="minorHAnsi" w:hAnsiTheme="minorHAnsi" w:cstheme="minorHAnsi"/>
          <w:color w:val="auto"/>
          <w:sz w:val="22"/>
          <w:szCs w:val="22"/>
        </w:rPr>
      </w:pPr>
      <w:bookmarkStart w:id="0" w:name="_Ref38539939"/>
      <w:bookmarkStart w:id="1" w:name="_Ref38541068"/>
      <w:bookmarkStart w:id="2" w:name="_Ref38885053"/>
      <w:bookmarkStart w:id="3" w:name="_Ref38899023"/>
      <w:bookmarkStart w:id="4" w:name="_Toc196476279"/>
      <w:r w:rsidRPr="00042F91">
        <w:rPr>
          <w:rFonts w:ascii="Times New Roman" w:eastAsia="Calibri" w:hAnsi="Times New Roman" w:cs="Times New Roman"/>
          <w:color w:val="auto"/>
          <w:sz w:val="22"/>
          <w:szCs w:val="22"/>
        </w:rPr>
        <w:t>Pirkimo sąlygų 2 priedas „Techninė specifikacija“</w:t>
      </w:r>
      <w:bookmarkEnd w:id="0"/>
      <w:bookmarkEnd w:id="1"/>
      <w:bookmarkEnd w:id="2"/>
      <w:bookmarkEnd w:id="3"/>
      <w:bookmarkEnd w:id="4"/>
    </w:p>
    <w:p w14:paraId="20FE3FF7" w14:textId="77777777" w:rsidR="00CD5649" w:rsidRPr="00042F91" w:rsidRDefault="00CD5649" w:rsidP="00CD5649">
      <w:pPr>
        <w:spacing w:after="0"/>
        <w:ind w:firstLine="652"/>
        <w:jc w:val="both"/>
        <w:rPr>
          <w:rFonts w:ascii="Times New Roman" w:hAnsi="Times New Roman" w:cs="Times New Roman"/>
          <w:sz w:val="22"/>
          <w:szCs w:val="22"/>
        </w:rPr>
      </w:pPr>
      <w:bookmarkStart w:id="5" w:name="_Hlk195297306"/>
    </w:p>
    <w:p w14:paraId="54E8BC39" w14:textId="7E4F9E45" w:rsidR="00CD5649" w:rsidRPr="00042F91" w:rsidRDefault="00CD5649" w:rsidP="00CD5649">
      <w:pPr>
        <w:spacing w:after="0" w:line="240" w:lineRule="auto"/>
        <w:jc w:val="center"/>
        <w:rPr>
          <w:rFonts w:ascii="Times New Roman" w:eastAsia="Times New Roman" w:hAnsi="Times New Roman" w:cs="Times New Roman"/>
          <w:b/>
          <w:sz w:val="22"/>
          <w:szCs w:val="22"/>
        </w:rPr>
      </w:pPr>
      <w:r w:rsidRPr="00042F91">
        <w:rPr>
          <w:rFonts w:ascii="Times New Roman" w:eastAsia="Times New Roman" w:hAnsi="Times New Roman" w:cs="Times New Roman"/>
          <w:b/>
          <w:sz w:val="22"/>
          <w:szCs w:val="22"/>
        </w:rPr>
        <w:t>TECHNINĖ SPECIFIKACIJA</w:t>
      </w:r>
      <w:r w:rsidR="00A602FD" w:rsidRPr="00042F91">
        <w:rPr>
          <w:rFonts w:ascii="Times New Roman" w:eastAsia="Times New Roman" w:hAnsi="Times New Roman" w:cs="Times New Roman"/>
          <w:b/>
          <w:sz w:val="22"/>
          <w:szCs w:val="22"/>
        </w:rPr>
        <w:t xml:space="preserve"> </w:t>
      </w:r>
    </w:p>
    <w:p w14:paraId="7F89BA35" w14:textId="77777777" w:rsidR="00CD5649" w:rsidRPr="00042F91" w:rsidRDefault="00CD5649" w:rsidP="00CD5649">
      <w:pPr>
        <w:spacing w:after="0" w:line="240" w:lineRule="auto"/>
        <w:jc w:val="center"/>
        <w:rPr>
          <w:rFonts w:ascii="Times New Roman" w:eastAsia="Times New Roman" w:hAnsi="Times New Roman" w:cs="Times New Roman"/>
          <w:b/>
          <w:sz w:val="22"/>
          <w:szCs w:val="22"/>
        </w:rPr>
      </w:pPr>
    </w:p>
    <w:p w14:paraId="59C776F9" w14:textId="77777777" w:rsidR="00675A73" w:rsidRPr="00042F91" w:rsidRDefault="00675A73" w:rsidP="001902CA">
      <w:pPr>
        <w:spacing w:after="0"/>
        <w:ind w:firstLine="652"/>
        <w:jc w:val="center"/>
        <w:rPr>
          <w:rStyle w:val="cf01"/>
          <w:rFonts w:ascii="Times New Roman" w:hAnsi="Times New Roman" w:cs="Times New Roman"/>
          <w:b/>
          <w:bCs/>
          <w:sz w:val="22"/>
          <w:szCs w:val="22"/>
        </w:rPr>
      </w:pPr>
      <w:r w:rsidRPr="00042F91">
        <w:rPr>
          <w:rStyle w:val="cf01"/>
          <w:rFonts w:ascii="Times New Roman" w:hAnsi="Times New Roman" w:cs="Times New Roman"/>
          <w:b/>
          <w:bCs/>
          <w:sz w:val="22"/>
          <w:szCs w:val="22"/>
        </w:rPr>
        <w:t xml:space="preserve">MOKSLO PASKIRTIES PASTATO KAUNE, STUDENTŲ G. 48A, </w:t>
      </w:r>
    </w:p>
    <w:p w14:paraId="22A6585D" w14:textId="5E1153C4" w:rsidR="00CD5649" w:rsidRPr="00042F91" w:rsidRDefault="00CD5649" w:rsidP="001902CA">
      <w:pPr>
        <w:spacing w:after="0"/>
        <w:ind w:firstLine="652"/>
        <w:jc w:val="center"/>
        <w:rPr>
          <w:rFonts w:ascii="Times New Roman" w:eastAsia="Times New Roman" w:hAnsi="Times New Roman" w:cs="Times New Roman"/>
          <w:b/>
          <w:bCs/>
          <w:sz w:val="22"/>
          <w:szCs w:val="22"/>
        </w:rPr>
      </w:pPr>
      <w:r w:rsidRPr="00042F91">
        <w:rPr>
          <w:rFonts w:ascii="Times New Roman" w:eastAsia="Times New Roman" w:hAnsi="Times New Roman" w:cs="Times New Roman"/>
          <w:b/>
          <w:bCs/>
          <w:sz w:val="22"/>
          <w:szCs w:val="22"/>
        </w:rPr>
        <w:t>REKONST</w:t>
      </w:r>
      <w:r w:rsidR="00BF0D2B" w:rsidRPr="00042F91">
        <w:rPr>
          <w:rFonts w:ascii="Times New Roman" w:eastAsia="Times New Roman" w:hAnsi="Times New Roman" w:cs="Times New Roman"/>
          <w:b/>
          <w:bCs/>
          <w:sz w:val="22"/>
          <w:szCs w:val="22"/>
        </w:rPr>
        <w:t>R</w:t>
      </w:r>
      <w:r w:rsidR="00F63BDF" w:rsidRPr="00042F91">
        <w:rPr>
          <w:rFonts w:ascii="Times New Roman" w:eastAsia="Times New Roman" w:hAnsi="Times New Roman" w:cs="Times New Roman"/>
          <w:b/>
          <w:bCs/>
          <w:sz w:val="22"/>
          <w:szCs w:val="22"/>
        </w:rPr>
        <w:t>AVIMO</w:t>
      </w:r>
      <w:r w:rsidRPr="00042F91">
        <w:rPr>
          <w:rFonts w:ascii="Times New Roman" w:eastAsia="Times New Roman" w:hAnsi="Times New Roman" w:cs="Times New Roman"/>
          <w:b/>
          <w:bCs/>
          <w:sz w:val="22"/>
          <w:szCs w:val="22"/>
        </w:rPr>
        <w:t xml:space="preserve"> DARBAI</w:t>
      </w:r>
    </w:p>
    <w:p w14:paraId="6298B57C" w14:textId="77777777" w:rsidR="00CD5649" w:rsidRPr="00042F91" w:rsidRDefault="00CD5649" w:rsidP="00CD5649">
      <w:pPr>
        <w:spacing w:after="0"/>
        <w:rPr>
          <w:rFonts w:ascii="Times New Roman" w:eastAsia="Times New Roman" w:hAnsi="Times New Roman" w:cs="Times New Roman"/>
          <w:sz w:val="22"/>
          <w:szCs w:val="22"/>
        </w:rPr>
      </w:pPr>
    </w:p>
    <w:tbl>
      <w:tblPr>
        <w:tblStyle w:val="TableGrid"/>
        <w:tblW w:w="9781" w:type="dxa"/>
        <w:tblInd w:w="-5" w:type="dxa"/>
        <w:tblLook w:val="04A0" w:firstRow="1" w:lastRow="0" w:firstColumn="1" w:lastColumn="0" w:noHBand="0" w:noVBand="1"/>
      </w:tblPr>
      <w:tblGrid>
        <w:gridCol w:w="2694"/>
        <w:gridCol w:w="7087"/>
      </w:tblGrid>
      <w:tr w:rsidR="00DB3B51" w:rsidRPr="00042F91" w14:paraId="5488B136" w14:textId="77777777" w:rsidTr="0080436E">
        <w:trPr>
          <w:trHeight w:val="373"/>
        </w:trPr>
        <w:tc>
          <w:tcPr>
            <w:tcW w:w="9781" w:type="dxa"/>
            <w:gridSpan w:val="2"/>
          </w:tcPr>
          <w:p w14:paraId="17773DC0" w14:textId="77777777" w:rsidR="00CD5649" w:rsidRPr="00042F91" w:rsidRDefault="00CD5649" w:rsidP="0080436E">
            <w:pPr>
              <w:jc w:val="center"/>
              <w:rPr>
                <w:rFonts w:eastAsia="Times New Roman" w:hAnsi="Times New Roman" w:cs="Times New Roman"/>
                <w:sz w:val="22"/>
                <w:szCs w:val="22"/>
              </w:rPr>
            </w:pPr>
            <w:r w:rsidRPr="00042F91">
              <w:rPr>
                <w:rFonts w:eastAsia="Times New Roman" w:hAnsi="Times New Roman" w:cs="Times New Roman"/>
                <w:b/>
                <w:bCs/>
                <w:sz w:val="22"/>
                <w:szCs w:val="22"/>
              </w:rPr>
              <w:t>Bendra informacija</w:t>
            </w:r>
          </w:p>
        </w:tc>
      </w:tr>
      <w:tr w:rsidR="00DB3B51" w:rsidRPr="00042F91" w14:paraId="3D025F49" w14:textId="77777777" w:rsidTr="0080436E">
        <w:trPr>
          <w:trHeight w:val="373"/>
        </w:trPr>
        <w:tc>
          <w:tcPr>
            <w:tcW w:w="2694" w:type="dxa"/>
          </w:tcPr>
          <w:p w14:paraId="1B0342E1"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Užsakovas</w:t>
            </w:r>
          </w:p>
        </w:tc>
        <w:tc>
          <w:tcPr>
            <w:tcW w:w="7087" w:type="dxa"/>
          </w:tcPr>
          <w:p w14:paraId="6729788B"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Kauno technologijos universitetas ( toliau – </w:t>
            </w:r>
            <w:r w:rsidRPr="00042F91">
              <w:rPr>
                <w:rFonts w:eastAsia="Times New Roman" w:hAnsi="Times New Roman" w:cs="Times New Roman"/>
                <w:b/>
                <w:bCs/>
                <w:sz w:val="22"/>
                <w:szCs w:val="22"/>
              </w:rPr>
              <w:t>KTU</w:t>
            </w:r>
            <w:r w:rsidRPr="00042F91">
              <w:rPr>
                <w:rFonts w:eastAsia="Times New Roman" w:hAnsi="Times New Roman" w:cs="Times New Roman"/>
                <w:sz w:val="22"/>
                <w:szCs w:val="22"/>
              </w:rPr>
              <w:t xml:space="preserve">). </w:t>
            </w:r>
          </w:p>
        </w:tc>
      </w:tr>
      <w:tr w:rsidR="00DB3B51" w:rsidRPr="00042F91" w14:paraId="19521ECE" w14:textId="77777777" w:rsidTr="0080436E">
        <w:trPr>
          <w:trHeight w:val="356"/>
        </w:trPr>
        <w:tc>
          <w:tcPr>
            <w:tcW w:w="2694" w:type="dxa"/>
          </w:tcPr>
          <w:p w14:paraId="1F0E57D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Objektas</w:t>
            </w:r>
          </w:p>
        </w:tc>
        <w:tc>
          <w:tcPr>
            <w:tcW w:w="7087" w:type="dxa"/>
          </w:tcPr>
          <w:p w14:paraId="044D01FE" w14:textId="6BB77385"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Mokslo paskirties pastatas Studentų g. </w:t>
            </w:r>
            <w:r w:rsidR="00922040" w:rsidRPr="00042F91">
              <w:rPr>
                <w:rFonts w:eastAsia="Times New Roman" w:hAnsi="Times New Roman" w:cs="Times New Roman"/>
                <w:sz w:val="22"/>
                <w:szCs w:val="22"/>
              </w:rPr>
              <w:t>48A</w:t>
            </w:r>
            <w:r w:rsidRPr="00042F91">
              <w:rPr>
                <w:rFonts w:eastAsia="Times New Roman" w:hAnsi="Times New Roman" w:cs="Times New Roman"/>
                <w:sz w:val="22"/>
                <w:szCs w:val="22"/>
              </w:rPr>
              <w:t>, Kauno m. sav.</w:t>
            </w:r>
          </w:p>
        </w:tc>
      </w:tr>
      <w:tr w:rsidR="00DB3B51" w:rsidRPr="00042F91" w14:paraId="26DDBA28" w14:textId="77777777" w:rsidTr="0080436E">
        <w:trPr>
          <w:trHeight w:val="373"/>
        </w:trPr>
        <w:tc>
          <w:tcPr>
            <w:tcW w:w="2694" w:type="dxa"/>
          </w:tcPr>
          <w:p w14:paraId="7E747AC8"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Pastato tipas</w:t>
            </w:r>
          </w:p>
        </w:tc>
        <w:tc>
          <w:tcPr>
            <w:tcW w:w="7087" w:type="dxa"/>
          </w:tcPr>
          <w:p w14:paraId="55974277"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Negyvenamosios paskirties. </w:t>
            </w:r>
          </w:p>
        </w:tc>
      </w:tr>
      <w:tr w:rsidR="00DB3B51" w:rsidRPr="00042F91" w14:paraId="6665072E" w14:textId="77777777" w:rsidTr="0080436E">
        <w:trPr>
          <w:trHeight w:val="373"/>
        </w:trPr>
        <w:tc>
          <w:tcPr>
            <w:tcW w:w="2694" w:type="dxa"/>
          </w:tcPr>
          <w:p w14:paraId="233B4BB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Pastato paskirties grupė</w:t>
            </w:r>
          </w:p>
        </w:tc>
        <w:tc>
          <w:tcPr>
            <w:tcW w:w="7087" w:type="dxa"/>
          </w:tcPr>
          <w:p w14:paraId="34D4E514"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Visuomeninių. </w:t>
            </w:r>
          </w:p>
        </w:tc>
      </w:tr>
      <w:tr w:rsidR="00DB3B51" w:rsidRPr="00042F91" w14:paraId="5DAC4E38" w14:textId="77777777" w:rsidTr="0080436E">
        <w:trPr>
          <w:trHeight w:val="373"/>
        </w:trPr>
        <w:tc>
          <w:tcPr>
            <w:tcW w:w="2694" w:type="dxa"/>
          </w:tcPr>
          <w:p w14:paraId="4CD16486"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Pastato paskirtis </w:t>
            </w:r>
          </w:p>
        </w:tc>
        <w:tc>
          <w:tcPr>
            <w:tcW w:w="7087" w:type="dxa"/>
          </w:tcPr>
          <w:p w14:paraId="180A4957"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Mokslo. </w:t>
            </w:r>
          </w:p>
        </w:tc>
      </w:tr>
      <w:tr w:rsidR="00DB3B51" w:rsidRPr="00042F91" w14:paraId="47C4AEDC" w14:textId="77777777" w:rsidTr="0080436E">
        <w:trPr>
          <w:trHeight w:val="373"/>
        </w:trPr>
        <w:tc>
          <w:tcPr>
            <w:tcW w:w="2694" w:type="dxa"/>
          </w:tcPr>
          <w:p w14:paraId="36419C5A"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Statybos rūšis </w:t>
            </w:r>
          </w:p>
        </w:tc>
        <w:tc>
          <w:tcPr>
            <w:tcW w:w="7087" w:type="dxa"/>
          </w:tcPr>
          <w:p w14:paraId="0E17F2A7" w14:textId="2A324C50"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Rekonstravimas. </w:t>
            </w:r>
          </w:p>
        </w:tc>
      </w:tr>
      <w:tr w:rsidR="00DB3B51" w:rsidRPr="00042F91" w14:paraId="3B612552" w14:textId="77777777" w:rsidTr="0080436E">
        <w:trPr>
          <w:trHeight w:val="378"/>
        </w:trPr>
        <w:tc>
          <w:tcPr>
            <w:tcW w:w="2694" w:type="dxa"/>
          </w:tcPr>
          <w:p w14:paraId="5F74FE9E" w14:textId="77777777" w:rsidR="00CD5649" w:rsidRPr="00042F91" w:rsidRDefault="00CD5649" w:rsidP="0080436E">
            <w:pPr>
              <w:jc w:val="both"/>
              <w:rPr>
                <w:rFonts w:eastAsia="Times New Roman" w:hAnsi="Times New Roman" w:cs="Times New Roman"/>
                <w:b/>
                <w:bCs/>
                <w:sz w:val="22"/>
                <w:szCs w:val="22"/>
              </w:rPr>
            </w:pPr>
            <w:r w:rsidRPr="00042F91">
              <w:rPr>
                <w:rFonts w:eastAsia="Times New Roman" w:hAnsi="Times New Roman" w:cs="Times New Roman"/>
                <w:b/>
                <w:bCs/>
                <w:sz w:val="22"/>
                <w:szCs w:val="22"/>
              </w:rPr>
              <w:t xml:space="preserve">Kategorija </w:t>
            </w:r>
          </w:p>
        </w:tc>
        <w:tc>
          <w:tcPr>
            <w:tcW w:w="7087" w:type="dxa"/>
          </w:tcPr>
          <w:p w14:paraId="2658E54B" w14:textId="77777777" w:rsidR="00CD5649" w:rsidRPr="00042F91" w:rsidRDefault="00CD5649" w:rsidP="0080436E">
            <w:pPr>
              <w:jc w:val="both"/>
              <w:rPr>
                <w:rFonts w:eastAsia="Times New Roman" w:hAnsi="Times New Roman" w:cs="Times New Roman"/>
                <w:sz w:val="22"/>
                <w:szCs w:val="22"/>
              </w:rPr>
            </w:pPr>
            <w:r w:rsidRPr="00042F91">
              <w:rPr>
                <w:rFonts w:eastAsia="Times New Roman" w:hAnsi="Times New Roman" w:cs="Times New Roman"/>
                <w:sz w:val="22"/>
                <w:szCs w:val="22"/>
              </w:rPr>
              <w:t xml:space="preserve">Ypatingasis statinys. </w:t>
            </w:r>
          </w:p>
        </w:tc>
      </w:tr>
    </w:tbl>
    <w:p w14:paraId="18E181AD" w14:textId="77777777" w:rsidR="00CD5649" w:rsidRPr="00042F91" w:rsidRDefault="00CD5649" w:rsidP="00CD5649">
      <w:pPr>
        <w:spacing w:after="0"/>
        <w:jc w:val="both"/>
        <w:rPr>
          <w:rFonts w:ascii="Times New Roman" w:hAnsi="Times New Roman" w:cs="Times New Roman"/>
          <w:sz w:val="22"/>
          <w:szCs w:val="22"/>
        </w:rPr>
      </w:pPr>
    </w:p>
    <w:p w14:paraId="1E3876E2" w14:textId="683F7D64"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Techninę specifikaciją sudaro Specialiųjų sąlygų 2 priedo „Techninė specifikacija“ ir visi jos priedai bei </w:t>
      </w:r>
      <w:r w:rsidRPr="00042F91">
        <w:rPr>
          <w:sz w:val="22"/>
          <w:szCs w:val="22"/>
        </w:rPr>
        <w:t xml:space="preserve"> </w:t>
      </w:r>
      <w:r w:rsidRPr="00042F91">
        <w:rPr>
          <w:rFonts w:ascii="Times New Roman" w:hAnsi="Times New Roman" w:cs="Times New Roman"/>
          <w:sz w:val="22"/>
          <w:szCs w:val="22"/>
        </w:rPr>
        <w:t>perkamų darbų rekonstravimo projektas „</w:t>
      </w:r>
      <w:r w:rsidR="00DB5AD2" w:rsidRPr="00042F91">
        <w:rPr>
          <w:rStyle w:val="cf01"/>
          <w:rFonts w:ascii="Times New Roman" w:hAnsi="Times New Roman" w:cs="Times New Roman"/>
          <w:sz w:val="22"/>
          <w:szCs w:val="22"/>
        </w:rPr>
        <w:t>Mokslo paskirties pastato Kaune, Studentų g. 48A, rekonstravimo projektas</w:t>
      </w:r>
      <w:r w:rsidRPr="00042F91">
        <w:rPr>
          <w:rFonts w:ascii="Times New Roman" w:hAnsi="Times New Roman" w:cs="Times New Roman"/>
          <w:sz w:val="22"/>
          <w:szCs w:val="22"/>
        </w:rPr>
        <w:t xml:space="preserve">“ (toliau – </w:t>
      </w:r>
      <w:r w:rsidRPr="00042F91">
        <w:rPr>
          <w:rFonts w:ascii="Times New Roman" w:hAnsi="Times New Roman" w:cs="Times New Roman"/>
          <w:b/>
          <w:bCs/>
          <w:sz w:val="22"/>
          <w:szCs w:val="22"/>
        </w:rPr>
        <w:t>Techninis projektas</w:t>
      </w:r>
      <w:r w:rsidRPr="00042F91">
        <w:rPr>
          <w:rFonts w:ascii="Times New Roman" w:hAnsi="Times New Roman" w:cs="Times New Roman"/>
          <w:sz w:val="22"/>
          <w:szCs w:val="22"/>
        </w:rPr>
        <w:t xml:space="preserve">). Visos šios techninės specifikacijos dalys turi būti aiškinamos kaip viena visuma, papildančios ir paaiškinančios vieną kitą. </w:t>
      </w:r>
    </w:p>
    <w:p w14:paraId="773575F1"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Darbai privalo būti atliekami vadovaujantis Lietuvos Respublikos (toliau – </w:t>
      </w:r>
      <w:r w:rsidRPr="00042F91">
        <w:rPr>
          <w:rFonts w:ascii="Times New Roman" w:hAnsi="Times New Roman" w:cs="Times New Roman"/>
          <w:b/>
          <w:bCs/>
          <w:sz w:val="22"/>
          <w:szCs w:val="22"/>
        </w:rPr>
        <w:t>LR</w:t>
      </w:r>
      <w:r w:rsidRPr="00042F91">
        <w:rPr>
          <w:rFonts w:ascii="Times New Roman" w:hAnsi="Times New Roman" w:cs="Times New Roman"/>
          <w:sz w:val="22"/>
          <w:szCs w:val="22"/>
        </w:rPr>
        <w:t>) teisės aktais, normatyviniais dokumentais, vadovaudamasis šia Technine specifikacija ir Techniniu projektu.</w:t>
      </w:r>
    </w:p>
    <w:p w14:paraId="58FAA772" w14:textId="0997A56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Vis</w:t>
      </w:r>
      <w:r w:rsidR="000A0745" w:rsidRPr="00042F91">
        <w:rPr>
          <w:rFonts w:ascii="Times New Roman" w:hAnsi="Times New Roman" w:cs="Times New Roman"/>
          <w:sz w:val="22"/>
          <w:szCs w:val="22"/>
        </w:rPr>
        <w:t>uose</w:t>
      </w:r>
      <w:r w:rsidRPr="00042F91">
        <w:rPr>
          <w:rFonts w:ascii="Times New Roman" w:hAnsi="Times New Roman" w:cs="Times New Roman"/>
          <w:sz w:val="22"/>
          <w:szCs w:val="22"/>
        </w:rPr>
        <w:t xml:space="preserve"> pirkimo dokumentuose</w:t>
      </w:r>
      <w:r w:rsidR="004B3EE9" w:rsidRPr="00042F91">
        <w:rPr>
          <w:rFonts w:ascii="Times New Roman" w:hAnsi="Times New Roman" w:cs="Times New Roman"/>
          <w:sz w:val="22"/>
          <w:szCs w:val="22"/>
        </w:rPr>
        <w:t>, įskaitant ir Techninį projektą,</w:t>
      </w:r>
      <w:r w:rsidRPr="00042F91">
        <w:rPr>
          <w:rFonts w:ascii="Times New Roman" w:hAnsi="Times New Roman" w:cs="Times New Roman"/>
          <w:sz w:val="22"/>
          <w:szCs w:val="22"/>
        </w:rPr>
        <w:t xml:space="preserve"> esančios nuorodos į standartą, techninį liudijimą ar bendrąsias technines specifikacijas reiškia, kad Pirkėjas priima ir kitus lygiaverči</w:t>
      </w:r>
      <w:r w:rsidR="000A0745" w:rsidRPr="00042F91">
        <w:rPr>
          <w:rFonts w:ascii="Times New Roman" w:hAnsi="Times New Roman" w:cs="Times New Roman"/>
          <w:sz w:val="22"/>
          <w:szCs w:val="22"/>
        </w:rPr>
        <w:t>us</w:t>
      </w:r>
      <w:r w:rsidRPr="00042F91">
        <w:rPr>
          <w:rFonts w:ascii="Times New Roman" w:hAnsi="Times New Roman" w:cs="Times New Roman"/>
          <w:sz w:val="22"/>
          <w:szCs w:val="22"/>
        </w:rPr>
        <w:t xml:space="preserve"> </w:t>
      </w:r>
      <w:r w:rsidR="000A0745" w:rsidRPr="00042F91">
        <w:rPr>
          <w:rFonts w:ascii="Times New Roman" w:hAnsi="Times New Roman" w:cs="Times New Roman"/>
          <w:sz w:val="22"/>
          <w:szCs w:val="22"/>
        </w:rPr>
        <w:t>dokumentus (</w:t>
      </w:r>
      <w:r w:rsidRPr="00042F91">
        <w:rPr>
          <w:rFonts w:ascii="Times New Roman" w:hAnsi="Times New Roman" w:cs="Times New Roman"/>
          <w:sz w:val="22"/>
          <w:szCs w:val="22"/>
        </w:rPr>
        <w:t>įrodymus</w:t>
      </w:r>
      <w:r w:rsidR="000A0745" w:rsidRPr="00042F91">
        <w:rPr>
          <w:rFonts w:ascii="Times New Roman" w:hAnsi="Times New Roman" w:cs="Times New Roman"/>
          <w:sz w:val="22"/>
          <w:szCs w:val="22"/>
        </w:rPr>
        <w:t>)</w:t>
      </w:r>
      <w:r w:rsidRPr="00042F91">
        <w:rPr>
          <w:rFonts w:ascii="Times New Roman" w:hAnsi="Times New Roman" w:cs="Times New Roman"/>
          <w:sz w:val="22"/>
          <w:szCs w:val="22"/>
        </w:rPr>
        <w:t>. Techniniame projekte: techninė</w:t>
      </w:r>
      <w:r w:rsidR="00391480" w:rsidRPr="00042F91">
        <w:rPr>
          <w:rFonts w:ascii="Times New Roman" w:hAnsi="Times New Roman" w:cs="Times New Roman"/>
          <w:sz w:val="22"/>
          <w:szCs w:val="22"/>
        </w:rPr>
        <w:t>s</w:t>
      </w:r>
      <w:r w:rsidRPr="00042F91">
        <w:rPr>
          <w:rFonts w:ascii="Times New Roman" w:hAnsi="Times New Roman" w:cs="Times New Roman"/>
          <w:sz w:val="22"/>
          <w:szCs w:val="22"/>
        </w:rPr>
        <w:t>e specifikacijo</w:t>
      </w:r>
      <w:r w:rsidR="00391480" w:rsidRPr="00042F91">
        <w:rPr>
          <w:rFonts w:ascii="Times New Roman" w:hAnsi="Times New Roman" w:cs="Times New Roman"/>
          <w:sz w:val="22"/>
          <w:szCs w:val="22"/>
        </w:rPr>
        <w:t>s</w:t>
      </w:r>
      <w:r w:rsidRPr="00042F91">
        <w:rPr>
          <w:rFonts w:ascii="Times New Roman" w:hAnsi="Times New Roman" w:cs="Times New Roman"/>
          <w:sz w:val="22"/>
          <w:szCs w:val="22"/>
        </w:rPr>
        <w:t>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4F7458" w:rsidRPr="00042F91">
        <w:rPr>
          <w:rFonts w:ascii="Times New Roman" w:hAnsi="Times New Roman" w:cs="Times New Roman"/>
          <w:sz w:val="22"/>
          <w:szCs w:val="22"/>
        </w:rPr>
        <w:t>, prekės ženklais, patentais</w:t>
      </w:r>
      <w:r w:rsidR="00E113A0" w:rsidRPr="00042F91">
        <w:rPr>
          <w:rFonts w:ascii="Times New Roman" w:hAnsi="Times New Roman" w:cs="Times New Roman"/>
          <w:sz w:val="22"/>
          <w:szCs w:val="22"/>
        </w:rPr>
        <w:t>, procesais</w:t>
      </w:r>
      <w:r w:rsidR="004F7458" w:rsidRPr="00042F91">
        <w:rPr>
          <w:rFonts w:ascii="Times New Roman" w:hAnsi="Times New Roman" w:cs="Times New Roman"/>
          <w:sz w:val="22"/>
          <w:szCs w:val="22"/>
        </w:rPr>
        <w:t xml:space="preserve"> </w:t>
      </w:r>
      <w:r w:rsidR="00E113A0" w:rsidRPr="00042F91">
        <w:rPr>
          <w:rFonts w:ascii="Times New Roman" w:hAnsi="Times New Roman" w:cs="Times New Roman"/>
          <w:sz w:val="22"/>
          <w:szCs w:val="22"/>
        </w:rPr>
        <w:t>ir t.t</w:t>
      </w:r>
      <w:r w:rsidRPr="00042F91">
        <w:rPr>
          <w:rFonts w:ascii="Times New Roman" w:hAnsi="Times New Roman" w:cs="Times New Roman"/>
          <w:sz w:val="22"/>
          <w:szCs w:val="22"/>
        </w:rPr>
        <w:t>.</w:t>
      </w:r>
      <w:r w:rsidR="00391480" w:rsidRPr="00042F91">
        <w:rPr>
          <w:rFonts w:ascii="Times New Roman" w:hAnsi="Times New Roman" w:cs="Times New Roman"/>
          <w:sz w:val="22"/>
          <w:szCs w:val="22"/>
        </w:rPr>
        <w:t xml:space="preserve"> Jeigu Techniniame projekte yra nurodyta konkreti medžiaga, modelis, </w:t>
      </w:r>
      <w:r w:rsidR="00263943" w:rsidRPr="00042F91">
        <w:rPr>
          <w:rFonts w:ascii="Times New Roman" w:hAnsi="Times New Roman" w:cs="Times New Roman"/>
          <w:sz w:val="22"/>
          <w:szCs w:val="22"/>
        </w:rPr>
        <w:t xml:space="preserve">standartas, </w:t>
      </w:r>
      <w:r w:rsidR="00391480" w:rsidRPr="00042F91">
        <w:rPr>
          <w:rFonts w:ascii="Times New Roman" w:hAnsi="Times New Roman" w:cs="Times New Roman"/>
          <w:sz w:val="22"/>
          <w:szCs w:val="22"/>
        </w:rPr>
        <w:t>vadovauja</w:t>
      </w:r>
      <w:r w:rsidR="00596C4C">
        <w:rPr>
          <w:rFonts w:ascii="Times New Roman" w:hAnsi="Times New Roman" w:cs="Times New Roman"/>
          <w:sz w:val="22"/>
          <w:szCs w:val="22"/>
        </w:rPr>
        <w:t>ma</w:t>
      </w:r>
      <w:r w:rsidR="00391480" w:rsidRPr="00042F91">
        <w:rPr>
          <w:rFonts w:ascii="Times New Roman" w:hAnsi="Times New Roman" w:cs="Times New Roman"/>
          <w:sz w:val="22"/>
          <w:szCs w:val="22"/>
        </w:rPr>
        <w:t xml:space="preserve">si </w:t>
      </w:r>
      <w:r w:rsidR="00CB352F" w:rsidRPr="00042F91">
        <w:rPr>
          <w:rFonts w:ascii="Times New Roman" w:hAnsi="Times New Roman" w:cs="Times New Roman"/>
          <w:sz w:val="22"/>
          <w:szCs w:val="22"/>
        </w:rPr>
        <w:t>šia Technine specifikacija, kas reiškia, kad teikėjai visais atvejais gali siūlyti ir lygiave</w:t>
      </w:r>
      <w:r w:rsidR="00CD60DF" w:rsidRPr="00042F91">
        <w:rPr>
          <w:rFonts w:ascii="Times New Roman" w:hAnsi="Times New Roman" w:cs="Times New Roman"/>
          <w:sz w:val="22"/>
          <w:szCs w:val="22"/>
        </w:rPr>
        <w:t>rtes medžiagas, modelius, standartus</w:t>
      </w:r>
      <w:r w:rsidR="00596C4C">
        <w:rPr>
          <w:rFonts w:ascii="Times New Roman" w:hAnsi="Times New Roman" w:cs="Times New Roman"/>
          <w:sz w:val="22"/>
          <w:szCs w:val="22"/>
        </w:rPr>
        <w:t>, prekės ženklus</w:t>
      </w:r>
      <w:r w:rsidR="00651CBA">
        <w:rPr>
          <w:rFonts w:ascii="Times New Roman" w:hAnsi="Times New Roman" w:cs="Times New Roman"/>
          <w:sz w:val="22"/>
          <w:szCs w:val="22"/>
        </w:rPr>
        <w:t>, patentus ir t.t</w:t>
      </w:r>
      <w:r w:rsidR="00CD60DF" w:rsidRPr="00042F91">
        <w:rPr>
          <w:rFonts w:ascii="Times New Roman" w:hAnsi="Times New Roman" w:cs="Times New Roman"/>
          <w:sz w:val="22"/>
          <w:szCs w:val="22"/>
        </w:rPr>
        <w:t xml:space="preserve">. </w:t>
      </w:r>
    </w:p>
    <w:p w14:paraId="22F694DC" w14:textId="4AAE205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metu Rangovo naudojamų medžiagų, gaminių ir įrengimų techninės charakteristikos turi atitikti </w:t>
      </w:r>
      <w:r w:rsidR="007D47D3" w:rsidRPr="00042F91">
        <w:rPr>
          <w:rFonts w:ascii="Times New Roman" w:hAnsi="Times New Roman" w:cs="Times New Roman"/>
          <w:sz w:val="22"/>
          <w:szCs w:val="22"/>
        </w:rPr>
        <w:t>visos proj</w:t>
      </w:r>
      <w:r w:rsidR="006D74F1" w:rsidRPr="00042F91">
        <w:rPr>
          <w:rFonts w:ascii="Times New Roman" w:hAnsi="Times New Roman" w:cs="Times New Roman"/>
          <w:sz w:val="22"/>
          <w:szCs w:val="22"/>
        </w:rPr>
        <w:t>e</w:t>
      </w:r>
      <w:r w:rsidR="007D47D3" w:rsidRPr="00042F91">
        <w:rPr>
          <w:rFonts w:ascii="Times New Roman" w:hAnsi="Times New Roman" w:cs="Times New Roman"/>
          <w:sz w:val="22"/>
          <w:szCs w:val="22"/>
        </w:rPr>
        <w:t xml:space="preserve">ktinės dokumentacijos, </w:t>
      </w:r>
      <w:r w:rsidR="006D74F1" w:rsidRPr="00042F91">
        <w:rPr>
          <w:rFonts w:ascii="Times New Roman" w:hAnsi="Times New Roman" w:cs="Times New Roman"/>
          <w:sz w:val="22"/>
          <w:szCs w:val="22"/>
        </w:rPr>
        <w:t>įskaitant ir ši</w:t>
      </w:r>
      <w:r w:rsidR="001A0586" w:rsidRPr="00042F91">
        <w:rPr>
          <w:rFonts w:ascii="Times New Roman" w:hAnsi="Times New Roman" w:cs="Times New Roman"/>
          <w:sz w:val="22"/>
          <w:szCs w:val="22"/>
        </w:rPr>
        <w:t>os</w:t>
      </w:r>
      <w:r w:rsidR="006D74F1" w:rsidRPr="00042F91">
        <w:rPr>
          <w:rFonts w:ascii="Times New Roman" w:hAnsi="Times New Roman" w:cs="Times New Roman"/>
          <w:sz w:val="22"/>
          <w:szCs w:val="22"/>
        </w:rPr>
        <w:t xml:space="preserve"> T</w:t>
      </w:r>
      <w:r w:rsidRPr="00042F91">
        <w:rPr>
          <w:rFonts w:ascii="Times New Roman" w:hAnsi="Times New Roman" w:cs="Times New Roman"/>
          <w:sz w:val="22"/>
          <w:szCs w:val="22"/>
        </w:rPr>
        <w:t>echnin</w:t>
      </w:r>
      <w:r w:rsidR="001A0586" w:rsidRPr="00042F91">
        <w:rPr>
          <w:rFonts w:ascii="Times New Roman" w:hAnsi="Times New Roman" w:cs="Times New Roman"/>
          <w:sz w:val="22"/>
          <w:szCs w:val="22"/>
        </w:rPr>
        <w:t>ės</w:t>
      </w:r>
      <w:r w:rsidRPr="00042F91">
        <w:rPr>
          <w:rFonts w:ascii="Times New Roman" w:hAnsi="Times New Roman" w:cs="Times New Roman"/>
          <w:sz w:val="22"/>
          <w:szCs w:val="22"/>
        </w:rPr>
        <w:t xml:space="preserve"> specifikacij</w:t>
      </w:r>
      <w:r w:rsidR="001A0586" w:rsidRPr="00042F91">
        <w:rPr>
          <w:rFonts w:ascii="Times New Roman" w:hAnsi="Times New Roman" w:cs="Times New Roman"/>
          <w:sz w:val="22"/>
          <w:szCs w:val="22"/>
        </w:rPr>
        <w:t>os, ir Techniniame projekte esančių specifikacijų</w:t>
      </w:r>
      <w:r w:rsidR="006D74F1" w:rsidRPr="00042F91">
        <w:rPr>
          <w:rFonts w:ascii="Times New Roman" w:hAnsi="Times New Roman" w:cs="Times New Roman"/>
          <w:sz w:val="22"/>
          <w:szCs w:val="22"/>
        </w:rPr>
        <w:t>,</w:t>
      </w:r>
      <w:r w:rsidRPr="00042F91">
        <w:rPr>
          <w:rFonts w:ascii="Times New Roman" w:hAnsi="Times New Roman" w:cs="Times New Roman"/>
          <w:sz w:val="22"/>
          <w:szCs w:val="22"/>
        </w:rPr>
        <w:t xml:space="preserve"> reikalavimus. Visos apdailos medžiagos ir spalvos turi būti iš anksto suderintos su projekto vykdymo priežiūrą atliekančiu asmeniu.</w:t>
      </w:r>
    </w:p>
    <w:p w14:paraId="68B98A98" w14:textId="3660A7F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Sutarties kaina pateikiama pagal </w:t>
      </w:r>
      <w:r w:rsidR="00C93462" w:rsidRPr="00042F91">
        <w:rPr>
          <w:rFonts w:ascii="Times New Roman" w:hAnsi="Times New Roman" w:cs="Times New Roman"/>
          <w:sz w:val="22"/>
          <w:szCs w:val="22"/>
        </w:rPr>
        <w:t>parengtą pasiūlymo formą (</w:t>
      </w:r>
      <w:r w:rsidR="00C93462" w:rsidRPr="00042F91">
        <w:rPr>
          <w:rFonts w:ascii="Times New Roman" w:hAnsi="Times New Roman" w:cs="Times New Roman"/>
          <w:i/>
          <w:iCs/>
          <w:sz w:val="22"/>
          <w:szCs w:val="22"/>
        </w:rPr>
        <w:t>Pirkimo dokumentų 6 priedas</w:t>
      </w:r>
      <w:r w:rsidR="00C93462" w:rsidRPr="00042F91">
        <w:rPr>
          <w:rFonts w:ascii="Times New Roman" w:hAnsi="Times New Roman" w:cs="Times New Roman"/>
          <w:sz w:val="22"/>
          <w:szCs w:val="22"/>
        </w:rPr>
        <w:t xml:space="preserve">) ir </w:t>
      </w:r>
      <w:r w:rsidRPr="00042F91">
        <w:rPr>
          <w:rFonts w:ascii="Times New Roman" w:hAnsi="Times New Roman" w:cs="Times New Roman"/>
          <w:sz w:val="22"/>
          <w:szCs w:val="22"/>
        </w:rPr>
        <w:t>užpildytą Įkainotų veiklų sąrašą</w:t>
      </w:r>
      <w:r w:rsidR="00C93462" w:rsidRPr="00042F91">
        <w:rPr>
          <w:rFonts w:ascii="Times New Roman" w:hAnsi="Times New Roman" w:cs="Times New Roman"/>
          <w:sz w:val="22"/>
          <w:szCs w:val="22"/>
        </w:rPr>
        <w:t xml:space="preserve"> (</w:t>
      </w:r>
      <w:r w:rsidR="00C93462" w:rsidRPr="00042F91">
        <w:rPr>
          <w:rFonts w:ascii="Times New Roman" w:hAnsi="Times New Roman" w:cs="Times New Roman"/>
          <w:i/>
          <w:iCs/>
          <w:sz w:val="22"/>
          <w:szCs w:val="22"/>
        </w:rPr>
        <w:t xml:space="preserve">Pirkimo dokumentų </w:t>
      </w:r>
      <w:r w:rsidR="007B20E5" w:rsidRPr="00042F91">
        <w:rPr>
          <w:rFonts w:ascii="Times New Roman" w:hAnsi="Times New Roman" w:cs="Times New Roman"/>
          <w:i/>
          <w:iCs/>
          <w:sz w:val="22"/>
          <w:szCs w:val="22"/>
        </w:rPr>
        <w:t>7 priedas</w:t>
      </w:r>
      <w:r w:rsidR="007B20E5" w:rsidRPr="00042F91">
        <w:rPr>
          <w:rFonts w:ascii="Times New Roman" w:hAnsi="Times New Roman" w:cs="Times New Roman"/>
          <w:sz w:val="22"/>
          <w:szCs w:val="22"/>
        </w:rPr>
        <w:t>)</w:t>
      </w:r>
      <w:r w:rsidRPr="00042F91">
        <w:rPr>
          <w:rFonts w:ascii="Times New Roman" w:hAnsi="Times New Roman" w:cs="Times New Roman"/>
          <w:sz w:val="22"/>
          <w:szCs w:val="22"/>
        </w:rPr>
        <w:t xml:space="preserve">. </w:t>
      </w:r>
    </w:p>
    <w:p w14:paraId="3106DEC8" w14:textId="77777777" w:rsidR="00CD5649" w:rsidRPr="00042F91" w:rsidRDefault="00CD5649" w:rsidP="00CD5649">
      <w:pPr>
        <w:spacing w:after="0"/>
        <w:ind w:firstLine="652"/>
        <w:jc w:val="both"/>
        <w:rPr>
          <w:rFonts w:ascii="Times New Roman" w:hAnsi="Times New Roman" w:cs="Times New Roman"/>
          <w:sz w:val="22"/>
          <w:szCs w:val="22"/>
        </w:rPr>
      </w:pPr>
    </w:p>
    <w:p w14:paraId="6F9D7845"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Rangovo dokumentai: </w:t>
      </w:r>
    </w:p>
    <w:p w14:paraId="071BD233" w14:textId="1E3D5399"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Rangovas sutarties vykdymo metu parengia darbo projektą. Darbo projekto dalys turi atitikti Techninio projekto dalis. Darbo projektas privalo atitikti Techninio projekto sprendinius ir technines specifikacijas. Darbo projekto sprendiniuose ir statybos darbuose turi būti taikomi pažangūs, energiją taupantys konstrukciniai ir inžineriniai sprendimai. Darbo projekto parengimo terminas įeina į bendrą darbų atlikimo terminą. </w:t>
      </w:r>
    </w:p>
    <w:p w14:paraId="430E7AE7" w14:textId="3905235E" w:rsidR="00B00804" w:rsidRPr="00042F91" w:rsidRDefault="00242923" w:rsidP="005A2E05">
      <w:pPr>
        <w:tabs>
          <w:tab w:val="center" w:pos="4153"/>
          <w:tab w:val="right" w:pos="8306"/>
        </w:tabs>
        <w:ind w:firstLine="567"/>
        <w:jc w:val="both"/>
        <w:rPr>
          <w:rFonts w:ascii="Times New Roman" w:hAnsi="Times New Roman" w:cs="Times New Roman"/>
          <w:sz w:val="22"/>
          <w:szCs w:val="22"/>
        </w:rPr>
      </w:pPr>
      <w:r w:rsidRPr="00042F91">
        <w:rPr>
          <w:rFonts w:ascii="Times New Roman" w:hAnsi="Times New Roman" w:cs="Times New Roman"/>
          <w:sz w:val="22"/>
          <w:szCs w:val="22"/>
        </w:rPr>
        <w:lastRenderedPageBreak/>
        <w:t xml:space="preserve">Vadovaujantis </w:t>
      </w:r>
      <w:r w:rsidR="00E213F4" w:rsidRPr="00042F91">
        <w:rPr>
          <w:rFonts w:ascii="Times New Roman" w:hAnsi="Times New Roman" w:cs="Times New Roman"/>
          <w:sz w:val="22"/>
          <w:szCs w:val="22"/>
        </w:rPr>
        <w:t xml:space="preserve">Lietuvos Respublikos Vyriausybės </w:t>
      </w:r>
      <w:r w:rsidR="006E6E45" w:rsidRPr="00042F91">
        <w:rPr>
          <w:rFonts w:ascii="Times New Roman" w:hAnsi="Times New Roman" w:cs="Times New Roman"/>
          <w:sz w:val="22"/>
          <w:szCs w:val="22"/>
        </w:rPr>
        <w:t>2021 m. gruodžio 8 d. nutarimo Nr. 1061 „</w:t>
      </w:r>
      <w:r w:rsidR="00B00804" w:rsidRPr="00042F91">
        <w:rPr>
          <w:rFonts w:ascii="Times New Roman" w:hAnsi="Times New Roman" w:cs="Times New Roman"/>
          <w:sz w:val="22"/>
          <w:szCs w:val="22"/>
        </w:rPr>
        <w:t>Dėl statinio informacinio modeliavimo metodų taikymo atvejų nustatymo</w:t>
      </w:r>
      <w:r w:rsidR="006E6E45" w:rsidRPr="00042F91">
        <w:rPr>
          <w:rFonts w:ascii="Times New Roman" w:hAnsi="Times New Roman" w:cs="Times New Roman"/>
          <w:sz w:val="22"/>
          <w:szCs w:val="22"/>
        </w:rPr>
        <w:t xml:space="preserve">“ (aktuali redakcija nuo 2024-11-01) </w:t>
      </w:r>
      <w:r w:rsidR="005A2E05" w:rsidRPr="00042F91">
        <w:rPr>
          <w:rFonts w:ascii="Times New Roman" w:hAnsi="Times New Roman" w:cs="Times New Roman"/>
          <w:sz w:val="22"/>
          <w:szCs w:val="22"/>
        </w:rPr>
        <w:t>4.3</w:t>
      </w:r>
      <w:r w:rsidR="009B1F7A" w:rsidRPr="00042F91">
        <w:rPr>
          <w:rFonts w:ascii="Times New Roman" w:hAnsi="Times New Roman" w:cs="Times New Roman"/>
          <w:sz w:val="22"/>
          <w:szCs w:val="22"/>
        </w:rPr>
        <w:t> </w:t>
      </w:r>
      <w:r w:rsidR="005A2E05" w:rsidRPr="00042F91">
        <w:rPr>
          <w:rFonts w:ascii="Times New Roman" w:hAnsi="Times New Roman" w:cs="Times New Roman"/>
          <w:sz w:val="22"/>
          <w:szCs w:val="22"/>
        </w:rPr>
        <w:t xml:space="preserve">punktu, kriterijai dėl statinio informacinio modeliavimo metodų taikymo (BIM) nėra taikomi, kadangi </w:t>
      </w:r>
      <w:r w:rsidR="008351D8" w:rsidRPr="00042F91">
        <w:rPr>
          <w:rFonts w:ascii="Times New Roman" w:hAnsi="Times New Roman" w:cs="Times New Roman"/>
          <w:sz w:val="22"/>
          <w:szCs w:val="22"/>
        </w:rPr>
        <w:t>perkami statybos darbai, k</w:t>
      </w:r>
      <w:r w:rsidR="009B1F7A" w:rsidRPr="00042F91">
        <w:rPr>
          <w:rFonts w:ascii="Times New Roman" w:hAnsi="Times New Roman" w:cs="Times New Roman"/>
          <w:sz w:val="22"/>
          <w:szCs w:val="22"/>
        </w:rPr>
        <w:t>uomet</w:t>
      </w:r>
      <w:r w:rsidR="008351D8" w:rsidRPr="00042F91">
        <w:rPr>
          <w:rFonts w:ascii="Times New Roman" w:hAnsi="Times New Roman" w:cs="Times New Roman"/>
          <w:sz w:val="22"/>
          <w:szCs w:val="22"/>
        </w:rPr>
        <w:t xml:space="preserve"> statinio projektas </w:t>
      </w:r>
      <w:r w:rsidR="009B1F7A" w:rsidRPr="00042F91">
        <w:rPr>
          <w:rFonts w:ascii="Times New Roman" w:hAnsi="Times New Roman" w:cs="Times New Roman"/>
          <w:sz w:val="22"/>
          <w:szCs w:val="22"/>
        </w:rPr>
        <w:t>buvo pa</w:t>
      </w:r>
      <w:r w:rsidR="008351D8" w:rsidRPr="00042F91">
        <w:rPr>
          <w:rFonts w:ascii="Times New Roman" w:hAnsi="Times New Roman" w:cs="Times New Roman"/>
          <w:sz w:val="22"/>
          <w:szCs w:val="22"/>
        </w:rPr>
        <w:t>rengtas netaikant statinio informacinio modeliavimo metodų</w:t>
      </w:r>
      <w:r w:rsidR="009B1F7A" w:rsidRPr="00042F91">
        <w:rPr>
          <w:rFonts w:ascii="Times New Roman" w:hAnsi="Times New Roman" w:cs="Times New Roman"/>
          <w:sz w:val="22"/>
          <w:szCs w:val="22"/>
        </w:rPr>
        <w:t>.</w:t>
      </w:r>
    </w:p>
    <w:p w14:paraId="515BADFE" w14:textId="545052BE"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parengia ir perduoda Užsakovui</w:t>
      </w:r>
      <w:r w:rsidR="00B256D2" w:rsidRPr="00042F91">
        <w:rPr>
          <w:rFonts w:ascii="Times New Roman" w:hAnsi="Times New Roman" w:cs="Times New Roman"/>
          <w:sz w:val="22"/>
          <w:szCs w:val="22"/>
        </w:rPr>
        <w:t xml:space="preserve"> įrangos ir įrenginių</w:t>
      </w:r>
      <w:r w:rsidRPr="00042F91">
        <w:rPr>
          <w:rFonts w:ascii="Times New Roman" w:hAnsi="Times New Roman" w:cs="Times New Roman"/>
          <w:sz w:val="22"/>
          <w:szCs w:val="22"/>
        </w:rPr>
        <w:t xml:space="preserve"> naudojimo instrukcijas lietuvių kalba arba su vertimu į lietuvių kalbą.</w:t>
      </w:r>
    </w:p>
    <w:p w14:paraId="452EBD58" w14:textId="4979E9C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privalo instruktuoti</w:t>
      </w:r>
      <w:r w:rsidR="00542AA2" w:rsidRPr="00042F91">
        <w:rPr>
          <w:rFonts w:ascii="Times New Roman" w:hAnsi="Times New Roman" w:cs="Times New Roman"/>
          <w:sz w:val="22"/>
          <w:szCs w:val="22"/>
        </w:rPr>
        <w:t>, t. y. supažin</w:t>
      </w:r>
      <w:r w:rsidR="00B330D7" w:rsidRPr="00042F91">
        <w:rPr>
          <w:rFonts w:ascii="Times New Roman" w:hAnsi="Times New Roman" w:cs="Times New Roman"/>
          <w:sz w:val="22"/>
          <w:szCs w:val="22"/>
        </w:rPr>
        <w:t>din</w:t>
      </w:r>
      <w:r w:rsidR="00542AA2" w:rsidRPr="00042F91">
        <w:rPr>
          <w:rFonts w:ascii="Times New Roman" w:hAnsi="Times New Roman" w:cs="Times New Roman"/>
          <w:sz w:val="22"/>
          <w:szCs w:val="22"/>
        </w:rPr>
        <w:t xml:space="preserve">ti </w:t>
      </w:r>
      <w:r w:rsidRPr="00042F91">
        <w:rPr>
          <w:rFonts w:ascii="Times New Roman" w:hAnsi="Times New Roman" w:cs="Times New Roman"/>
          <w:sz w:val="22"/>
          <w:szCs w:val="22"/>
        </w:rPr>
        <w:t xml:space="preserve">Užsakovo </w:t>
      </w:r>
      <w:r w:rsidR="00542AA2" w:rsidRPr="00042F91">
        <w:rPr>
          <w:rFonts w:ascii="Times New Roman" w:hAnsi="Times New Roman" w:cs="Times New Roman"/>
          <w:sz w:val="22"/>
          <w:szCs w:val="22"/>
        </w:rPr>
        <w:t xml:space="preserve">atsakingą </w:t>
      </w:r>
      <w:r w:rsidRPr="00042F91">
        <w:rPr>
          <w:rFonts w:ascii="Times New Roman" w:hAnsi="Times New Roman" w:cs="Times New Roman"/>
          <w:sz w:val="22"/>
          <w:szCs w:val="22"/>
        </w:rPr>
        <w:t>personalą, kaip naudoti ir prižiūrėti Rangovo įrengtas inžinerines sistemas, įrangą, prietaisus, įtaisus, kitus panašius dalykus bei Įrenginius.</w:t>
      </w:r>
    </w:p>
    <w:p w14:paraId="2D22AB2B" w14:textId="77777777" w:rsidR="00CD5649" w:rsidRPr="00042F91" w:rsidRDefault="00CD5649" w:rsidP="00CD5649">
      <w:pPr>
        <w:spacing w:after="0"/>
        <w:ind w:firstLine="652"/>
        <w:jc w:val="both"/>
        <w:rPr>
          <w:rFonts w:ascii="Times New Roman" w:hAnsi="Times New Roman" w:cs="Times New Roman"/>
          <w:b/>
          <w:bCs/>
          <w:sz w:val="22"/>
          <w:szCs w:val="22"/>
        </w:rPr>
      </w:pPr>
    </w:p>
    <w:p w14:paraId="260D4E10"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Rangos sutarties įgyvendinimas: </w:t>
      </w:r>
    </w:p>
    <w:p w14:paraId="6778938D"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turės:</w:t>
      </w:r>
    </w:p>
    <w:p w14:paraId="17C17CF7"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parengti statybos darbo projektą;</w:t>
      </w:r>
    </w:p>
    <w:p w14:paraId="60BEDA2F" w14:textId="25F22F4D"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w:t>
      </w:r>
      <w:r w:rsidR="00B35A71" w:rsidRPr="00042F91">
        <w:rPr>
          <w:rFonts w:ascii="Times New Roman" w:hAnsi="Times New Roman" w:cs="Times New Roman"/>
          <w:sz w:val="22"/>
          <w:szCs w:val="22"/>
        </w:rPr>
        <w:t xml:space="preserve"> </w:t>
      </w:r>
      <w:r w:rsidRPr="00042F91">
        <w:rPr>
          <w:rFonts w:ascii="Times New Roman" w:hAnsi="Times New Roman" w:cs="Times New Roman"/>
          <w:sz w:val="22"/>
          <w:szCs w:val="22"/>
        </w:rPr>
        <w:t>atlikti pastato ir statinių kadastrinius matavimus, paruošiant nekilnojamųjų turto kadastro objektų bylas ir kitus būtinus tyrimus;</w:t>
      </w:r>
    </w:p>
    <w:p w14:paraId="14C51EB5" w14:textId="77777777" w:rsidR="00CD5649"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pagal įgaliojimą įsigyti, užvesti, administruoti, pildyti elektroninį statybos darbų žurnalą (pagal LR aplinkos ministerijos oficialiai pripažįstamą elektroninę statybos darbų žurnalo formą); baigus statybą ir gavus statybos užbaigimo aktą, elektronine rinkmena perduoti statybos darbų žurnalą statytojui;</w:t>
      </w:r>
    </w:p>
    <w:p w14:paraId="6937D33A"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rangos darbus;</w:t>
      </w:r>
    </w:p>
    <w:p w14:paraId="1DAF513B"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statybos užbaigimo procedūras;</w:t>
      </w:r>
    </w:p>
    <w:p w14:paraId="69CC1342" w14:textId="00F187F5"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atlikti kitus darbus, numatytus Sutarties projekte</w:t>
      </w:r>
      <w:r w:rsidR="00941E35" w:rsidRPr="00042F91">
        <w:rPr>
          <w:rFonts w:ascii="Times New Roman" w:hAnsi="Times New Roman" w:cs="Times New Roman"/>
          <w:sz w:val="22"/>
          <w:szCs w:val="22"/>
        </w:rPr>
        <w:t xml:space="preserve"> (toliau – </w:t>
      </w:r>
      <w:r w:rsidR="00941E35" w:rsidRPr="00042F91">
        <w:rPr>
          <w:rFonts w:ascii="Times New Roman" w:hAnsi="Times New Roman" w:cs="Times New Roman"/>
          <w:b/>
          <w:bCs/>
          <w:sz w:val="22"/>
          <w:szCs w:val="22"/>
        </w:rPr>
        <w:t>Darbai</w:t>
      </w:r>
      <w:r w:rsidR="00941E35" w:rsidRPr="00042F91">
        <w:rPr>
          <w:rFonts w:ascii="Times New Roman" w:hAnsi="Times New Roman" w:cs="Times New Roman"/>
          <w:sz w:val="22"/>
          <w:szCs w:val="22"/>
        </w:rPr>
        <w:t>)</w:t>
      </w:r>
      <w:r w:rsidRPr="00042F91">
        <w:rPr>
          <w:rFonts w:ascii="Times New Roman" w:hAnsi="Times New Roman" w:cs="Times New Roman"/>
          <w:sz w:val="22"/>
          <w:szCs w:val="22"/>
        </w:rPr>
        <w:t>.</w:t>
      </w:r>
    </w:p>
    <w:p w14:paraId="2D996DF2" w14:textId="77777777" w:rsidR="00FC37ED" w:rsidRDefault="00FC37ED" w:rsidP="00FC37ED">
      <w:pPr>
        <w:spacing w:after="0"/>
        <w:ind w:firstLine="652"/>
        <w:jc w:val="both"/>
        <w:rPr>
          <w:rFonts w:ascii="Times New Roman" w:hAnsi="Times New Roman" w:cs="Times New Roman"/>
          <w:i/>
          <w:iCs/>
          <w:sz w:val="22"/>
          <w:szCs w:val="22"/>
        </w:rPr>
      </w:pPr>
    </w:p>
    <w:p w14:paraId="054049BA" w14:textId="7838942D" w:rsidR="00FC37ED" w:rsidRDefault="00FC37ED" w:rsidP="00FC37ED">
      <w:pPr>
        <w:spacing w:after="0"/>
        <w:ind w:firstLine="652"/>
        <w:jc w:val="both"/>
        <w:rPr>
          <w:rFonts w:ascii="Times New Roman" w:hAnsi="Times New Roman" w:cs="Times New Roman"/>
          <w:i/>
          <w:iCs/>
          <w:sz w:val="22"/>
          <w:szCs w:val="22"/>
        </w:rPr>
      </w:pPr>
      <w:r w:rsidRPr="00563133">
        <w:rPr>
          <w:rFonts w:ascii="Times New Roman" w:hAnsi="Times New Roman" w:cs="Times New Roman"/>
          <w:i/>
          <w:iCs/>
          <w:sz w:val="22"/>
          <w:szCs w:val="22"/>
        </w:rPr>
        <w:t>Baldai, išskyrus antresolę ir švarių patalpų kapsulę, WC aksesuarai, WC kabliukai, vėliavų laikikliai, patalpų durų, aukštų ir kiti grafiniai žymėjimai, išskyrus KTU logotipą ant fasado, vidaus ir lauko šiukšliadėžės, dviračių stovai, guminiai ratų atmušėjai  nėra šio pirkimo apimtyje.</w:t>
      </w:r>
      <w:r>
        <w:rPr>
          <w:rFonts w:ascii="Times New Roman" w:hAnsi="Times New Roman" w:cs="Times New Roman"/>
          <w:i/>
          <w:iCs/>
          <w:sz w:val="22"/>
          <w:szCs w:val="22"/>
        </w:rPr>
        <w:t xml:space="preserve"> </w:t>
      </w:r>
    </w:p>
    <w:p w14:paraId="550BA81D" w14:textId="0E591940" w:rsidR="00CD5649" w:rsidRPr="00042F91" w:rsidRDefault="00FC37ED" w:rsidP="00FC37ED">
      <w:pPr>
        <w:spacing w:after="0"/>
        <w:ind w:firstLine="652"/>
        <w:jc w:val="both"/>
        <w:rPr>
          <w:rFonts w:ascii="Times New Roman" w:hAnsi="Times New Roman" w:cs="Times New Roman"/>
          <w:i/>
          <w:iCs/>
          <w:sz w:val="22"/>
          <w:szCs w:val="22"/>
        </w:rPr>
      </w:pPr>
      <w:r>
        <w:rPr>
          <w:rFonts w:ascii="Times New Roman" w:hAnsi="Times New Roman" w:cs="Times New Roman"/>
          <w:i/>
          <w:iCs/>
          <w:sz w:val="22"/>
          <w:szCs w:val="22"/>
        </w:rPr>
        <w:t xml:space="preserve">Užsakovas taip pat atkreipia dėmesį, kad </w:t>
      </w:r>
      <w:r w:rsidRPr="00B5129C">
        <w:rPr>
          <w:rFonts w:ascii="Times New Roman" w:hAnsi="Times New Roman" w:cs="Times New Roman"/>
          <w:i/>
          <w:iCs/>
          <w:sz w:val="22"/>
          <w:szCs w:val="22"/>
        </w:rPr>
        <w:t>prekės, kurios T</w:t>
      </w:r>
      <w:r>
        <w:rPr>
          <w:rFonts w:ascii="Times New Roman" w:hAnsi="Times New Roman" w:cs="Times New Roman"/>
          <w:i/>
          <w:iCs/>
          <w:sz w:val="22"/>
          <w:szCs w:val="22"/>
        </w:rPr>
        <w:t>echniniame projekte</w:t>
      </w:r>
      <w:r w:rsidRPr="00B5129C">
        <w:rPr>
          <w:rFonts w:ascii="Times New Roman" w:hAnsi="Times New Roman" w:cs="Times New Roman"/>
          <w:i/>
          <w:iCs/>
          <w:sz w:val="22"/>
          <w:szCs w:val="22"/>
        </w:rPr>
        <w:t xml:space="preserve"> nurodytos kaip montuojamos statybos darbų metu, turi būti įtraukiamos į pasiūlymo kainą, o tos, kurių montavimo būdas nereikalauja statybos darbų, bus įsigyjamos atskirai ir nėra šio </w:t>
      </w:r>
      <w:r>
        <w:rPr>
          <w:rFonts w:ascii="Times New Roman" w:hAnsi="Times New Roman" w:cs="Times New Roman"/>
          <w:i/>
          <w:iCs/>
          <w:sz w:val="22"/>
          <w:szCs w:val="22"/>
        </w:rPr>
        <w:t>P</w:t>
      </w:r>
      <w:r w:rsidRPr="00B5129C">
        <w:rPr>
          <w:rFonts w:ascii="Times New Roman" w:hAnsi="Times New Roman" w:cs="Times New Roman"/>
          <w:i/>
          <w:iCs/>
          <w:sz w:val="22"/>
          <w:szCs w:val="22"/>
        </w:rPr>
        <w:t>irkimo objektas</w:t>
      </w:r>
      <w:r w:rsidR="00CD5649" w:rsidRPr="00042F91">
        <w:rPr>
          <w:rFonts w:ascii="Times New Roman" w:hAnsi="Times New Roman" w:cs="Times New Roman"/>
          <w:i/>
          <w:iCs/>
          <w:sz w:val="22"/>
          <w:szCs w:val="22"/>
        </w:rPr>
        <w:t>.</w:t>
      </w:r>
    </w:p>
    <w:p w14:paraId="3B3D31E8" w14:textId="77777777" w:rsidR="00CD5649" w:rsidRPr="00042F91" w:rsidRDefault="00CD5649" w:rsidP="00CD5649">
      <w:pPr>
        <w:spacing w:after="0"/>
        <w:ind w:firstLine="652"/>
        <w:jc w:val="both"/>
        <w:rPr>
          <w:rFonts w:ascii="Times New Roman" w:hAnsi="Times New Roman" w:cs="Times New Roman"/>
          <w:i/>
          <w:iCs/>
          <w:sz w:val="22"/>
          <w:szCs w:val="22"/>
        </w:rPr>
      </w:pPr>
    </w:p>
    <w:p w14:paraId="35B07529"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Rangos darbai bus finansuojami iš trijų šaltinių. Priklausomai nuo jų, skiriasi Darbų pabaigos terminai:</w:t>
      </w:r>
    </w:p>
    <w:p w14:paraId="2E46E74E" w14:textId="7B53BADC" w:rsidR="004739AB" w:rsidRPr="00882143" w:rsidRDefault="004739AB" w:rsidP="004739AB">
      <w:pPr>
        <w:numPr>
          <w:ilvl w:val="0"/>
          <w:numId w:val="2"/>
        </w:numPr>
        <w:spacing w:after="0" w:line="240" w:lineRule="auto"/>
        <w:jc w:val="both"/>
        <w:rPr>
          <w:rFonts w:ascii="Times New Roman" w:eastAsia="Times New Roman" w:hAnsi="Times New Roman" w:cs="Times New Roman"/>
          <w:i/>
          <w:iCs/>
          <w:sz w:val="22"/>
          <w:szCs w:val="22"/>
          <w:lang w:eastAsia="en-US"/>
        </w:rPr>
      </w:pPr>
      <w:r w:rsidRPr="00882143">
        <w:rPr>
          <w:rFonts w:ascii="Times New Roman" w:eastAsia="Times New Roman" w:hAnsi="Times New Roman" w:cs="Times New Roman"/>
          <w:i/>
          <w:iCs/>
          <w:sz w:val="22"/>
          <w:szCs w:val="22"/>
          <w:lang w:eastAsia="en-US"/>
        </w:rPr>
        <w:t xml:space="preserve">Remontuojamos pastato dalies Darbai turi būti baigti </w:t>
      </w:r>
      <w:r w:rsidRPr="00882143">
        <w:rPr>
          <w:rFonts w:ascii="Times New Roman" w:eastAsia="Times New Roman" w:hAnsi="Times New Roman" w:cs="Times New Roman"/>
          <w:b/>
          <w:bCs/>
          <w:i/>
          <w:iCs/>
          <w:sz w:val="22"/>
          <w:szCs w:val="22"/>
          <w:lang w:eastAsia="en-US"/>
        </w:rPr>
        <w:t>per 7 mėnesius nuo Darbų atlikimo termino pradžios</w:t>
      </w:r>
      <w:r w:rsidRPr="00882143">
        <w:rPr>
          <w:rFonts w:ascii="Times New Roman" w:eastAsia="Times New Roman" w:hAnsi="Times New Roman" w:cs="Times New Roman"/>
          <w:i/>
          <w:iCs/>
          <w:sz w:val="22"/>
          <w:szCs w:val="22"/>
          <w:lang w:eastAsia="en-US"/>
        </w:rPr>
        <w:t xml:space="preserve">. Šis terminas negali būti pratęsiamas, nes pagal 2022–2030 metų plėtros programą „Įgyvendinti misijomis grįstas mokslo ir inovacijų programas“ Saugi ir įtrauki e.visuomenė“ (DigiDefense) 2026 m. gegužės mėn. baigiasi finansavimo laikotarpis ir </w:t>
      </w:r>
      <w:r w:rsidR="00F4469D" w:rsidRPr="00882143">
        <w:rPr>
          <w:rFonts w:ascii="Times New Roman" w:eastAsia="Times New Roman" w:hAnsi="Times New Roman" w:cs="Times New Roman"/>
          <w:i/>
          <w:iCs/>
          <w:sz w:val="22"/>
          <w:szCs w:val="22"/>
          <w:lang w:eastAsia="en-US"/>
        </w:rPr>
        <w:t>Užsakovas</w:t>
      </w:r>
      <w:r w:rsidRPr="00882143">
        <w:rPr>
          <w:rFonts w:ascii="Times New Roman" w:eastAsia="Times New Roman" w:hAnsi="Times New Roman" w:cs="Times New Roman"/>
          <w:i/>
          <w:iCs/>
          <w:sz w:val="22"/>
          <w:szCs w:val="22"/>
          <w:lang w:eastAsia="en-US"/>
        </w:rPr>
        <w:t xml:space="preserve"> praras finansavimo šaltinį, kas reiškia, kad tiekėjai tai turi įsivertinti, nes </w:t>
      </w:r>
      <w:r w:rsidRPr="00882143">
        <w:rPr>
          <w:rFonts w:ascii="Times New Roman" w:eastAsia="Times New Roman" w:hAnsi="Times New Roman" w:cs="Times New Roman"/>
          <w:b/>
          <w:bCs/>
          <w:i/>
          <w:iCs/>
          <w:sz w:val="22"/>
          <w:szCs w:val="22"/>
          <w:lang w:eastAsia="en-US"/>
        </w:rPr>
        <w:t>Darbų atlikimo terminas nebus pratęstas</w:t>
      </w:r>
      <w:r w:rsidRPr="00882143">
        <w:rPr>
          <w:rFonts w:ascii="Times New Roman" w:eastAsia="Times New Roman" w:hAnsi="Times New Roman" w:cs="Times New Roman"/>
          <w:i/>
          <w:iCs/>
          <w:sz w:val="22"/>
          <w:szCs w:val="22"/>
          <w:lang w:eastAsia="en-US"/>
        </w:rPr>
        <w:t xml:space="preserve">, o </w:t>
      </w:r>
      <w:r w:rsidR="004A6817" w:rsidRPr="00882143">
        <w:rPr>
          <w:rFonts w:ascii="Times New Roman" w:eastAsia="Times New Roman" w:hAnsi="Times New Roman" w:cs="Times New Roman"/>
          <w:i/>
          <w:iCs/>
          <w:sz w:val="22"/>
          <w:szCs w:val="22"/>
          <w:lang w:eastAsia="en-US"/>
        </w:rPr>
        <w:t>Užsakovas</w:t>
      </w:r>
      <w:r w:rsidRPr="00882143">
        <w:rPr>
          <w:rFonts w:ascii="Times New Roman" w:eastAsia="Times New Roman" w:hAnsi="Times New Roman" w:cs="Times New Roman"/>
          <w:i/>
          <w:iCs/>
          <w:sz w:val="22"/>
          <w:szCs w:val="22"/>
          <w:lang w:eastAsia="en-US"/>
        </w:rPr>
        <w:t xml:space="preserve"> negalės finansuoti Darbų kitomis lėšomis;</w:t>
      </w:r>
    </w:p>
    <w:p w14:paraId="7C6AF88F" w14:textId="45F77076" w:rsidR="00CD5649" w:rsidRPr="004739AB" w:rsidRDefault="004739AB" w:rsidP="004739AB">
      <w:pPr>
        <w:pStyle w:val="ListParagraph"/>
        <w:numPr>
          <w:ilvl w:val="0"/>
          <w:numId w:val="2"/>
        </w:numPr>
        <w:spacing w:after="0"/>
        <w:jc w:val="both"/>
        <w:rPr>
          <w:rFonts w:ascii="Times New Roman" w:hAnsi="Times New Roman" w:cs="Times New Roman"/>
          <w:sz w:val="22"/>
          <w:szCs w:val="22"/>
        </w:rPr>
      </w:pPr>
      <w:r w:rsidRPr="00882143">
        <w:rPr>
          <w:rFonts w:ascii="Times New Roman" w:eastAsia="Times New Roman" w:hAnsi="Times New Roman" w:cs="Times New Roman"/>
          <w:i/>
          <w:iCs/>
          <w:sz w:val="22"/>
          <w:szCs w:val="22"/>
          <w:lang w:eastAsia="en-US"/>
        </w:rPr>
        <w:t xml:space="preserve">Rekonstruojamos pastato dalies Darbai, finansuojami Europos regioninės plėtros fondo ir Lietuvos Respublikos valstybės biudžeto lėšomis pagal programos pažangos priemonės  Nr. 12-001-01-02-01 „Stiprinti inovacijų ekosistemas mokslo centruose“projektą „Dirbtinio intelekto kompetencijų centras tvariam gyvenimui ir darbui (SustAInLivWork)“, ir </w:t>
      </w:r>
      <w:r w:rsidR="00F4469D" w:rsidRPr="00882143">
        <w:rPr>
          <w:rFonts w:ascii="Times New Roman" w:eastAsia="Times New Roman" w:hAnsi="Times New Roman" w:cs="Times New Roman"/>
          <w:i/>
          <w:iCs/>
          <w:sz w:val="22"/>
          <w:szCs w:val="22"/>
          <w:lang w:eastAsia="en-US"/>
        </w:rPr>
        <w:t>Užsakovo</w:t>
      </w:r>
      <w:r w:rsidRPr="00882143">
        <w:rPr>
          <w:rFonts w:ascii="Times New Roman" w:eastAsia="Times New Roman" w:hAnsi="Times New Roman" w:cs="Times New Roman"/>
          <w:i/>
          <w:iCs/>
          <w:sz w:val="22"/>
          <w:szCs w:val="22"/>
          <w:lang w:eastAsia="en-US"/>
        </w:rPr>
        <w:t xml:space="preserve"> lėšomis finansuojami Darbai turi būti baigti </w:t>
      </w:r>
      <w:r w:rsidRPr="00882143">
        <w:rPr>
          <w:rFonts w:ascii="Times New Roman" w:eastAsia="Times New Roman" w:hAnsi="Times New Roman" w:cs="Times New Roman"/>
          <w:b/>
          <w:bCs/>
          <w:i/>
          <w:iCs/>
          <w:sz w:val="22"/>
          <w:szCs w:val="22"/>
          <w:lang w:eastAsia="en-US"/>
        </w:rPr>
        <w:t>per 11 mėnesių nuo Darbų atlikimo termino pradžios</w:t>
      </w:r>
      <w:r w:rsidRPr="00882143">
        <w:rPr>
          <w:rFonts w:ascii="Times New Roman" w:eastAsia="Times New Roman" w:hAnsi="Times New Roman" w:cs="Times New Roman"/>
          <w:i/>
          <w:iCs/>
          <w:sz w:val="22"/>
          <w:szCs w:val="22"/>
          <w:lang w:eastAsia="en-US"/>
        </w:rPr>
        <w:t>, įskaitant ir statybos užbaigimo dokumento gavimą</w:t>
      </w:r>
      <w:r w:rsidR="006F1F85" w:rsidRPr="004739AB">
        <w:rPr>
          <w:rFonts w:ascii="Times New Roman" w:hAnsi="Times New Roman" w:cs="Times New Roman"/>
          <w:sz w:val="22"/>
          <w:szCs w:val="22"/>
        </w:rPr>
        <w:t>.</w:t>
      </w:r>
    </w:p>
    <w:p w14:paraId="33F8A9E9" w14:textId="693E95CC"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Darbo projekto rengimo išlaidos </w:t>
      </w:r>
      <w:r w:rsidR="00E94FAA" w:rsidRPr="00042F91">
        <w:rPr>
          <w:rFonts w:ascii="Times New Roman" w:hAnsi="Times New Roman" w:cs="Times New Roman"/>
          <w:sz w:val="22"/>
          <w:szCs w:val="22"/>
        </w:rPr>
        <w:t xml:space="preserve">ir visos kitos išlaidos, susijusios su tinkamu sutartinių įsipareigojimų įgyvendinimu, </w:t>
      </w:r>
      <w:r w:rsidRPr="00042F91">
        <w:rPr>
          <w:rFonts w:ascii="Times New Roman" w:hAnsi="Times New Roman" w:cs="Times New Roman"/>
          <w:sz w:val="22"/>
          <w:szCs w:val="22"/>
        </w:rPr>
        <w:t xml:space="preserve">turi būti įtraukiamos į pasiūlymo kainą.  </w:t>
      </w:r>
    </w:p>
    <w:p w14:paraId="659B16C0" w14:textId="0763530D"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Darbų grafikas ir kiti būtini Rangovo dokumentai pateikiami Sutarties projekte nustatyta tvarka ir terminais. </w:t>
      </w:r>
    </w:p>
    <w:p w14:paraId="09C4AC0E" w14:textId="065DD3EA"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Darbai turi būti organizuojami taip, kad nekeltų aplinkiniams gyventojams (įstaigoms)</w:t>
      </w:r>
      <w:r w:rsidR="00077A01" w:rsidRPr="00042F91">
        <w:rPr>
          <w:rFonts w:ascii="Times New Roman" w:hAnsi="Times New Roman" w:cs="Times New Roman"/>
          <w:sz w:val="22"/>
          <w:szCs w:val="22"/>
        </w:rPr>
        <w:t xml:space="preserve"> triukšmo, kuris neatitinka galiojančių teisės aktų reikalavimų</w:t>
      </w:r>
      <w:r w:rsidR="00D06864" w:rsidRPr="00042F91">
        <w:rPr>
          <w:rFonts w:ascii="Times New Roman" w:hAnsi="Times New Roman" w:cs="Times New Roman"/>
          <w:sz w:val="22"/>
          <w:szCs w:val="22"/>
        </w:rPr>
        <w:t xml:space="preserve">, </w:t>
      </w:r>
      <w:r w:rsidR="00187B53" w:rsidRPr="00042F91">
        <w:rPr>
          <w:rFonts w:ascii="Times New Roman" w:hAnsi="Times New Roman" w:cs="Times New Roman"/>
          <w:sz w:val="22"/>
          <w:szCs w:val="22"/>
        </w:rPr>
        <w:t>neteršt</w:t>
      </w:r>
      <w:r w:rsidR="00D86214" w:rsidRPr="00042F91">
        <w:rPr>
          <w:rFonts w:ascii="Times New Roman" w:hAnsi="Times New Roman" w:cs="Times New Roman"/>
          <w:sz w:val="22"/>
          <w:szCs w:val="22"/>
        </w:rPr>
        <w:t xml:space="preserve">ų aplinkos ar </w:t>
      </w:r>
      <w:r w:rsidR="006F1BD7" w:rsidRPr="00042F91">
        <w:rPr>
          <w:rFonts w:ascii="Times New Roman" w:hAnsi="Times New Roman" w:cs="Times New Roman"/>
          <w:sz w:val="22"/>
          <w:szCs w:val="22"/>
        </w:rPr>
        <w:t>vykdant darbus</w:t>
      </w:r>
      <w:r w:rsidR="00DE52B3" w:rsidRPr="00042F91">
        <w:rPr>
          <w:rFonts w:ascii="Times New Roman" w:hAnsi="Times New Roman" w:cs="Times New Roman"/>
          <w:sz w:val="22"/>
          <w:szCs w:val="22"/>
        </w:rPr>
        <w:t xml:space="preserve">, </w:t>
      </w:r>
      <w:r w:rsidR="00D86214" w:rsidRPr="00042F91">
        <w:rPr>
          <w:rFonts w:ascii="Times New Roman" w:hAnsi="Times New Roman" w:cs="Times New Roman"/>
          <w:sz w:val="22"/>
          <w:szCs w:val="22"/>
        </w:rPr>
        <w:t xml:space="preserve">būtų </w:t>
      </w:r>
      <w:r w:rsidR="00DE52B3" w:rsidRPr="00042F91">
        <w:rPr>
          <w:rFonts w:ascii="Times New Roman" w:hAnsi="Times New Roman" w:cs="Times New Roman"/>
          <w:sz w:val="22"/>
          <w:szCs w:val="22"/>
        </w:rPr>
        <w:t xml:space="preserve">nesilaikoma </w:t>
      </w:r>
      <w:r w:rsidR="00D86214" w:rsidRPr="00042F91">
        <w:rPr>
          <w:rFonts w:ascii="Times New Roman" w:hAnsi="Times New Roman" w:cs="Times New Roman"/>
          <w:sz w:val="22"/>
          <w:szCs w:val="22"/>
        </w:rPr>
        <w:t>kit</w:t>
      </w:r>
      <w:r w:rsidR="00DE52B3" w:rsidRPr="00042F91">
        <w:rPr>
          <w:rFonts w:ascii="Times New Roman" w:hAnsi="Times New Roman" w:cs="Times New Roman"/>
          <w:sz w:val="22"/>
          <w:szCs w:val="22"/>
        </w:rPr>
        <w:t>ų</w:t>
      </w:r>
      <w:r w:rsidR="00D86214" w:rsidRPr="00042F91">
        <w:rPr>
          <w:rFonts w:ascii="Times New Roman" w:hAnsi="Times New Roman" w:cs="Times New Roman"/>
          <w:sz w:val="22"/>
          <w:szCs w:val="22"/>
        </w:rPr>
        <w:t xml:space="preserve"> </w:t>
      </w:r>
      <w:r w:rsidR="00D06864" w:rsidRPr="00042F91">
        <w:rPr>
          <w:rFonts w:ascii="Times New Roman" w:hAnsi="Times New Roman" w:cs="Times New Roman"/>
          <w:sz w:val="22"/>
          <w:szCs w:val="22"/>
        </w:rPr>
        <w:lastRenderedPageBreak/>
        <w:t>privalom</w:t>
      </w:r>
      <w:r w:rsidR="00DE52B3" w:rsidRPr="00042F91">
        <w:rPr>
          <w:rFonts w:ascii="Times New Roman" w:hAnsi="Times New Roman" w:cs="Times New Roman"/>
          <w:sz w:val="22"/>
          <w:szCs w:val="22"/>
        </w:rPr>
        <w:t>ų</w:t>
      </w:r>
      <w:r w:rsidR="00D06864" w:rsidRPr="00042F91">
        <w:rPr>
          <w:rFonts w:ascii="Times New Roman" w:hAnsi="Times New Roman" w:cs="Times New Roman"/>
          <w:sz w:val="22"/>
          <w:szCs w:val="22"/>
        </w:rPr>
        <w:t xml:space="preserve"> reikalavim</w:t>
      </w:r>
      <w:r w:rsidR="00DE52B3" w:rsidRPr="00042F91">
        <w:rPr>
          <w:rFonts w:ascii="Times New Roman" w:hAnsi="Times New Roman" w:cs="Times New Roman"/>
          <w:sz w:val="22"/>
          <w:szCs w:val="22"/>
        </w:rPr>
        <w:t>ų</w:t>
      </w:r>
      <w:r w:rsidR="00D06864" w:rsidRPr="00042F91">
        <w:rPr>
          <w:rFonts w:ascii="Times New Roman" w:hAnsi="Times New Roman" w:cs="Times New Roman"/>
          <w:sz w:val="22"/>
          <w:szCs w:val="22"/>
        </w:rPr>
        <w:t xml:space="preserve">. </w:t>
      </w:r>
      <w:r w:rsidRPr="00042F91">
        <w:rPr>
          <w:rFonts w:ascii="Times New Roman" w:hAnsi="Times New Roman" w:cs="Times New Roman"/>
          <w:sz w:val="22"/>
          <w:szCs w:val="22"/>
        </w:rPr>
        <w:t>Esant poreikiui, iš anksto turi būti informuota</w:t>
      </w:r>
      <w:r w:rsidR="00FC64EC">
        <w:rPr>
          <w:rFonts w:ascii="Times New Roman" w:hAnsi="Times New Roman" w:cs="Times New Roman"/>
          <w:sz w:val="22"/>
          <w:szCs w:val="22"/>
        </w:rPr>
        <w:t>s Užsakovas</w:t>
      </w:r>
      <w:r w:rsidRPr="00042F91">
        <w:rPr>
          <w:rFonts w:ascii="Times New Roman" w:hAnsi="Times New Roman" w:cs="Times New Roman"/>
          <w:sz w:val="22"/>
          <w:szCs w:val="22"/>
        </w:rPr>
        <w:t xml:space="preserve"> ir suderinta </w:t>
      </w:r>
      <w:r w:rsidR="00FC64EC">
        <w:rPr>
          <w:rFonts w:ascii="Times New Roman" w:hAnsi="Times New Roman" w:cs="Times New Roman"/>
          <w:sz w:val="22"/>
          <w:szCs w:val="22"/>
        </w:rPr>
        <w:t xml:space="preserve">su Užsakovo atsakingais asmenimis </w:t>
      </w:r>
      <w:r w:rsidRPr="00042F91">
        <w:rPr>
          <w:rFonts w:ascii="Times New Roman" w:hAnsi="Times New Roman" w:cs="Times New Roman"/>
          <w:sz w:val="22"/>
          <w:szCs w:val="22"/>
        </w:rPr>
        <w:t>apie tokių darbų vykdymą.</w:t>
      </w:r>
    </w:p>
    <w:p w14:paraId="59094291"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Rangovas turi numatyti ir įvertinti visas sutarties vykdymo išlaidas (tarp jų išlaidas nurodytas šioje Techninėje specifikacijoje).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534B9854" w14:textId="3165A639"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b/>
          <w:sz w:val="22"/>
          <w:szCs w:val="22"/>
        </w:rPr>
        <w:t xml:space="preserve">Aplinkos apsaugos reikalavimai, taikytini projektavimui ir rangos darbams, numatyti </w:t>
      </w:r>
      <w:r w:rsidR="007F320C" w:rsidRPr="00042F91">
        <w:rPr>
          <w:rFonts w:ascii="Times New Roman" w:hAnsi="Times New Roman" w:cs="Times New Roman"/>
          <w:b/>
          <w:sz w:val="22"/>
          <w:szCs w:val="22"/>
        </w:rPr>
        <w:t>šioje Techninėje specifikacijoje</w:t>
      </w:r>
      <w:r w:rsidR="00F87545" w:rsidRPr="00042F91">
        <w:rPr>
          <w:rFonts w:ascii="Times New Roman" w:hAnsi="Times New Roman" w:cs="Times New Roman"/>
          <w:b/>
          <w:sz w:val="22"/>
          <w:szCs w:val="22"/>
        </w:rPr>
        <w:t xml:space="preserve">, kvalifikacijos reikalavimuose ir </w:t>
      </w:r>
      <w:r w:rsidRPr="00042F91">
        <w:rPr>
          <w:rFonts w:ascii="Times New Roman" w:hAnsi="Times New Roman" w:cs="Times New Roman"/>
          <w:b/>
          <w:sz w:val="22"/>
          <w:szCs w:val="22"/>
        </w:rPr>
        <w:t xml:space="preserve">Sutarties projekte. Darbo projekte turi būti laikomasi aplinkos apsaugos kriterijų pagal Aplinkos apsaugos kriterijų taikymo, vykdant žaliuosius pirkimus, tvarkos aprašo </w:t>
      </w:r>
      <w:r w:rsidR="00892DBF" w:rsidRPr="00042F91">
        <w:rPr>
          <w:rFonts w:ascii="Times New Roman" w:hAnsi="Times New Roman" w:cs="Times New Roman"/>
          <w:b/>
          <w:sz w:val="22"/>
          <w:szCs w:val="22"/>
        </w:rPr>
        <w:t xml:space="preserve">2 priedo </w:t>
      </w:r>
      <w:r w:rsidRPr="00042F91">
        <w:rPr>
          <w:rFonts w:ascii="Times New Roman" w:hAnsi="Times New Roman" w:cs="Times New Roman"/>
          <w:b/>
          <w:sz w:val="22"/>
          <w:szCs w:val="22"/>
        </w:rPr>
        <w:t>15.1 punktą.</w:t>
      </w:r>
      <w:r w:rsidRPr="00042F91">
        <w:rPr>
          <w:rFonts w:ascii="Times New Roman" w:hAnsi="Times New Roman" w:cs="Times New Roman"/>
          <w:sz w:val="22"/>
          <w:szCs w:val="22"/>
        </w:rPr>
        <w:t xml:space="preserve"> </w:t>
      </w:r>
      <w:r w:rsidR="00FC1EE7" w:rsidRPr="00042F91">
        <w:rPr>
          <w:rFonts w:ascii="Times New Roman" w:hAnsi="Times New Roman" w:cs="Times New Roman"/>
          <w:sz w:val="22"/>
          <w:szCs w:val="22"/>
        </w:rPr>
        <w:t xml:space="preserve">Tiekėjas, </w:t>
      </w:r>
      <w:r w:rsidR="00FC1EE7" w:rsidRPr="00042F91">
        <w:rPr>
          <w:rStyle w:val="cf01"/>
          <w:rFonts w:ascii="Times New Roman" w:hAnsi="Times New Roman" w:cs="Times New Roman"/>
          <w:sz w:val="22"/>
          <w:szCs w:val="22"/>
        </w:rPr>
        <w:t>teikdamas pasiūlymą, įsipareigoja, kad rengiant darbo projektą ir vykdant ran</w:t>
      </w:r>
      <w:r w:rsidR="000F3D72" w:rsidRPr="00042F91">
        <w:rPr>
          <w:rStyle w:val="cf01"/>
          <w:rFonts w:ascii="Times New Roman" w:hAnsi="Times New Roman" w:cs="Times New Roman"/>
          <w:sz w:val="22"/>
          <w:szCs w:val="22"/>
        </w:rPr>
        <w:t>gos darbus, bus</w:t>
      </w:r>
      <w:r w:rsidR="00FC1EE7" w:rsidRPr="00042F91">
        <w:rPr>
          <w:rStyle w:val="cf01"/>
          <w:rFonts w:ascii="Times New Roman" w:hAnsi="Times New Roman" w:cs="Times New Roman"/>
          <w:sz w:val="22"/>
          <w:szCs w:val="22"/>
        </w:rPr>
        <w:t xml:space="preserve"> naudojamos statybinės medžiagos ir kiti su pastato projektu susiję produktai (jei taikoma), atitik</w:t>
      </w:r>
      <w:r w:rsidR="000F3D72" w:rsidRPr="00042F91">
        <w:rPr>
          <w:rStyle w:val="cf01"/>
          <w:rFonts w:ascii="Times New Roman" w:hAnsi="Times New Roman" w:cs="Times New Roman"/>
          <w:sz w:val="22"/>
          <w:szCs w:val="22"/>
        </w:rPr>
        <w:t>s</w:t>
      </w:r>
      <w:r w:rsidR="00FC1EE7" w:rsidRPr="00042F91">
        <w:rPr>
          <w:rStyle w:val="cf01"/>
          <w:rFonts w:ascii="Times New Roman" w:hAnsi="Times New Roman" w:cs="Times New Roman"/>
          <w:sz w:val="22"/>
          <w:szCs w:val="22"/>
        </w:rPr>
        <w:t xml:space="preserve"> minimalius aplinkos apsaugos kriterijus nurodytus XIII–XVI skyriuose</w:t>
      </w:r>
      <w:r w:rsidR="000F3D72" w:rsidRPr="00042F91">
        <w:rPr>
          <w:rStyle w:val="cf01"/>
          <w:rFonts w:ascii="Times New Roman" w:hAnsi="Times New Roman" w:cs="Times New Roman"/>
          <w:sz w:val="22"/>
          <w:szCs w:val="22"/>
        </w:rPr>
        <w:t xml:space="preserve">. </w:t>
      </w:r>
      <w:r w:rsidRPr="00042F91">
        <w:rPr>
          <w:rFonts w:ascii="Times New Roman" w:hAnsi="Times New Roman" w:cs="Times New Roman"/>
          <w:sz w:val="22"/>
          <w:szCs w:val="22"/>
        </w:rPr>
        <w:t>Šio reikalavimo atitiktis bus vertinama sutarties vykdymo metu.</w:t>
      </w:r>
    </w:p>
    <w:p w14:paraId="161FBEB0" w14:textId="5D061A16" w:rsidR="00CD5649" w:rsidRPr="00042F91" w:rsidRDefault="00CD5649" w:rsidP="00CD5649">
      <w:pPr>
        <w:spacing w:after="0"/>
        <w:ind w:firstLine="652"/>
        <w:jc w:val="both"/>
        <w:rPr>
          <w:rFonts w:ascii="Times New Roman" w:hAnsi="Times New Roman" w:cs="Times New Roman"/>
          <w:sz w:val="22"/>
          <w:szCs w:val="22"/>
        </w:rPr>
      </w:pPr>
      <w:bookmarkStart w:id="6" w:name="_Hlk193277942"/>
      <w:r w:rsidRPr="00042F91">
        <w:rPr>
          <w:rFonts w:ascii="Times New Roman" w:hAnsi="Times New Roman" w:cs="Times New Roman"/>
          <w:sz w:val="22"/>
          <w:szCs w:val="22"/>
        </w:rPr>
        <w:t>Statinio statybos metu susidariusios statybinės atliekos turi būti išvežamos antriniam panaudojimui arba utilizavimui laikantis teisės aktų reikalavimų. Rangovas t</w:t>
      </w:r>
      <w:r w:rsidR="00313722">
        <w:rPr>
          <w:rFonts w:ascii="Times New Roman" w:hAnsi="Times New Roman" w:cs="Times New Roman"/>
          <w:sz w:val="22"/>
          <w:szCs w:val="22"/>
        </w:rPr>
        <w:t>u</w:t>
      </w:r>
      <w:r w:rsidRPr="00042F91">
        <w:rPr>
          <w:rFonts w:ascii="Times New Roman" w:hAnsi="Times New Roman" w:cs="Times New Roman"/>
          <w:sz w:val="22"/>
          <w:szCs w:val="22"/>
        </w:rPr>
        <w:t xml:space="preserve">rės pateikti pažymas apie visas išvežamų atliekų kiekius ir rūšis. Atlikęs darbus, Rangovas priduoda Užsakovui </w:t>
      </w:r>
      <w:r w:rsidR="00586DD9" w:rsidRPr="00042F91">
        <w:rPr>
          <w:rFonts w:ascii="Times New Roman" w:hAnsi="Times New Roman" w:cs="Times New Roman"/>
          <w:sz w:val="22"/>
          <w:szCs w:val="22"/>
        </w:rPr>
        <w:t xml:space="preserve">sutvarkytą </w:t>
      </w:r>
      <w:r w:rsidRPr="00042F91">
        <w:rPr>
          <w:rFonts w:ascii="Times New Roman" w:hAnsi="Times New Roman" w:cs="Times New Roman"/>
          <w:sz w:val="22"/>
          <w:szCs w:val="22"/>
        </w:rPr>
        <w:t>teritoriją</w:t>
      </w:r>
      <w:r w:rsidR="00586DD9" w:rsidRPr="00042F91">
        <w:rPr>
          <w:rFonts w:ascii="Times New Roman" w:hAnsi="Times New Roman" w:cs="Times New Roman"/>
          <w:sz w:val="22"/>
          <w:szCs w:val="22"/>
        </w:rPr>
        <w:t xml:space="preserve"> ir </w:t>
      </w:r>
      <w:r w:rsidRPr="00042F91">
        <w:rPr>
          <w:rFonts w:ascii="Times New Roman" w:hAnsi="Times New Roman" w:cs="Times New Roman"/>
          <w:sz w:val="22"/>
          <w:szCs w:val="22"/>
        </w:rPr>
        <w:t>patalpas</w:t>
      </w:r>
      <w:r w:rsidR="00586DD9" w:rsidRPr="00042F91">
        <w:rPr>
          <w:rFonts w:ascii="Times New Roman" w:hAnsi="Times New Roman" w:cs="Times New Roman"/>
          <w:sz w:val="22"/>
          <w:szCs w:val="22"/>
        </w:rPr>
        <w:t xml:space="preserve">, </w:t>
      </w:r>
      <w:r w:rsidRPr="00042F91">
        <w:rPr>
          <w:rFonts w:ascii="Times New Roman" w:hAnsi="Times New Roman" w:cs="Times New Roman"/>
          <w:sz w:val="22"/>
          <w:szCs w:val="22"/>
        </w:rPr>
        <w:t xml:space="preserve">savo lėšomis atstato pažeistas dangas, želdynus ir pan. </w:t>
      </w:r>
    </w:p>
    <w:p w14:paraId="5AE31631" w14:textId="04ECD388" w:rsidR="00CD5649" w:rsidRPr="00042F91" w:rsidRDefault="00CD5649" w:rsidP="00CD5649">
      <w:pPr>
        <w:spacing w:after="0"/>
        <w:ind w:firstLine="652"/>
        <w:jc w:val="both"/>
        <w:rPr>
          <w:rFonts w:ascii="Times New Roman" w:hAnsi="Times New Roman" w:cs="Times New Roman"/>
          <w:sz w:val="22"/>
          <w:szCs w:val="22"/>
        </w:rPr>
      </w:pPr>
      <w:bookmarkStart w:id="7" w:name="_Hlk193277959"/>
      <w:bookmarkEnd w:id="6"/>
      <w:r w:rsidRPr="00042F91">
        <w:rPr>
          <w:rFonts w:ascii="Times New Roman" w:hAnsi="Times New Roman" w:cs="Times New Roman"/>
          <w:sz w:val="22"/>
          <w:szCs w:val="22"/>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bookmarkEnd w:id="7"/>
    <w:p w14:paraId="54D72EBD" w14:textId="77777777" w:rsidR="00CD5649" w:rsidRPr="00042F91" w:rsidRDefault="00CD5649" w:rsidP="00CD5649">
      <w:pPr>
        <w:spacing w:after="0"/>
        <w:ind w:firstLine="652"/>
        <w:jc w:val="both"/>
        <w:rPr>
          <w:rFonts w:ascii="Times New Roman" w:hAnsi="Times New Roman" w:cs="Times New Roman"/>
          <w:b/>
          <w:bCs/>
          <w:sz w:val="22"/>
          <w:szCs w:val="22"/>
        </w:rPr>
      </w:pPr>
    </w:p>
    <w:p w14:paraId="5E28F9CD" w14:textId="77777777"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Statybvietės įrengimas:</w:t>
      </w:r>
    </w:p>
    <w:p w14:paraId="650411F3" w14:textId="78BE592F"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Statybvietės aptvėrimas. Tveriama laikinąja vielos tinklo tvora. Apsaugos zonoje šaligatviai, įėjimai į pastatą uždengiami apsauginiais stogeliais. Baigus statybos darbus, teritoriją reikia išvalyti nuo statybinių atliekų, turi būti atstatytos visos dangos, kurios buvo pažeistos ir (arba) sugadintos.</w:t>
      </w:r>
    </w:p>
    <w:p w14:paraId="6831875E" w14:textId="4E239D6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Laikinų kelių įrengimas. Laikini keliai įrengiami, jei reikia gaminių/medžiagų pristatymui arba statybos darbų organizavimui. Laikini automobilių keliai tiesiami nuo esamų nuolatinių kelių. Baigus statybos darbus pažeistos dangos turi būti atstatytos.</w:t>
      </w:r>
    </w:p>
    <w:p w14:paraId="4F231729" w14:textId="523E3883"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Gaminių ir medžiagų sandėliavimas. Sandėliuojama atviroje aikštelėje prie pastato (Rangovo aptvertoje aikštelėje) ir pastato patalpose. Rangovas turi užtikrinti, kad pašaliniai asmenys nepatektų prie sandėliuojamų medžiagų. Už sandėliuojamų medžiagų trūkumus atsako pats Rangovas.</w:t>
      </w:r>
    </w:p>
    <w:p w14:paraId="103C5CF5" w14:textId="29D62B90"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darbuotojų buitinės patalpos. Laikinos buitinės patalpos, statybos vadovo patalpos, medžiagų sandėliavimo konteineriai, WC biotualetai ir kita įrengiama prie pastato aptvertoje aikštelėje, vietas suderinti su Užsakovu. </w:t>
      </w:r>
    </w:p>
    <w:p w14:paraId="488E96C8" w14:textId="77AF5C32"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Vandens ir elektros tiekimas statybos reikmėms. Užsakovas suteikia leidimą Rangovui pasijungti prie vandentiekio, nuotekų ir elektros tinklų. Prisijungimo vietose Rangovas įrengia laikinus apskaitos prietaisus. Už suvartotą energiją, vandenį Rangovas apmoka Užsakovui. </w:t>
      </w:r>
    </w:p>
    <w:p w14:paraId="1360A8FF" w14:textId="77777777" w:rsidR="00003FBF" w:rsidRDefault="00003FBF" w:rsidP="00CD5649">
      <w:pPr>
        <w:spacing w:after="0"/>
        <w:ind w:firstLine="652"/>
        <w:jc w:val="both"/>
        <w:rPr>
          <w:rFonts w:ascii="Times New Roman" w:hAnsi="Times New Roman" w:cs="Times New Roman"/>
          <w:b/>
          <w:bCs/>
          <w:sz w:val="22"/>
          <w:szCs w:val="22"/>
        </w:rPr>
      </w:pPr>
    </w:p>
    <w:p w14:paraId="213B54FE" w14:textId="380ADA2C" w:rsidR="00CD5649" w:rsidRPr="00042F91" w:rsidRDefault="00CD5649" w:rsidP="00CD5649">
      <w:pPr>
        <w:spacing w:after="0"/>
        <w:ind w:firstLine="652"/>
        <w:jc w:val="both"/>
        <w:rPr>
          <w:rFonts w:ascii="Times New Roman" w:hAnsi="Times New Roman" w:cs="Times New Roman"/>
          <w:b/>
          <w:bCs/>
          <w:sz w:val="22"/>
          <w:szCs w:val="22"/>
        </w:rPr>
      </w:pPr>
      <w:r w:rsidRPr="00042F91">
        <w:rPr>
          <w:rFonts w:ascii="Times New Roman" w:hAnsi="Times New Roman" w:cs="Times New Roman"/>
          <w:b/>
          <w:bCs/>
          <w:sz w:val="22"/>
          <w:szCs w:val="22"/>
        </w:rPr>
        <w:t xml:space="preserve">Statybos darbų atlikimas: </w:t>
      </w:r>
    </w:p>
    <w:p w14:paraId="6B05499B" w14:textId="77777777" w:rsidR="003D47D0" w:rsidRDefault="00CD5649" w:rsidP="00961611">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Statybos darbai bus atliekami mokslo paskirties pastate, kurio dalis </w:t>
      </w:r>
      <w:r w:rsidR="005703A0" w:rsidRPr="00042F91">
        <w:rPr>
          <w:rFonts w:ascii="Times New Roman" w:hAnsi="Times New Roman" w:cs="Times New Roman"/>
          <w:sz w:val="22"/>
          <w:szCs w:val="22"/>
        </w:rPr>
        <w:t xml:space="preserve">turės išlikti veikianti ir nenutrūkstamai vykdoma veikla visų </w:t>
      </w:r>
      <w:r w:rsidRPr="00042F91">
        <w:rPr>
          <w:rFonts w:ascii="Times New Roman" w:hAnsi="Times New Roman" w:cs="Times New Roman"/>
          <w:sz w:val="22"/>
          <w:szCs w:val="22"/>
        </w:rPr>
        <w:t xml:space="preserve">Darbų </w:t>
      </w:r>
      <w:r w:rsidR="005703A0" w:rsidRPr="00042F91">
        <w:rPr>
          <w:rFonts w:ascii="Times New Roman" w:hAnsi="Times New Roman" w:cs="Times New Roman"/>
          <w:sz w:val="22"/>
          <w:szCs w:val="22"/>
        </w:rPr>
        <w:t xml:space="preserve">atlikimo </w:t>
      </w:r>
      <w:r w:rsidRPr="00042F91">
        <w:rPr>
          <w:rFonts w:ascii="Times New Roman" w:hAnsi="Times New Roman" w:cs="Times New Roman"/>
          <w:sz w:val="22"/>
          <w:szCs w:val="22"/>
        </w:rPr>
        <w:t xml:space="preserve">metu. </w:t>
      </w:r>
      <w:r w:rsidRPr="00042F91">
        <w:rPr>
          <w:rFonts w:ascii="Times New Roman" w:hAnsi="Times New Roman" w:cs="Times New Roman"/>
          <w:b/>
          <w:bCs/>
          <w:i/>
          <w:iCs/>
          <w:sz w:val="22"/>
          <w:szCs w:val="22"/>
        </w:rPr>
        <w:t xml:space="preserve">Pastate įrengta LITNET (Lietuvos mokslo ir studijų institucijų </w:t>
      </w:r>
      <w:r w:rsidRPr="003D47D0">
        <w:rPr>
          <w:rFonts w:ascii="Times New Roman" w:hAnsi="Times New Roman" w:cs="Times New Roman"/>
          <w:b/>
          <w:bCs/>
          <w:i/>
          <w:iCs/>
          <w:sz w:val="22"/>
          <w:szCs w:val="22"/>
        </w:rPr>
        <w:t xml:space="preserve">kompiuterinio tinklo) duomenų saugojimo ir apdorojimo infrastruktūra. Darbų metu </w:t>
      </w:r>
      <w:r w:rsidR="005703A0" w:rsidRPr="003D47D0">
        <w:rPr>
          <w:rFonts w:ascii="Times New Roman" w:hAnsi="Times New Roman" w:cs="Times New Roman"/>
          <w:b/>
          <w:bCs/>
          <w:i/>
          <w:iCs/>
          <w:sz w:val="22"/>
          <w:szCs w:val="22"/>
        </w:rPr>
        <w:t xml:space="preserve">jokia apimtimi </w:t>
      </w:r>
      <w:r w:rsidRPr="003D47D0">
        <w:rPr>
          <w:rFonts w:ascii="Times New Roman" w:hAnsi="Times New Roman" w:cs="Times New Roman"/>
          <w:b/>
          <w:bCs/>
          <w:i/>
          <w:iCs/>
          <w:sz w:val="22"/>
          <w:szCs w:val="22"/>
        </w:rPr>
        <w:t xml:space="preserve">negali būti pažeistas elektros tiekimas, šviesolaidiniai kabeliai, šaldymo sistema ir kita, kas keltų </w:t>
      </w:r>
      <w:r w:rsidRPr="003D47D0">
        <w:rPr>
          <w:rFonts w:ascii="Times New Roman" w:hAnsi="Times New Roman" w:cs="Times New Roman"/>
          <w:b/>
          <w:bCs/>
          <w:i/>
          <w:iCs/>
          <w:sz w:val="22"/>
          <w:szCs w:val="22"/>
        </w:rPr>
        <w:lastRenderedPageBreak/>
        <w:t>grėsmę tinklo, paslaugų saugumui ir vientisumui.</w:t>
      </w:r>
      <w:r w:rsidR="00B02AB4" w:rsidRPr="003D47D0">
        <w:rPr>
          <w:rFonts w:ascii="Times New Roman" w:hAnsi="Times New Roman" w:cs="Times New Roman"/>
          <w:sz w:val="22"/>
          <w:szCs w:val="22"/>
        </w:rPr>
        <w:t xml:space="preserve"> </w:t>
      </w:r>
      <w:r w:rsidR="00D23008" w:rsidRPr="003D47D0">
        <w:rPr>
          <w:rFonts w:ascii="Times New Roman" w:hAnsi="Times New Roman" w:cs="Times New Roman"/>
          <w:b/>
          <w:bCs/>
          <w:i/>
          <w:iCs/>
          <w:sz w:val="22"/>
          <w:szCs w:val="22"/>
        </w:rPr>
        <w:t xml:space="preserve">Pastate taip pat yra įrengtas </w:t>
      </w:r>
      <w:r w:rsidR="00C62074" w:rsidRPr="003D47D0">
        <w:rPr>
          <w:rFonts w:ascii="Times New Roman" w:hAnsi="Times New Roman" w:cs="Times New Roman"/>
          <w:b/>
          <w:bCs/>
          <w:i/>
          <w:iCs/>
          <w:sz w:val="22"/>
          <w:szCs w:val="22"/>
        </w:rPr>
        <w:t>I</w:t>
      </w:r>
      <w:r w:rsidR="00D23008" w:rsidRPr="003D47D0">
        <w:rPr>
          <w:rFonts w:ascii="Times New Roman" w:hAnsi="Times New Roman" w:cs="Times New Roman"/>
          <w:b/>
          <w:bCs/>
          <w:i/>
          <w:iCs/>
          <w:sz w:val="22"/>
          <w:szCs w:val="22"/>
        </w:rPr>
        <w:t>nformacinių technologijų centras, kuriame yra talpinami serveriai bei kita ypatingos svarbos įranga</w:t>
      </w:r>
      <w:r w:rsidR="00D23008" w:rsidRPr="003D47D0">
        <w:rPr>
          <w:rStyle w:val="cf01"/>
          <w:sz w:val="22"/>
          <w:szCs w:val="22"/>
        </w:rPr>
        <w:t>.</w:t>
      </w:r>
      <w:r w:rsidR="00D23008" w:rsidRPr="003D47D0">
        <w:rPr>
          <w:rFonts w:ascii="Times New Roman" w:hAnsi="Times New Roman" w:cs="Times New Roman"/>
          <w:sz w:val="22"/>
          <w:szCs w:val="22"/>
        </w:rPr>
        <w:t xml:space="preserve"> </w:t>
      </w:r>
    </w:p>
    <w:p w14:paraId="7C38620C" w14:textId="0FBD44CE" w:rsidR="00CD5649" w:rsidRPr="00042F91" w:rsidRDefault="006D3C92" w:rsidP="00961611">
      <w:pPr>
        <w:spacing w:after="0"/>
        <w:ind w:firstLine="652"/>
        <w:jc w:val="both"/>
        <w:rPr>
          <w:rFonts w:ascii="Times New Roman" w:hAnsi="Times New Roman" w:cs="Times New Roman"/>
          <w:sz w:val="22"/>
          <w:szCs w:val="22"/>
        </w:rPr>
      </w:pPr>
      <w:r w:rsidRPr="003D47D0">
        <w:rPr>
          <w:rFonts w:ascii="Times New Roman" w:hAnsi="Times New Roman" w:cs="Times New Roman"/>
          <w:sz w:val="22"/>
          <w:szCs w:val="22"/>
        </w:rPr>
        <w:t>Atsižvelgiant į LITNET infrastruktūros</w:t>
      </w:r>
      <w:r w:rsidR="0031185B" w:rsidRPr="003D47D0">
        <w:rPr>
          <w:rFonts w:ascii="Times New Roman" w:hAnsi="Times New Roman" w:cs="Times New Roman"/>
          <w:sz w:val="22"/>
          <w:szCs w:val="22"/>
        </w:rPr>
        <w:t xml:space="preserve"> bei informacinių sistemų</w:t>
      </w:r>
      <w:r w:rsidRPr="00042F91">
        <w:rPr>
          <w:rFonts w:ascii="Times New Roman" w:hAnsi="Times New Roman" w:cs="Times New Roman"/>
          <w:sz w:val="22"/>
          <w:szCs w:val="22"/>
        </w:rPr>
        <w:t xml:space="preserve"> veikimą šiame pastate, atliekant </w:t>
      </w:r>
      <w:r w:rsidR="005703A0" w:rsidRPr="00042F91">
        <w:rPr>
          <w:rFonts w:ascii="Times New Roman" w:hAnsi="Times New Roman" w:cs="Times New Roman"/>
          <w:sz w:val="22"/>
          <w:szCs w:val="22"/>
        </w:rPr>
        <w:t>D</w:t>
      </w:r>
      <w:r w:rsidRPr="00042F91">
        <w:rPr>
          <w:rFonts w:ascii="Times New Roman" w:hAnsi="Times New Roman" w:cs="Times New Roman"/>
          <w:sz w:val="22"/>
          <w:szCs w:val="22"/>
        </w:rPr>
        <w:t>arbus būtina užtikrinti tinklo paslaugų nepertraukiamumą</w:t>
      </w:r>
      <w:r w:rsidR="0079494C" w:rsidRPr="00042F91">
        <w:rPr>
          <w:rFonts w:ascii="Times New Roman" w:hAnsi="Times New Roman" w:cs="Times New Roman"/>
          <w:sz w:val="22"/>
          <w:szCs w:val="22"/>
        </w:rPr>
        <w:t xml:space="preserve"> ta apimtimi ir tiek, kiek tai susiję su Darbų vykdymu</w:t>
      </w:r>
      <w:r w:rsidRPr="00042F91">
        <w:rPr>
          <w:rFonts w:ascii="Times New Roman" w:hAnsi="Times New Roman" w:cs="Times New Roman"/>
          <w:sz w:val="22"/>
          <w:szCs w:val="22"/>
        </w:rPr>
        <w:t xml:space="preserve"> ir išvengti bet kokios rizikos, galinčios turėti įtakos sistemos stabilumui ar saugumui. Jeigu planuojami </w:t>
      </w:r>
      <w:r w:rsidR="005703A0" w:rsidRPr="00042F91">
        <w:rPr>
          <w:rFonts w:ascii="Times New Roman" w:hAnsi="Times New Roman" w:cs="Times New Roman"/>
          <w:sz w:val="22"/>
          <w:szCs w:val="22"/>
        </w:rPr>
        <w:t>D</w:t>
      </w:r>
      <w:r w:rsidRPr="00042F91">
        <w:rPr>
          <w:rFonts w:ascii="Times New Roman" w:hAnsi="Times New Roman" w:cs="Times New Roman"/>
          <w:sz w:val="22"/>
          <w:szCs w:val="22"/>
        </w:rPr>
        <w:t xml:space="preserve">arbai gali kelti tiesioginę ar netiesioginę grėsmę LITNET veiklai, Rangovas privalo iš anksto informuoti Užsakovą ir vykdyti darbus tik gavęs rašytinį </w:t>
      </w:r>
      <w:r w:rsidR="005703A0" w:rsidRPr="00042F91">
        <w:rPr>
          <w:rFonts w:ascii="Times New Roman" w:hAnsi="Times New Roman" w:cs="Times New Roman"/>
          <w:sz w:val="22"/>
          <w:szCs w:val="22"/>
        </w:rPr>
        <w:t xml:space="preserve">Statytojo </w:t>
      </w:r>
      <w:r w:rsidRPr="00042F91">
        <w:rPr>
          <w:rFonts w:ascii="Times New Roman" w:hAnsi="Times New Roman" w:cs="Times New Roman"/>
          <w:sz w:val="22"/>
          <w:szCs w:val="22"/>
        </w:rPr>
        <w:t xml:space="preserve">leidimą. Esant būtinybei, </w:t>
      </w:r>
      <w:r w:rsidR="00060582" w:rsidRPr="00042F91">
        <w:rPr>
          <w:rFonts w:ascii="Times New Roman" w:hAnsi="Times New Roman" w:cs="Times New Roman"/>
          <w:sz w:val="22"/>
          <w:szCs w:val="22"/>
        </w:rPr>
        <w:t xml:space="preserve">Rangovas privalo </w:t>
      </w:r>
      <w:r w:rsidRPr="00042F91">
        <w:rPr>
          <w:rFonts w:ascii="Times New Roman" w:hAnsi="Times New Roman" w:cs="Times New Roman"/>
          <w:sz w:val="22"/>
          <w:szCs w:val="22"/>
        </w:rPr>
        <w:t>numatyt</w:t>
      </w:r>
      <w:r w:rsidR="00060582" w:rsidRPr="00042F91">
        <w:rPr>
          <w:rFonts w:ascii="Times New Roman" w:hAnsi="Times New Roman" w:cs="Times New Roman"/>
          <w:sz w:val="22"/>
          <w:szCs w:val="22"/>
        </w:rPr>
        <w:t>i ir užtikrinti</w:t>
      </w:r>
      <w:r w:rsidRPr="00042F91">
        <w:rPr>
          <w:rFonts w:ascii="Times New Roman" w:hAnsi="Times New Roman" w:cs="Times New Roman"/>
          <w:sz w:val="22"/>
          <w:szCs w:val="22"/>
        </w:rPr>
        <w:t xml:space="preserve"> tinkamos apsaugos ar laikinos infrastruktūros sprendimų priemon</w:t>
      </w:r>
      <w:r w:rsidR="00060582" w:rsidRPr="00042F91">
        <w:rPr>
          <w:rFonts w:ascii="Times New Roman" w:hAnsi="Times New Roman" w:cs="Times New Roman"/>
          <w:sz w:val="22"/>
          <w:szCs w:val="22"/>
        </w:rPr>
        <w:t>e</w:t>
      </w:r>
      <w:r w:rsidRPr="00042F91">
        <w:rPr>
          <w:rFonts w:ascii="Times New Roman" w:hAnsi="Times New Roman" w:cs="Times New Roman"/>
          <w:sz w:val="22"/>
          <w:szCs w:val="22"/>
        </w:rPr>
        <w:t>s</w:t>
      </w:r>
      <w:r w:rsidR="00060582" w:rsidRPr="00042F91">
        <w:rPr>
          <w:rFonts w:ascii="Times New Roman" w:hAnsi="Times New Roman" w:cs="Times New Roman"/>
          <w:sz w:val="22"/>
          <w:szCs w:val="22"/>
        </w:rPr>
        <w:t xml:space="preserve"> visos Sutarties vykdymo metu</w:t>
      </w:r>
      <w:r w:rsidRPr="00042F91">
        <w:rPr>
          <w:rFonts w:ascii="Times New Roman" w:hAnsi="Times New Roman" w:cs="Times New Roman"/>
          <w:sz w:val="22"/>
          <w:szCs w:val="22"/>
        </w:rPr>
        <w:t>.</w:t>
      </w:r>
    </w:p>
    <w:p w14:paraId="1A165508" w14:textId="44E7808C"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Pastato inžinerinės sistemos yra veikiančios. Statybos darbai atliekami dalyje pastato, todėl vykdant statybos darbus reikia užtikrinti, kad nepertraukiamai veiktų pastato inžinerinės sistemos, laikomasi visų </w:t>
      </w:r>
      <w:r w:rsidR="001D6C93" w:rsidRPr="00042F91">
        <w:rPr>
          <w:rFonts w:ascii="Times New Roman" w:hAnsi="Times New Roman" w:cs="Times New Roman"/>
          <w:sz w:val="22"/>
          <w:szCs w:val="22"/>
        </w:rPr>
        <w:t>D</w:t>
      </w:r>
      <w:r w:rsidRPr="00042F91">
        <w:rPr>
          <w:rFonts w:ascii="Times New Roman" w:hAnsi="Times New Roman" w:cs="Times New Roman"/>
          <w:sz w:val="22"/>
          <w:szCs w:val="22"/>
        </w:rPr>
        <w:t xml:space="preserve">arbų saugos reikalavimų. Jei reikia, dalis ar visos sistemos turi būti perkeltos arba prijungtos prie naujai įrengiamų pastato sistemų, jeigu tai trukdo saugiai atlikti </w:t>
      </w:r>
      <w:r w:rsidR="001D6C93" w:rsidRPr="00042F91">
        <w:rPr>
          <w:rFonts w:ascii="Times New Roman" w:hAnsi="Times New Roman" w:cs="Times New Roman"/>
          <w:sz w:val="22"/>
          <w:szCs w:val="22"/>
        </w:rPr>
        <w:t>D</w:t>
      </w:r>
      <w:r w:rsidRPr="00042F91">
        <w:rPr>
          <w:rFonts w:ascii="Times New Roman" w:hAnsi="Times New Roman" w:cs="Times New Roman"/>
          <w:sz w:val="22"/>
          <w:szCs w:val="22"/>
        </w:rPr>
        <w:t xml:space="preserve">arbus. </w:t>
      </w:r>
    </w:p>
    <w:p w14:paraId="65C8D252"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 xml:space="preserve">Turės būti sutvarkytos patalpos ir atstatytos pažeistos dangos tose pastato dalyse, kuriose yra neatliekami statybos darbai, bet yra būtina pasinaudoti patalpomis norint atlikti statybos ir inžinerinių sistemų įrengimo darbus. </w:t>
      </w:r>
    </w:p>
    <w:p w14:paraId="64397964" w14:textId="77777777" w:rsidR="00CD5649" w:rsidRPr="00042F91" w:rsidRDefault="00CD5649" w:rsidP="00CD5649">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Turės būti užtikrintas saugus ir laisvas darbuotojų judėjimas tarp funkcionuojančių pastato patalpų (išskyrus atitvertas statybos darbų zonas).</w:t>
      </w:r>
    </w:p>
    <w:p w14:paraId="7E296E1D" w14:textId="77777777" w:rsidR="00CD5649" w:rsidRPr="00042F91" w:rsidRDefault="00CD5649" w:rsidP="00CD5649">
      <w:pPr>
        <w:spacing w:after="0"/>
        <w:ind w:firstLine="652"/>
        <w:jc w:val="both"/>
        <w:rPr>
          <w:rFonts w:ascii="Times New Roman" w:hAnsi="Times New Roman" w:cs="Times New Roman"/>
          <w:sz w:val="22"/>
          <w:szCs w:val="22"/>
        </w:rPr>
      </w:pPr>
    </w:p>
    <w:bookmarkEnd w:id="5"/>
    <w:p w14:paraId="1E30973D" w14:textId="01CBB1EC" w:rsidR="00CD5649" w:rsidRPr="00042F91" w:rsidRDefault="00CD5649" w:rsidP="004328AA">
      <w:pPr>
        <w:spacing w:after="0"/>
        <w:ind w:firstLine="652"/>
        <w:jc w:val="both"/>
        <w:rPr>
          <w:rFonts w:ascii="Times New Roman" w:hAnsi="Times New Roman" w:cs="Times New Roman"/>
          <w:sz w:val="22"/>
          <w:szCs w:val="22"/>
        </w:rPr>
      </w:pPr>
      <w:r w:rsidRPr="00042F91">
        <w:rPr>
          <w:rFonts w:ascii="Times New Roman" w:hAnsi="Times New Roman" w:cs="Times New Roman"/>
          <w:sz w:val="22"/>
          <w:szCs w:val="22"/>
        </w:rPr>
        <w:t>PRIDEDAMA</w:t>
      </w:r>
      <w:r w:rsidR="00D31BF1" w:rsidRPr="00042F91">
        <w:rPr>
          <w:rFonts w:ascii="Times New Roman" w:hAnsi="Times New Roman" w:cs="Times New Roman"/>
          <w:sz w:val="22"/>
          <w:szCs w:val="22"/>
        </w:rPr>
        <w:t xml:space="preserve">. </w:t>
      </w:r>
      <w:r w:rsidRPr="00042F91">
        <w:rPr>
          <w:rFonts w:ascii="Times New Roman" w:hAnsi="Times New Roman" w:cs="Times New Roman"/>
          <w:sz w:val="22"/>
          <w:szCs w:val="22"/>
        </w:rPr>
        <w:t xml:space="preserve">Techninis projektas. </w:t>
      </w:r>
    </w:p>
    <w:p w14:paraId="452AE260" w14:textId="77777777" w:rsidR="00CD5649" w:rsidRPr="00042F91" w:rsidRDefault="00CD5649">
      <w:pPr>
        <w:rPr>
          <w:sz w:val="22"/>
          <w:szCs w:val="22"/>
        </w:rPr>
      </w:pPr>
    </w:p>
    <w:sectPr w:rsidR="00CD5649" w:rsidRPr="00042F91" w:rsidSect="009B1F7A">
      <w:footerReference w:type="default" r:id="rId10"/>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2105" w14:textId="77777777" w:rsidR="00845E7E" w:rsidRDefault="00845E7E" w:rsidP="00873004">
      <w:pPr>
        <w:spacing w:after="0" w:line="240" w:lineRule="auto"/>
      </w:pPr>
      <w:r>
        <w:separator/>
      </w:r>
    </w:p>
  </w:endnote>
  <w:endnote w:type="continuationSeparator" w:id="0">
    <w:p w14:paraId="51E95365" w14:textId="77777777" w:rsidR="00845E7E" w:rsidRDefault="00845E7E" w:rsidP="008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37948"/>
      <w:docPartObj>
        <w:docPartGallery w:val="Page Numbers (Bottom of Page)"/>
        <w:docPartUnique/>
      </w:docPartObj>
    </w:sdtPr>
    <w:sdtContent>
      <w:p w14:paraId="1F5ED1BF" w14:textId="2D55F4E4" w:rsidR="00873004" w:rsidRDefault="00873004">
        <w:pPr>
          <w:pStyle w:val="Footer"/>
          <w:jc w:val="right"/>
        </w:pPr>
        <w:r>
          <w:fldChar w:fldCharType="begin"/>
        </w:r>
        <w:r>
          <w:instrText>PAGE   \* MERGEFORMAT</w:instrText>
        </w:r>
        <w:r>
          <w:fldChar w:fldCharType="separate"/>
        </w:r>
        <w:r>
          <w:t>2</w:t>
        </w:r>
        <w:r>
          <w:fldChar w:fldCharType="end"/>
        </w:r>
      </w:p>
    </w:sdtContent>
  </w:sdt>
  <w:p w14:paraId="4B2761A0" w14:textId="77777777" w:rsidR="00873004" w:rsidRDefault="0087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F947" w14:textId="77777777" w:rsidR="00845E7E" w:rsidRDefault="00845E7E" w:rsidP="00873004">
      <w:pPr>
        <w:spacing w:after="0" w:line="240" w:lineRule="auto"/>
      </w:pPr>
      <w:r>
        <w:separator/>
      </w:r>
    </w:p>
  </w:footnote>
  <w:footnote w:type="continuationSeparator" w:id="0">
    <w:p w14:paraId="4E529BDF" w14:textId="77777777" w:rsidR="00845E7E" w:rsidRDefault="00845E7E" w:rsidP="00873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430"/>
    <w:multiLevelType w:val="hybridMultilevel"/>
    <w:tmpl w:val="95D216C0"/>
    <w:lvl w:ilvl="0" w:tplc="3904E0A8">
      <w:start w:val="1"/>
      <w:numFmt w:val="decimal"/>
      <w:lvlText w:val="%1)"/>
      <w:lvlJc w:val="left"/>
      <w:pPr>
        <w:ind w:left="720" w:hanging="360"/>
      </w:pPr>
    </w:lvl>
    <w:lvl w:ilvl="1" w:tplc="48E86330">
      <w:start w:val="1"/>
      <w:numFmt w:val="decimal"/>
      <w:lvlText w:val="%2)"/>
      <w:lvlJc w:val="left"/>
      <w:pPr>
        <w:ind w:left="720" w:hanging="360"/>
      </w:pPr>
    </w:lvl>
    <w:lvl w:ilvl="2" w:tplc="89B68EBC">
      <w:start w:val="1"/>
      <w:numFmt w:val="decimal"/>
      <w:lvlText w:val="%3)"/>
      <w:lvlJc w:val="left"/>
      <w:pPr>
        <w:ind w:left="720" w:hanging="360"/>
      </w:pPr>
    </w:lvl>
    <w:lvl w:ilvl="3" w:tplc="50286FD4">
      <w:start w:val="1"/>
      <w:numFmt w:val="decimal"/>
      <w:lvlText w:val="%4)"/>
      <w:lvlJc w:val="left"/>
      <w:pPr>
        <w:ind w:left="720" w:hanging="360"/>
      </w:pPr>
    </w:lvl>
    <w:lvl w:ilvl="4" w:tplc="BA560396">
      <w:start w:val="1"/>
      <w:numFmt w:val="decimal"/>
      <w:lvlText w:val="%5)"/>
      <w:lvlJc w:val="left"/>
      <w:pPr>
        <w:ind w:left="720" w:hanging="360"/>
      </w:pPr>
    </w:lvl>
    <w:lvl w:ilvl="5" w:tplc="0254CD88">
      <w:start w:val="1"/>
      <w:numFmt w:val="decimal"/>
      <w:lvlText w:val="%6)"/>
      <w:lvlJc w:val="left"/>
      <w:pPr>
        <w:ind w:left="720" w:hanging="360"/>
      </w:pPr>
    </w:lvl>
    <w:lvl w:ilvl="6" w:tplc="78D292D8">
      <w:start w:val="1"/>
      <w:numFmt w:val="decimal"/>
      <w:lvlText w:val="%7)"/>
      <w:lvlJc w:val="left"/>
      <w:pPr>
        <w:ind w:left="720" w:hanging="360"/>
      </w:pPr>
    </w:lvl>
    <w:lvl w:ilvl="7" w:tplc="E5D4AC34">
      <w:start w:val="1"/>
      <w:numFmt w:val="decimal"/>
      <w:lvlText w:val="%8)"/>
      <w:lvlJc w:val="left"/>
      <w:pPr>
        <w:ind w:left="720" w:hanging="360"/>
      </w:pPr>
    </w:lvl>
    <w:lvl w:ilvl="8" w:tplc="BA9A51B8">
      <w:start w:val="1"/>
      <w:numFmt w:val="decimal"/>
      <w:lvlText w:val="%9)"/>
      <w:lvlJc w:val="left"/>
      <w:pPr>
        <w:ind w:left="720" w:hanging="360"/>
      </w:pPr>
    </w:lvl>
  </w:abstractNum>
  <w:abstractNum w:abstractNumId="1" w15:restartNumberingAfterBreak="0">
    <w:nsid w:val="0C666603"/>
    <w:multiLevelType w:val="hybridMultilevel"/>
    <w:tmpl w:val="C186E8CA"/>
    <w:lvl w:ilvl="0" w:tplc="435466D6">
      <w:start w:val="1"/>
      <w:numFmt w:val="decimal"/>
      <w:lvlText w:val="%1)"/>
      <w:lvlJc w:val="left"/>
      <w:pPr>
        <w:ind w:left="720" w:hanging="360"/>
      </w:pPr>
    </w:lvl>
    <w:lvl w:ilvl="1" w:tplc="A58A3D48">
      <w:start w:val="1"/>
      <w:numFmt w:val="decimal"/>
      <w:lvlText w:val="%2)"/>
      <w:lvlJc w:val="left"/>
      <w:pPr>
        <w:ind w:left="720" w:hanging="360"/>
      </w:pPr>
    </w:lvl>
    <w:lvl w:ilvl="2" w:tplc="776E2A56">
      <w:start w:val="1"/>
      <w:numFmt w:val="decimal"/>
      <w:lvlText w:val="%3)"/>
      <w:lvlJc w:val="left"/>
      <w:pPr>
        <w:ind w:left="720" w:hanging="360"/>
      </w:pPr>
    </w:lvl>
    <w:lvl w:ilvl="3" w:tplc="72627EC0">
      <w:start w:val="1"/>
      <w:numFmt w:val="decimal"/>
      <w:lvlText w:val="%4)"/>
      <w:lvlJc w:val="left"/>
      <w:pPr>
        <w:ind w:left="720" w:hanging="360"/>
      </w:pPr>
    </w:lvl>
    <w:lvl w:ilvl="4" w:tplc="F9061200">
      <w:start w:val="1"/>
      <w:numFmt w:val="decimal"/>
      <w:lvlText w:val="%5)"/>
      <w:lvlJc w:val="left"/>
      <w:pPr>
        <w:ind w:left="720" w:hanging="360"/>
      </w:pPr>
    </w:lvl>
    <w:lvl w:ilvl="5" w:tplc="EF260BEA">
      <w:start w:val="1"/>
      <w:numFmt w:val="decimal"/>
      <w:lvlText w:val="%6)"/>
      <w:lvlJc w:val="left"/>
      <w:pPr>
        <w:ind w:left="720" w:hanging="360"/>
      </w:pPr>
    </w:lvl>
    <w:lvl w:ilvl="6" w:tplc="60B472D0">
      <w:start w:val="1"/>
      <w:numFmt w:val="decimal"/>
      <w:lvlText w:val="%7)"/>
      <w:lvlJc w:val="left"/>
      <w:pPr>
        <w:ind w:left="720" w:hanging="360"/>
      </w:pPr>
    </w:lvl>
    <w:lvl w:ilvl="7" w:tplc="1F52FE88">
      <w:start w:val="1"/>
      <w:numFmt w:val="decimal"/>
      <w:lvlText w:val="%8)"/>
      <w:lvlJc w:val="left"/>
      <w:pPr>
        <w:ind w:left="720" w:hanging="360"/>
      </w:pPr>
    </w:lvl>
    <w:lvl w:ilvl="8" w:tplc="2F148DC2">
      <w:start w:val="1"/>
      <w:numFmt w:val="decimal"/>
      <w:lvlText w:val="%9)"/>
      <w:lvlJc w:val="left"/>
      <w:pPr>
        <w:ind w:left="720" w:hanging="360"/>
      </w:pPr>
    </w:lvl>
  </w:abstractNum>
  <w:abstractNum w:abstractNumId="2" w15:restartNumberingAfterBreak="0">
    <w:nsid w:val="1F2F0456"/>
    <w:multiLevelType w:val="hybridMultilevel"/>
    <w:tmpl w:val="DF38ECB2"/>
    <w:lvl w:ilvl="0" w:tplc="A64AD488">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3" w15:restartNumberingAfterBreak="0">
    <w:nsid w:val="7AD91CF2"/>
    <w:multiLevelType w:val="hybridMultilevel"/>
    <w:tmpl w:val="58AE81AC"/>
    <w:lvl w:ilvl="0" w:tplc="BC7218D8">
      <w:numFmt w:val="bullet"/>
      <w:lvlText w:val="-"/>
      <w:lvlJc w:val="left"/>
      <w:pPr>
        <w:ind w:left="1012" w:hanging="360"/>
      </w:pPr>
      <w:rPr>
        <w:rFonts w:ascii="Times New Roman" w:eastAsiaTheme="minorEastAsia"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7E350CF5"/>
    <w:multiLevelType w:val="hybridMultilevel"/>
    <w:tmpl w:val="9F76ED48"/>
    <w:lvl w:ilvl="0" w:tplc="9F5AAACC">
      <w:start w:val="1"/>
      <w:numFmt w:val="lowerRoman"/>
      <w:lvlText w:val="%1)"/>
      <w:lvlJc w:val="right"/>
      <w:pPr>
        <w:ind w:left="1020" w:hanging="360"/>
      </w:pPr>
    </w:lvl>
    <w:lvl w:ilvl="1" w:tplc="BEEE352A">
      <w:start w:val="1"/>
      <w:numFmt w:val="lowerRoman"/>
      <w:lvlText w:val="%2)"/>
      <w:lvlJc w:val="right"/>
      <w:pPr>
        <w:ind w:left="1020" w:hanging="360"/>
      </w:pPr>
    </w:lvl>
    <w:lvl w:ilvl="2" w:tplc="1EAAD308">
      <w:start w:val="1"/>
      <w:numFmt w:val="lowerRoman"/>
      <w:lvlText w:val="%3)"/>
      <w:lvlJc w:val="right"/>
      <w:pPr>
        <w:ind w:left="1020" w:hanging="360"/>
      </w:pPr>
    </w:lvl>
    <w:lvl w:ilvl="3" w:tplc="947E429C">
      <w:start w:val="1"/>
      <w:numFmt w:val="lowerRoman"/>
      <w:lvlText w:val="%4)"/>
      <w:lvlJc w:val="right"/>
      <w:pPr>
        <w:ind w:left="1020" w:hanging="360"/>
      </w:pPr>
    </w:lvl>
    <w:lvl w:ilvl="4" w:tplc="CA2A5528">
      <w:start w:val="1"/>
      <w:numFmt w:val="lowerRoman"/>
      <w:lvlText w:val="%5)"/>
      <w:lvlJc w:val="right"/>
      <w:pPr>
        <w:ind w:left="1020" w:hanging="360"/>
      </w:pPr>
    </w:lvl>
    <w:lvl w:ilvl="5" w:tplc="3D3ED97E">
      <w:start w:val="1"/>
      <w:numFmt w:val="lowerRoman"/>
      <w:lvlText w:val="%6)"/>
      <w:lvlJc w:val="right"/>
      <w:pPr>
        <w:ind w:left="1020" w:hanging="360"/>
      </w:pPr>
    </w:lvl>
    <w:lvl w:ilvl="6" w:tplc="42647A5A">
      <w:start w:val="1"/>
      <w:numFmt w:val="lowerRoman"/>
      <w:lvlText w:val="%7)"/>
      <w:lvlJc w:val="right"/>
      <w:pPr>
        <w:ind w:left="1020" w:hanging="360"/>
      </w:pPr>
    </w:lvl>
    <w:lvl w:ilvl="7" w:tplc="63FC0EE4">
      <w:start w:val="1"/>
      <w:numFmt w:val="lowerRoman"/>
      <w:lvlText w:val="%8)"/>
      <w:lvlJc w:val="right"/>
      <w:pPr>
        <w:ind w:left="1020" w:hanging="360"/>
      </w:pPr>
    </w:lvl>
    <w:lvl w:ilvl="8" w:tplc="C5FCEB0A">
      <w:start w:val="1"/>
      <w:numFmt w:val="lowerRoman"/>
      <w:lvlText w:val="%9)"/>
      <w:lvlJc w:val="right"/>
      <w:pPr>
        <w:ind w:left="1020" w:hanging="360"/>
      </w:pPr>
    </w:lvl>
  </w:abstractNum>
  <w:num w:numId="1" w16cid:durableId="2144494854">
    <w:abstractNumId w:val="2"/>
  </w:num>
  <w:num w:numId="2" w16cid:durableId="754519860">
    <w:abstractNumId w:val="3"/>
  </w:num>
  <w:num w:numId="3" w16cid:durableId="1267687274">
    <w:abstractNumId w:val="0"/>
  </w:num>
  <w:num w:numId="4" w16cid:durableId="2010407393">
    <w:abstractNumId w:val="1"/>
  </w:num>
  <w:num w:numId="5" w16cid:durableId="1121729682">
    <w:abstractNumId w:val="4"/>
  </w:num>
  <w:num w:numId="6" w16cid:durableId="100775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9"/>
    <w:rsid w:val="0000361C"/>
    <w:rsid w:val="00003FBF"/>
    <w:rsid w:val="0001050A"/>
    <w:rsid w:val="00013D5C"/>
    <w:rsid w:val="00025CA6"/>
    <w:rsid w:val="0002684F"/>
    <w:rsid w:val="00036906"/>
    <w:rsid w:val="00042F91"/>
    <w:rsid w:val="00050CD1"/>
    <w:rsid w:val="00060582"/>
    <w:rsid w:val="00077A01"/>
    <w:rsid w:val="00077FA5"/>
    <w:rsid w:val="0008280B"/>
    <w:rsid w:val="000A0745"/>
    <w:rsid w:val="000A397E"/>
    <w:rsid w:val="000B2637"/>
    <w:rsid w:val="000C38B6"/>
    <w:rsid w:val="000C66BC"/>
    <w:rsid w:val="000F097B"/>
    <w:rsid w:val="000F3D72"/>
    <w:rsid w:val="000F489B"/>
    <w:rsid w:val="00116460"/>
    <w:rsid w:val="001218AA"/>
    <w:rsid w:val="001451B5"/>
    <w:rsid w:val="00154AC4"/>
    <w:rsid w:val="001712BC"/>
    <w:rsid w:val="0017549E"/>
    <w:rsid w:val="00180389"/>
    <w:rsid w:val="00187B53"/>
    <w:rsid w:val="001902CA"/>
    <w:rsid w:val="001A0586"/>
    <w:rsid w:val="001B5C72"/>
    <w:rsid w:val="001C52F6"/>
    <w:rsid w:val="001C705F"/>
    <w:rsid w:val="001D6C93"/>
    <w:rsid w:val="001F38D2"/>
    <w:rsid w:val="001F7A14"/>
    <w:rsid w:val="002216E6"/>
    <w:rsid w:val="00225C00"/>
    <w:rsid w:val="00234734"/>
    <w:rsid w:val="00235C0B"/>
    <w:rsid w:val="00242923"/>
    <w:rsid w:val="00253642"/>
    <w:rsid w:val="00256A51"/>
    <w:rsid w:val="00263185"/>
    <w:rsid w:val="00263943"/>
    <w:rsid w:val="00281D63"/>
    <w:rsid w:val="002909F7"/>
    <w:rsid w:val="002B5904"/>
    <w:rsid w:val="002D17F0"/>
    <w:rsid w:val="002D2EBB"/>
    <w:rsid w:val="002E5AFF"/>
    <w:rsid w:val="002F5F8E"/>
    <w:rsid w:val="002F6EF1"/>
    <w:rsid w:val="003006C6"/>
    <w:rsid w:val="00301AC1"/>
    <w:rsid w:val="00310329"/>
    <w:rsid w:val="0031185B"/>
    <w:rsid w:val="003135E1"/>
    <w:rsid w:val="00313722"/>
    <w:rsid w:val="00314CD0"/>
    <w:rsid w:val="00373726"/>
    <w:rsid w:val="00375330"/>
    <w:rsid w:val="00391480"/>
    <w:rsid w:val="003A0C4A"/>
    <w:rsid w:val="003D47D0"/>
    <w:rsid w:val="003E0694"/>
    <w:rsid w:val="003E5362"/>
    <w:rsid w:val="003E6E4B"/>
    <w:rsid w:val="003F7B44"/>
    <w:rsid w:val="00412BFA"/>
    <w:rsid w:val="004328AA"/>
    <w:rsid w:val="0046170B"/>
    <w:rsid w:val="00464BCC"/>
    <w:rsid w:val="004739AB"/>
    <w:rsid w:val="00497DEB"/>
    <w:rsid w:val="004A6817"/>
    <w:rsid w:val="004B382D"/>
    <w:rsid w:val="004B3EE9"/>
    <w:rsid w:val="004D1E76"/>
    <w:rsid w:val="004E3160"/>
    <w:rsid w:val="004F10F6"/>
    <w:rsid w:val="004F7458"/>
    <w:rsid w:val="004F7EEE"/>
    <w:rsid w:val="005124AA"/>
    <w:rsid w:val="0051657C"/>
    <w:rsid w:val="005166C2"/>
    <w:rsid w:val="00516763"/>
    <w:rsid w:val="005304C4"/>
    <w:rsid w:val="00532B12"/>
    <w:rsid w:val="00537B36"/>
    <w:rsid w:val="00542AA2"/>
    <w:rsid w:val="005703A0"/>
    <w:rsid w:val="0058259E"/>
    <w:rsid w:val="00586DD9"/>
    <w:rsid w:val="00596C4C"/>
    <w:rsid w:val="005A2E05"/>
    <w:rsid w:val="005E70A8"/>
    <w:rsid w:val="00625D9B"/>
    <w:rsid w:val="00651CBA"/>
    <w:rsid w:val="00652021"/>
    <w:rsid w:val="00662B28"/>
    <w:rsid w:val="00674E19"/>
    <w:rsid w:val="00675A73"/>
    <w:rsid w:val="006774B3"/>
    <w:rsid w:val="00682324"/>
    <w:rsid w:val="006A2B61"/>
    <w:rsid w:val="006A305D"/>
    <w:rsid w:val="006A7158"/>
    <w:rsid w:val="006C71B5"/>
    <w:rsid w:val="006D105F"/>
    <w:rsid w:val="006D3C92"/>
    <w:rsid w:val="006D74F1"/>
    <w:rsid w:val="006E45CA"/>
    <w:rsid w:val="006E6E45"/>
    <w:rsid w:val="006F1BD7"/>
    <w:rsid w:val="006F1F85"/>
    <w:rsid w:val="006F463C"/>
    <w:rsid w:val="006F7F1E"/>
    <w:rsid w:val="0070192A"/>
    <w:rsid w:val="00724A31"/>
    <w:rsid w:val="00730200"/>
    <w:rsid w:val="0076073E"/>
    <w:rsid w:val="00776757"/>
    <w:rsid w:val="0079494C"/>
    <w:rsid w:val="00796530"/>
    <w:rsid w:val="007A5E69"/>
    <w:rsid w:val="007A7AE9"/>
    <w:rsid w:val="007B20E5"/>
    <w:rsid w:val="007B3BAA"/>
    <w:rsid w:val="007D05B2"/>
    <w:rsid w:val="007D4439"/>
    <w:rsid w:val="007D47D3"/>
    <w:rsid w:val="007E5EB9"/>
    <w:rsid w:val="007F320C"/>
    <w:rsid w:val="00803B30"/>
    <w:rsid w:val="00805224"/>
    <w:rsid w:val="00817A59"/>
    <w:rsid w:val="008351D8"/>
    <w:rsid w:val="00842B2F"/>
    <w:rsid w:val="008430CE"/>
    <w:rsid w:val="00845E7E"/>
    <w:rsid w:val="00867C91"/>
    <w:rsid w:val="008710AA"/>
    <w:rsid w:val="00873004"/>
    <w:rsid w:val="0088010E"/>
    <w:rsid w:val="00882143"/>
    <w:rsid w:val="00892DBF"/>
    <w:rsid w:val="00896E1D"/>
    <w:rsid w:val="008B0970"/>
    <w:rsid w:val="008C07D3"/>
    <w:rsid w:val="008C312C"/>
    <w:rsid w:val="008D1178"/>
    <w:rsid w:val="008E46CC"/>
    <w:rsid w:val="009027F4"/>
    <w:rsid w:val="00903CE5"/>
    <w:rsid w:val="00911AB9"/>
    <w:rsid w:val="009136DE"/>
    <w:rsid w:val="00917A0B"/>
    <w:rsid w:val="00920036"/>
    <w:rsid w:val="00922040"/>
    <w:rsid w:val="00927341"/>
    <w:rsid w:val="00930440"/>
    <w:rsid w:val="00933BA7"/>
    <w:rsid w:val="00941E35"/>
    <w:rsid w:val="00961611"/>
    <w:rsid w:val="00964F99"/>
    <w:rsid w:val="00973F2D"/>
    <w:rsid w:val="00983A12"/>
    <w:rsid w:val="009A42F3"/>
    <w:rsid w:val="009A5842"/>
    <w:rsid w:val="009B1F7A"/>
    <w:rsid w:val="009B355D"/>
    <w:rsid w:val="009C798C"/>
    <w:rsid w:val="009D463A"/>
    <w:rsid w:val="009E7322"/>
    <w:rsid w:val="009F531A"/>
    <w:rsid w:val="00A106EB"/>
    <w:rsid w:val="00A1555B"/>
    <w:rsid w:val="00A1724E"/>
    <w:rsid w:val="00A22959"/>
    <w:rsid w:val="00A22A7D"/>
    <w:rsid w:val="00A36420"/>
    <w:rsid w:val="00A3647E"/>
    <w:rsid w:val="00A50396"/>
    <w:rsid w:val="00A602FD"/>
    <w:rsid w:val="00A60B0B"/>
    <w:rsid w:val="00A664C7"/>
    <w:rsid w:val="00A85D78"/>
    <w:rsid w:val="00A92250"/>
    <w:rsid w:val="00AC6DED"/>
    <w:rsid w:val="00B00804"/>
    <w:rsid w:val="00B02AB4"/>
    <w:rsid w:val="00B06286"/>
    <w:rsid w:val="00B129E0"/>
    <w:rsid w:val="00B256D2"/>
    <w:rsid w:val="00B330D7"/>
    <w:rsid w:val="00B35A71"/>
    <w:rsid w:val="00B4522E"/>
    <w:rsid w:val="00BA1043"/>
    <w:rsid w:val="00BE652B"/>
    <w:rsid w:val="00BF0D2B"/>
    <w:rsid w:val="00C11261"/>
    <w:rsid w:val="00C11C8E"/>
    <w:rsid w:val="00C1340A"/>
    <w:rsid w:val="00C541C7"/>
    <w:rsid w:val="00C54290"/>
    <w:rsid w:val="00C547C3"/>
    <w:rsid w:val="00C600D8"/>
    <w:rsid w:val="00C61A15"/>
    <w:rsid w:val="00C62074"/>
    <w:rsid w:val="00C641C4"/>
    <w:rsid w:val="00C8587C"/>
    <w:rsid w:val="00C93462"/>
    <w:rsid w:val="00CB352F"/>
    <w:rsid w:val="00CD4DA7"/>
    <w:rsid w:val="00CD5649"/>
    <w:rsid w:val="00CD60DF"/>
    <w:rsid w:val="00CE200A"/>
    <w:rsid w:val="00D06864"/>
    <w:rsid w:val="00D06C31"/>
    <w:rsid w:val="00D23008"/>
    <w:rsid w:val="00D25369"/>
    <w:rsid w:val="00D31BF1"/>
    <w:rsid w:val="00D47A85"/>
    <w:rsid w:val="00D86214"/>
    <w:rsid w:val="00DA10E7"/>
    <w:rsid w:val="00DA6290"/>
    <w:rsid w:val="00DB2D69"/>
    <w:rsid w:val="00DB3B51"/>
    <w:rsid w:val="00DB5AD2"/>
    <w:rsid w:val="00DC6084"/>
    <w:rsid w:val="00DD3041"/>
    <w:rsid w:val="00DD4784"/>
    <w:rsid w:val="00DE52B3"/>
    <w:rsid w:val="00DE69E3"/>
    <w:rsid w:val="00DF23AD"/>
    <w:rsid w:val="00DF3846"/>
    <w:rsid w:val="00DF45F4"/>
    <w:rsid w:val="00E03819"/>
    <w:rsid w:val="00E04B89"/>
    <w:rsid w:val="00E113A0"/>
    <w:rsid w:val="00E16407"/>
    <w:rsid w:val="00E213F4"/>
    <w:rsid w:val="00E30482"/>
    <w:rsid w:val="00E55D7C"/>
    <w:rsid w:val="00E65F79"/>
    <w:rsid w:val="00E736FF"/>
    <w:rsid w:val="00E87343"/>
    <w:rsid w:val="00E94FAA"/>
    <w:rsid w:val="00EA5C3F"/>
    <w:rsid w:val="00EA5C58"/>
    <w:rsid w:val="00EC5763"/>
    <w:rsid w:val="00ED2BFD"/>
    <w:rsid w:val="00ED32A0"/>
    <w:rsid w:val="00ED70B1"/>
    <w:rsid w:val="00F203EE"/>
    <w:rsid w:val="00F20E3F"/>
    <w:rsid w:val="00F4469D"/>
    <w:rsid w:val="00F63BDF"/>
    <w:rsid w:val="00F71173"/>
    <w:rsid w:val="00F7278E"/>
    <w:rsid w:val="00F775AB"/>
    <w:rsid w:val="00F87545"/>
    <w:rsid w:val="00F970BF"/>
    <w:rsid w:val="00FC0C66"/>
    <w:rsid w:val="00FC1EE7"/>
    <w:rsid w:val="00FC37ED"/>
    <w:rsid w:val="00FC64EC"/>
    <w:rsid w:val="00FE1766"/>
    <w:rsid w:val="00FE2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162"/>
  <w15:chartTrackingRefBased/>
  <w15:docId w15:val="{568CFCAA-F1B6-499A-A71B-30EA0635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49"/>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CD5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CD5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49"/>
    <w:rPr>
      <w:rFonts w:eastAsiaTheme="majorEastAsia" w:cstheme="majorBidi"/>
      <w:color w:val="272727" w:themeColor="text1" w:themeTint="D8"/>
    </w:rPr>
  </w:style>
  <w:style w:type="paragraph" w:styleId="Title">
    <w:name w:val="Title"/>
    <w:basedOn w:val="Normal"/>
    <w:next w:val="Normal"/>
    <w:link w:val="TitleChar"/>
    <w:uiPriority w:val="10"/>
    <w:qFormat/>
    <w:rsid w:val="00CD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49"/>
    <w:pPr>
      <w:spacing w:before="160"/>
      <w:jc w:val="center"/>
    </w:pPr>
    <w:rPr>
      <w:i/>
      <w:iCs/>
      <w:color w:val="404040" w:themeColor="text1" w:themeTint="BF"/>
    </w:rPr>
  </w:style>
  <w:style w:type="character" w:customStyle="1" w:styleId="QuoteChar">
    <w:name w:val="Quote Char"/>
    <w:basedOn w:val="DefaultParagraphFont"/>
    <w:link w:val="Quote"/>
    <w:uiPriority w:val="29"/>
    <w:rsid w:val="00CD564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D5649"/>
    <w:pPr>
      <w:ind w:left="720"/>
      <w:contextualSpacing/>
    </w:pPr>
  </w:style>
  <w:style w:type="character" w:styleId="IntenseEmphasis">
    <w:name w:val="Intense Emphasis"/>
    <w:basedOn w:val="DefaultParagraphFont"/>
    <w:uiPriority w:val="21"/>
    <w:qFormat/>
    <w:rsid w:val="00CD5649"/>
    <w:rPr>
      <w:i/>
      <w:iCs/>
      <w:color w:val="0F4761" w:themeColor="accent1" w:themeShade="BF"/>
    </w:rPr>
  </w:style>
  <w:style w:type="paragraph" w:styleId="IntenseQuote">
    <w:name w:val="Intense Quote"/>
    <w:basedOn w:val="Normal"/>
    <w:next w:val="Normal"/>
    <w:link w:val="IntenseQuoteChar"/>
    <w:uiPriority w:val="30"/>
    <w:qFormat/>
    <w:rsid w:val="00CD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649"/>
    <w:rPr>
      <w:i/>
      <w:iCs/>
      <w:color w:val="0F4761" w:themeColor="accent1" w:themeShade="BF"/>
    </w:rPr>
  </w:style>
  <w:style w:type="character" w:styleId="IntenseReference">
    <w:name w:val="Intense Reference"/>
    <w:basedOn w:val="DefaultParagraphFont"/>
    <w:uiPriority w:val="32"/>
    <w:qFormat/>
    <w:rsid w:val="00CD5649"/>
    <w:rPr>
      <w:b/>
      <w:bCs/>
      <w:smallCaps/>
      <w:color w:val="0F4761" w:themeColor="accent1" w:themeShade="BF"/>
      <w:spacing w:val="5"/>
    </w:rPr>
  </w:style>
  <w:style w:type="paragraph" w:styleId="CommentText">
    <w:name w:val="annotation text"/>
    <w:basedOn w:val="Normal"/>
    <w:link w:val="CommentTextChar"/>
    <w:uiPriority w:val="99"/>
    <w:unhideWhenUsed/>
    <w:rsid w:val="00CD5649"/>
    <w:rPr>
      <w:sz w:val="20"/>
      <w:szCs w:val="20"/>
    </w:rPr>
  </w:style>
  <w:style w:type="character" w:customStyle="1" w:styleId="CommentTextChar">
    <w:name w:val="Comment Text Char"/>
    <w:basedOn w:val="DefaultParagraphFont"/>
    <w:link w:val="CommentText"/>
    <w:uiPriority w:val="99"/>
    <w:rsid w:val="00CD564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D5649"/>
  </w:style>
  <w:style w:type="character" w:styleId="CommentReference">
    <w:name w:val="annotation reference"/>
    <w:basedOn w:val="DefaultParagraphFont"/>
    <w:uiPriority w:val="99"/>
    <w:unhideWhenUsed/>
    <w:qFormat/>
    <w:rsid w:val="00CD5649"/>
    <w:rPr>
      <w:sz w:val="16"/>
      <w:szCs w:val="16"/>
    </w:rPr>
  </w:style>
  <w:style w:type="table" w:styleId="TableGrid">
    <w:name w:val="Table Grid"/>
    <w:basedOn w:val="TableNormal"/>
    <w:uiPriority w:val="39"/>
    <w:rsid w:val="00CD56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3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004"/>
    <w:rPr>
      <w:rFonts w:eastAsiaTheme="minorEastAsia"/>
      <w:kern w:val="0"/>
      <w:sz w:val="21"/>
      <w:szCs w:val="21"/>
      <w:lang w:eastAsia="lt-LT"/>
      <w14:ligatures w14:val="none"/>
    </w:rPr>
  </w:style>
  <w:style w:type="paragraph" w:styleId="Footer">
    <w:name w:val="footer"/>
    <w:basedOn w:val="Normal"/>
    <w:link w:val="FooterChar"/>
    <w:uiPriority w:val="99"/>
    <w:unhideWhenUsed/>
    <w:rsid w:val="00873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004"/>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B02AB4"/>
    <w:pPr>
      <w:spacing w:line="240" w:lineRule="auto"/>
    </w:pPr>
    <w:rPr>
      <w:b/>
      <w:bCs/>
    </w:rPr>
  </w:style>
  <w:style w:type="character" w:customStyle="1" w:styleId="CommentSubjectChar">
    <w:name w:val="Comment Subject Char"/>
    <w:basedOn w:val="CommentTextChar"/>
    <w:link w:val="CommentSubject"/>
    <w:uiPriority w:val="99"/>
    <w:semiHidden/>
    <w:rsid w:val="00B02AB4"/>
    <w:rPr>
      <w:rFonts w:eastAsiaTheme="minorEastAsia"/>
      <w:b/>
      <w:bCs/>
      <w:kern w:val="0"/>
      <w:sz w:val="20"/>
      <w:szCs w:val="20"/>
      <w:lang w:eastAsia="lt-LT"/>
      <w14:ligatures w14:val="none"/>
    </w:rPr>
  </w:style>
  <w:style w:type="paragraph" w:styleId="Revision">
    <w:name w:val="Revision"/>
    <w:hidden/>
    <w:uiPriority w:val="99"/>
    <w:semiHidden/>
    <w:rsid w:val="00B02AB4"/>
    <w:pPr>
      <w:spacing w:after="0" w:line="240" w:lineRule="auto"/>
    </w:pPr>
    <w:rPr>
      <w:rFonts w:eastAsiaTheme="minorEastAsia"/>
      <w:kern w:val="0"/>
      <w:sz w:val="21"/>
      <w:szCs w:val="21"/>
      <w:lang w:eastAsia="lt-LT"/>
      <w14:ligatures w14:val="none"/>
    </w:rPr>
  </w:style>
  <w:style w:type="character" w:customStyle="1" w:styleId="cf01">
    <w:name w:val="cf01"/>
    <w:basedOn w:val="DefaultParagraphFont"/>
    <w:rsid w:val="00D23008"/>
    <w:rPr>
      <w:rFonts w:ascii="Segoe UI" w:hAnsi="Segoe UI" w:cs="Segoe UI" w:hint="default"/>
      <w:sz w:val="18"/>
      <w:szCs w:val="18"/>
    </w:rPr>
  </w:style>
  <w:style w:type="character" w:styleId="Hyperlink">
    <w:name w:val="Hyperlink"/>
    <w:basedOn w:val="DefaultParagraphFont"/>
    <w:uiPriority w:val="99"/>
    <w:unhideWhenUsed/>
    <w:rsid w:val="001B5C72"/>
    <w:rPr>
      <w:color w:val="467886" w:themeColor="hyperlink"/>
      <w:u w:val="single"/>
    </w:rPr>
  </w:style>
  <w:style w:type="character" w:styleId="UnresolvedMention">
    <w:name w:val="Unresolved Mention"/>
    <w:basedOn w:val="DefaultParagraphFont"/>
    <w:uiPriority w:val="99"/>
    <w:semiHidden/>
    <w:unhideWhenUsed/>
    <w:rsid w:val="001B5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39DAB-EB6D-4D90-B4EB-2084E093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F5FBA7-170D-4C9A-ACFA-1DC9AC4553FF}">
  <ds:schemaRefs>
    <ds:schemaRef ds:uri="http://schemas.microsoft.com/sharepoint/v3/contenttype/forms"/>
  </ds:schemaRefs>
</ds:datastoreItem>
</file>

<file path=customXml/itemProps3.xml><?xml version="1.0" encoding="utf-8"?>
<ds:datastoreItem xmlns:ds="http://schemas.openxmlformats.org/officeDocument/2006/customXml" ds:itemID="{F7753888-5CFB-41AB-BED5-37DD7B859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7814</Words>
  <Characters>4454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2</cp:revision>
  <dcterms:created xsi:type="dcterms:W3CDTF">2025-07-24T08:14:00Z</dcterms:created>
  <dcterms:modified xsi:type="dcterms:W3CDTF">2025-07-24T08:14:00Z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