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BE9E" w14:textId="77777777" w:rsidR="004147CF" w:rsidRPr="00861445"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9BEB971" w14:textId="6FC05B9A" w:rsidR="004147CF" w:rsidRPr="00E52C9C"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99195F">
        <w:rPr>
          <w:rFonts w:eastAsia="Calibri"/>
          <w:sz w:val="22"/>
          <w:szCs w:val="22"/>
          <w:bdr w:val="none" w:sz="0" w:space="0" w:color="auto" w:frame="1"/>
          <w:lang w:val="lt-LT"/>
        </w:rPr>
        <w:t>protokolu</w:t>
      </w: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E11909">
          <w:rPr>
            <w:rStyle w:val="Hyperlink"/>
            <w:lang w:val="lt-LT"/>
          </w:rPr>
          <w:t>https://viesiejipirkimai.lt/epps/home.do</w:t>
        </w:r>
      </w:hyperlink>
      <w:r w:rsidR="008C70DB" w:rsidRPr="00E11909">
        <w:rPr>
          <w:lang w:val="lt-LT"/>
        </w:rPr>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617F17">
          <w:headerReference w:type="default" r:id="rId14"/>
          <w:pgSz w:w="11900" w:h="16840"/>
          <w:pgMar w:top="993" w:right="1200" w:bottom="1135" w:left="1200" w:header="567" w:footer="567"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703E2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703E2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703E2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11909" w:rsidRDefault="00674C1F" w:rsidP="00561C6B">
            <w:pPr>
              <w:pStyle w:val="NoSpacing"/>
              <w:jc w:val="both"/>
              <w:rPr>
                <w:rFonts w:ascii="Times New Roman" w:hAnsi="Times New Roman" w:cs="Times New Roman"/>
                <w:b/>
                <w:bCs/>
                <w:i/>
                <w:iCs/>
                <w:sz w:val="20"/>
                <w:szCs w:val="20"/>
              </w:rPr>
            </w:pPr>
            <w:r w:rsidRPr="00E11909">
              <w:rPr>
                <w:rFonts w:ascii="Times New Roman" w:hAnsi="Times New Roman" w:cs="Times New Roman"/>
                <w:b/>
                <w:bCs/>
                <w:i/>
                <w:iCs/>
                <w:sz w:val="20"/>
                <w:szCs w:val="20"/>
              </w:rPr>
              <w:t>PASTABA</w:t>
            </w:r>
          </w:p>
          <w:p w14:paraId="21B3D943" w14:textId="166A9236" w:rsidR="00674C1F" w:rsidRPr="00E11909" w:rsidRDefault="00674C1F" w:rsidP="00561C6B">
            <w:pPr>
              <w:pStyle w:val="NoSpacing"/>
              <w:jc w:val="both"/>
              <w:rPr>
                <w:rFonts w:ascii="Times New Roman" w:hAnsi="Times New Roman" w:cs="Times New Roman"/>
                <w:b/>
                <w:bCs/>
                <w:sz w:val="20"/>
                <w:szCs w:val="20"/>
              </w:rPr>
            </w:pPr>
            <w:r w:rsidRPr="00E11909">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703E2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 xml:space="preserve">2) tiekėjo, kuris yra juridinis asmuo, kita organizacija ar jos struktūrinis padalinys, per pastaruosius 5 metus buvo </w:t>
            </w:r>
            <w:r w:rsidRPr="00561C6B">
              <w:rPr>
                <w:bCs/>
                <w:sz w:val="20"/>
                <w:szCs w:val="20"/>
              </w:rPr>
              <w:lastRenderedPageBreak/>
              <w:t>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 xml:space="preserve">tos dienos, kai tiekėjas perkančiosios organizacijos prašymu turės pateikti </w:t>
            </w:r>
            <w:r w:rsidRPr="00E26C07">
              <w:rPr>
                <w:rFonts w:ascii="Times New Roman" w:eastAsia="Times New Roman" w:hAnsi="Times New Roman" w:cs="Times New Roman"/>
                <w:i/>
                <w:iCs/>
                <w:sz w:val="20"/>
                <w:szCs w:val="20"/>
              </w:rPr>
              <w:lastRenderedPageBreak/>
              <w:t>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703E2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703E2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E26C07">
              <w:rPr>
                <w:sz w:val="20"/>
                <w:szCs w:val="20"/>
                <w:lang w:val="lt-LT"/>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05299A" w:rsidP="0005299A">
            <w:pPr>
              <w:pStyle w:val="NoSpacing"/>
              <w:jc w:val="both"/>
              <w:rPr>
                <w:rStyle w:val="Hyperlink"/>
                <w:rFonts w:ascii="Calibri" w:hAnsi="Calibri" w:cs="Calibri"/>
                <w:color w:val="385623"/>
              </w:rPr>
            </w:pPr>
            <w:hyperlink r:id="rId17" w:history="1">
              <w:r>
                <w:rPr>
                  <w:rStyle w:val="Hyperlink"/>
                  <w:color w:val="548235"/>
                </w:rPr>
                <w:t>https://vpt.lrv.lt/lt/nuorodos/kiti-duomenys/powerbi/nepatikimi-tiekejai-1/</w:t>
              </w:r>
            </w:hyperlink>
            <w:r>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05299A" w:rsidP="0005299A">
            <w:pPr>
              <w:pStyle w:val="NoSpacing"/>
              <w:jc w:val="both"/>
            </w:pPr>
            <w:hyperlink r:id="rId18" w:history="1">
              <w:r w:rsidRPr="00E11909">
                <w:rPr>
                  <w:rStyle w:val="Hyperlink"/>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703E2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703E2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D55661"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E11909">
          <w:rPr>
            <w:rStyle w:val="Hyperlink"/>
            <w:lang w:val="pt-BR"/>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5B09A130"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F173" w14:textId="77777777" w:rsidR="008F4C92" w:rsidRDefault="008F4C92">
      <w:r>
        <w:separator/>
      </w:r>
    </w:p>
  </w:endnote>
  <w:endnote w:type="continuationSeparator" w:id="0">
    <w:p w14:paraId="1D176254" w14:textId="77777777" w:rsidR="008F4C92" w:rsidRDefault="008F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0880" w14:textId="77777777" w:rsidR="008F4C92" w:rsidRDefault="008F4C92">
      <w:r>
        <w:separator/>
      </w:r>
    </w:p>
  </w:footnote>
  <w:footnote w:type="continuationSeparator" w:id="0">
    <w:p w14:paraId="640C6DBC" w14:textId="77777777" w:rsidR="008F4C92" w:rsidRDefault="008F4C92">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rPr>
        <w:sz w:val="20"/>
        <w:szCs w:val="20"/>
      </w:rPr>
    </w:sdtEndPr>
    <w:sdtContent>
      <w:p w14:paraId="22627E7F" w14:textId="180BCCE1" w:rsidR="004C189C" w:rsidRPr="00E9080A" w:rsidRDefault="004C189C">
        <w:pPr>
          <w:pStyle w:val="Header"/>
          <w:jc w:val="center"/>
          <w:rPr>
            <w:sz w:val="20"/>
            <w:szCs w:val="20"/>
          </w:rPr>
        </w:pPr>
        <w:r w:rsidRPr="00E9080A">
          <w:rPr>
            <w:sz w:val="20"/>
            <w:szCs w:val="20"/>
          </w:rPr>
          <w:fldChar w:fldCharType="begin"/>
        </w:r>
        <w:r w:rsidRPr="00E9080A">
          <w:rPr>
            <w:sz w:val="20"/>
            <w:szCs w:val="20"/>
          </w:rPr>
          <w:instrText>PAGE   \* MERGEFORMAT</w:instrText>
        </w:r>
        <w:r w:rsidRPr="00E9080A">
          <w:rPr>
            <w:sz w:val="20"/>
            <w:szCs w:val="20"/>
          </w:rPr>
          <w:fldChar w:fldCharType="separate"/>
        </w:r>
        <w:r w:rsidR="0031419D" w:rsidRPr="00E9080A">
          <w:rPr>
            <w:noProof/>
            <w:sz w:val="20"/>
            <w:szCs w:val="20"/>
            <w:lang w:val="lt-LT"/>
          </w:rPr>
          <w:t>2</w:t>
        </w:r>
        <w:r w:rsidR="0031419D" w:rsidRPr="00E9080A">
          <w:rPr>
            <w:noProof/>
            <w:sz w:val="20"/>
            <w:szCs w:val="20"/>
            <w:lang w:val="lt-LT"/>
          </w:rPr>
          <w:t>0</w:t>
        </w:r>
        <w:r w:rsidRPr="00E9080A">
          <w:rPr>
            <w:sz w:val="20"/>
            <w:szCs w:val="20"/>
          </w:rP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7990320">
    <w:abstractNumId w:val="11"/>
  </w:num>
  <w:num w:numId="2" w16cid:durableId="256402450">
    <w:abstractNumId w:val="3"/>
  </w:num>
  <w:num w:numId="3" w16cid:durableId="214047758">
    <w:abstractNumId w:val="6"/>
  </w:num>
  <w:num w:numId="4" w16cid:durableId="1001356063">
    <w:abstractNumId w:val="10"/>
  </w:num>
  <w:num w:numId="5" w16cid:durableId="447087142">
    <w:abstractNumId w:val="5"/>
  </w:num>
  <w:num w:numId="6" w16cid:durableId="700280475">
    <w:abstractNumId w:val="7"/>
  </w:num>
  <w:num w:numId="7" w16cid:durableId="482308498">
    <w:abstractNumId w:val="9"/>
  </w:num>
  <w:num w:numId="8" w16cid:durableId="694616487">
    <w:abstractNumId w:val="0"/>
  </w:num>
  <w:num w:numId="9" w16cid:durableId="1050223694">
    <w:abstractNumId w:val="4"/>
  </w:num>
  <w:num w:numId="10" w16cid:durableId="2019499439">
    <w:abstractNumId w:val="1"/>
  </w:num>
  <w:num w:numId="11" w16cid:durableId="2014256401">
    <w:abstractNumId w:val="2"/>
  </w:num>
  <w:num w:numId="12" w16cid:durableId="32004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304C"/>
    <w:rsid w:val="000153A9"/>
    <w:rsid w:val="0001647F"/>
    <w:rsid w:val="000179E3"/>
    <w:rsid w:val="00021DC1"/>
    <w:rsid w:val="00025453"/>
    <w:rsid w:val="0002691B"/>
    <w:rsid w:val="00027A6D"/>
    <w:rsid w:val="000318AA"/>
    <w:rsid w:val="0004708B"/>
    <w:rsid w:val="00047495"/>
    <w:rsid w:val="0005299A"/>
    <w:rsid w:val="00063360"/>
    <w:rsid w:val="00064969"/>
    <w:rsid w:val="00076A94"/>
    <w:rsid w:val="00077824"/>
    <w:rsid w:val="00090925"/>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914B1"/>
    <w:rsid w:val="00192B7F"/>
    <w:rsid w:val="00195E87"/>
    <w:rsid w:val="00197A19"/>
    <w:rsid w:val="001A1626"/>
    <w:rsid w:val="001B7326"/>
    <w:rsid w:val="001C275F"/>
    <w:rsid w:val="001E10FB"/>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415C2"/>
    <w:rsid w:val="003460F4"/>
    <w:rsid w:val="003520F0"/>
    <w:rsid w:val="00353D46"/>
    <w:rsid w:val="00357350"/>
    <w:rsid w:val="00367CF8"/>
    <w:rsid w:val="00376352"/>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0179"/>
    <w:rsid w:val="0049599B"/>
    <w:rsid w:val="004A0F93"/>
    <w:rsid w:val="004A7C31"/>
    <w:rsid w:val="004B136D"/>
    <w:rsid w:val="004B26FE"/>
    <w:rsid w:val="004B4953"/>
    <w:rsid w:val="004C189C"/>
    <w:rsid w:val="004C3EB1"/>
    <w:rsid w:val="004D2918"/>
    <w:rsid w:val="004D35E3"/>
    <w:rsid w:val="004D6705"/>
    <w:rsid w:val="004E1686"/>
    <w:rsid w:val="004E32F4"/>
    <w:rsid w:val="004E5545"/>
    <w:rsid w:val="004E6664"/>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32E5"/>
    <w:rsid w:val="00586720"/>
    <w:rsid w:val="00592548"/>
    <w:rsid w:val="0059498A"/>
    <w:rsid w:val="00597090"/>
    <w:rsid w:val="00597E46"/>
    <w:rsid w:val="005A016F"/>
    <w:rsid w:val="005A05DE"/>
    <w:rsid w:val="005B1826"/>
    <w:rsid w:val="005B3CCC"/>
    <w:rsid w:val="005B45C0"/>
    <w:rsid w:val="005B675D"/>
    <w:rsid w:val="005B7D10"/>
    <w:rsid w:val="005C583C"/>
    <w:rsid w:val="005C75A6"/>
    <w:rsid w:val="005D0E27"/>
    <w:rsid w:val="005D20A0"/>
    <w:rsid w:val="005D7AA1"/>
    <w:rsid w:val="005E495F"/>
    <w:rsid w:val="005E55E9"/>
    <w:rsid w:val="005F0B1D"/>
    <w:rsid w:val="005F3798"/>
    <w:rsid w:val="005F57B9"/>
    <w:rsid w:val="005F5A20"/>
    <w:rsid w:val="00600ECA"/>
    <w:rsid w:val="00603F35"/>
    <w:rsid w:val="0060516F"/>
    <w:rsid w:val="006070E8"/>
    <w:rsid w:val="0061209D"/>
    <w:rsid w:val="00615ADB"/>
    <w:rsid w:val="00617F17"/>
    <w:rsid w:val="00622E0A"/>
    <w:rsid w:val="006275E7"/>
    <w:rsid w:val="00631AA8"/>
    <w:rsid w:val="00631D87"/>
    <w:rsid w:val="00632F9A"/>
    <w:rsid w:val="00635487"/>
    <w:rsid w:val="00660EF8"/>
    <w:rsid w:val="00664AFB"/>
    <w:rsid w:val="00673853"/>
    <w:rsid w:val="00674C1F"/>
    <w:rsid w:val="006752FD"/>
    <w:rsid w:val="00676157"/>
    <w:rsid w:val="006821F7"/>
    <w:rsid w:val="0068498E"/>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03E27"/>
    <w:rsid w:val="00710256"/>
    <w:rsid w:val="00711FD4"/>
    <w:rsid w:val="00720AA8"/>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4F17"/>
    <w:rsid w:val="008C6A5E"/>
    <w:rsid w:val="008C70DB"/>
    <w:rsid w:val="008D5C61"/>
    <w:rsid w:val="008E24BE"/>
    <w:rsid w:val="008E5BB8"/>
    <w:rsid w:val="008F46E6"/>
    <w:rsid w:val="008F4C92"/>
    <w:rsid w:val="008F58FA"/>
    <w:rsid w:val="008F70AC"/>
    <w:rsid w:val="009100A0"/>
    <w:rsid w:val="009133F9"/>
    <w:rsid w:val="0092131B"/>
    <w:rsid w:val="00925DAD"/>
    <w:rsid w:val="009336BB"/>
    <w:rsid w:val="00946267"/>
    <w:rsid w:val="00947014"/>
    <w:rsid w:val="00947AA0"/>
    <w:rsid w:val="00951B01"/>
    <w:rsid w:val="0095477A"/>
    <w:rsid w:val="009603FD"/>
    <w:rsid w:val="00964276"/>
    <w:rsid w:val="00964BC7"/>
    <w:rsid w:val="00966372"/>
    <w:rsid w:val="00972D13"/>
    <w:rsid w:val="00973B5F"/>
    <w:rsid w:val="00975817"/>
    <w:rsid w:val="00981DB2"/>
    <w:rsid w:val="009836B6"/>
    <w:rsid w:val="009863B5"/>
    <w:rsid w:val="00991237"/>
    <w:rsid w:val="0099195F"/>
    <w:rsid w:val="009A07D4"/>
    <w:rsid w:val="009A397F"/>
    <w:rsid w:val="009A41F3"/>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20D2"/>
    <w:rsid w:val="00B27C9B"/>
    <w:rsid w:val="00B32C32"/>
    <w:rsid w:val="00B414A9"/>
    <w:rsid w:val="00B46BAC"/>
    <w:rsid w:val="00B51258"/>
    <w:rsid w:val="00B5177E"/>
    <w:rsid w:val="00B53782"/>
    <w:rsid w:val="00B65A3B"/>
    <w:rsid w:val="00B66087"/>
    <w:rsid w:val="00B75B51"/>
    <w:rsid w:val="00B86FF1"/>
    <w:rsid w:val="00B90FAF"/>
    <w:rsid w:val="00B93FC8"/>
    <w:rsid w:val="00BA4E94"/>
    <w:rsid w:val="00BA57FE"/>
    <w:rsid w:val="00BA63E5"/>
    <w:rsid w:val="00BA6622"/>
    <w:rsid w:val="00BB1189"/>
    <w:rsid w:val="00BD08D6"/>
    <w:rsid w:val="00BD0B3D"/>
    <w:rsid w:val="00BD22B5"/>
    <w:rsid w:val="00BE4909"/>
    <w:rsid w:val="00BF0689"/>
    <w:rsid w:val="00BF11BB"/>
    <w:rsid w:val="00BF4053"/>
    <w:rsid w:val="00BF4E2C"/>
    <w:rsid w:val="00BF5292"/>
    <w:rsid w:val="00C048F3"/>
    <w:rsid w:val="00C04AB9"/>
    <w:rsid w:val="00C072FA"/>
    <w:rsid w:val="00C07439"/>
    <w:rsid w:val="00C07FEF"/>
    <w:rsid w:val="00C12F04"/>
    <w:rsid w:val="00C162B7"/>
    <w:rsid w:val="00C176B2"/>
    <w:rsid w:val="00C228DC"/>
    <w:rsid w:val="00C249AA"/>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6FA8"/>
    <w:rsid w:val="00CE762B"/>
    <w:rsid w:val="00CE78D4"/>
    <w:rsid w:val="00CF205C"/>
    <w:rsid w:val="00CF2A2C"/>
    <w:rsid w:val="00CF7D12"/>
    <w:rsid w:val="00D031A4"/>
    <w:rsid w:val="00D038A5"/>
    <w:rsid w:val="00D04E9E"/>
    <w:rsid w:val="00D1144B"/>
    <w:rsid w:val="00D123D8"/>
    <w:rsid w:val="00D21498"/>
    <w:rsid w:val="00D24721"/>
    <w:rsid w:val="00D25FBD"/>
    <w:rsid w:val="00D31863"/>
    <w:rsid w:val="00D31CB5"/>
    <w:rsid w:val="00D33045"/>
    <w:rsid w:val="00D33B6E"/>
    <w:rsid w:val="00D37C12"/>
    <w:rsid w:val="00D44257"/>
    <w:rsid w:val="00D47CE7"/>
    <w:rsid w:val="00D5189A"/>
    <w:rsid w:val="00D52D52"/>
    <w:rsid w:val="00D55661"/>
    <w:rsid w:val="00D64908"/>
    <w:rsid w:val="00D6543E"/>
    <w:rsid w:val="00D74855"/>
    <w:rsid w:val="00D860B7"/>
    <w:rsid w:val="00DA6ED0"/>
    <w:rsid w:val="00DB0A94"/>
    <w:rsid w:val="00DB1C24"/>
    <w:rsid w:val="00DB24DA"/>
    <w:rsid w:val="00DB59A0"/>
    <w:rsid w:val="00DB68AB"/>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1909"/>
    <w:rsid w:val="00E17D1F"/>
    <w:rsid w:val="00E26C07"/>
    <w:rsid w:val="00E31616"/>
    <w:rsid w:val="00E44184"/>
    <w:rsid w:val="00E45079"/>
    <w:rsid w:val="00E50A5C"/>
    <w:rsid w:val="00E51E4B"/>
    <w:rsid w:val="00E53EBF"/>
    <w:rsid w:val="00E6438B"/>
    <w:rsid w:val="00E74D04"/>
    <w:rsid w:val="00E75C93"/>
    <w:rsid w:val="00E80DA5"/>
    <w:rsid w:val="00E8710A"/>
    <w:rsid w:val="00E87DAD"/>
    <w:rsid w:val="00E9080A"/>
    <w:rsid w:val="00E91B91"/>
    <w:rsid w:val="00EA037F"/>
    <w:rsid w:val="00EA1A87"/>
    <w:rsid w:val="00EA5853"/>
    <w:rsid w:val="00EB1182"/>
    <w:rsid w:val="00EC58FF"/>
    <w:rsid w:val="00ED04FF"/>
    <w:rsid w:val="00ED1F7A"/>
    <w:rsid w:val="00EE020D"/>
    <w:rsid w:val="00EE0780"/>
    <w:rsid w:val="00EE088F"/>
    <w:rsid w:val="00EF3217"/>
    <w:rsid w:val="00F01EBC"/>
    <w:rsid w:val="00F0774D"/>
    <w:rsid w:val="00F07F49"/>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740BD"/>
    <w:rsid w:val="00F87084"/>
    <w:rsid w:val="00F90202"/>
    <w:rsid w:val="00F91A2B"/>
    <w:rsid w:val="00FA302F"/>
    <w:rsid w:val="00FA51C0"/>
    <w:rsid w:val="00FA7070"/>
    <w:rsid w:val="00FB07CF"/>
    <w:rsid w:val="00FB1C76"/>
    <w:rsid w:val="00FB22D7"/>
    <w:rsid w:val="00FB7E8B"/>
    <w:rsid w:val="00FC5126"/>
    <w:rsid w:val="00FC59AF"/>
    <w:rsid w:val="00FC6517"/>
    <w:rsid w:val="00FD362F"/>
    <w:rsid w:val="00FE0C5C"/>
    <w:rsid w:val="00FE13A0"/>
    <w:rsid w:val="00FE2350"/>
    <w:rsid w:val="00FE3105"/>
    <w:rsid w:val="00FE37B9"/>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BF129-1F18-43B4-A10B-07454135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46557</Words>
  <Characters>26539</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2025-07-23T11:53:00Z</dcterms:created>
  <dcterms:modified xsi:type="dcterms:W3CDTF">2025-07-23T11:54:00Z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