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E9C5" w14:textId="750290DF" w:rsidR="00E86FE2" w:rsidRDefault="00F04CF2" w:rsidP="00DA2E5C">
      <w:pPr>
        <w:tabs>
          <w:tab w:val="left" w:pos="284"/>
        </w:tabs>
        <w:spacing w:after="0" w:line="240" w:lineRule="auto"/>
        <w:jc w:val="center"/>
        <w:rPr>
          <w:rFonts w:ascii="Times New Roman" w:eastAsia="Times New Roman" w:hAnsi="Times New Roman" w:cs="Times New Roman"/>
          <w:b/>
          <w:kern w:val="0"/>
          <w:sz w:val="24"/>
          <w:szCs w:val="24"/>
          <w14:ligatures w14:val="none"/>
        </w:rPr>
      </w:pPr>
      <w:r w:rsidRPr="00DA2E5C">
        <w:rPr>
          <w:rFonts w:ascii="Times New Roman" w:eastAsia="Times New Roman" w:hAnsi="Times New Roman" w:cs="Times New Roman"/>
          <w:b/>
          <w:bCs/>
          <w:color w:val="000000"/>
          <w:kern w:val="0"/>
          <w:sz w:val="24"/>
          <w:szCs w:val="24"/>
          <w:lang w:eastAsia="lt-LT"/>
          <w14:ligatures w14:val="none"/>
        </w:rPr>
        <w:t>MOLEKULINIAMS TYRIMAMS ATLIKTI MEDICININĖS ĮRANGOS</w:t>
      </w:r>
      <w:r w:rsidRPr="00DA2E5C">
        <w:rPr>
          <w:rFonts w:ascii="Times New Roman" w:eastAsia="Times New Roman" w:hAnsi="Times New Roman" w:cs="Times New Roman"/>
          <w:b/>
          <w:kern w:val="0"/>
          <w:sz w:val="24"/>
          <w:szCs w:val="24"/>
          <w14:ligatures w14:val="none"/>
        </w:rPr>
        <w:t xml:space="preserve"> </w:t>
      </w:r>
      <w:r w:rsidR="00E86FE2" w:rsidRPr="00DA2E5C">
        <w:rPr>
          <w:rFonts w:ascii="Times New Roman" w:eastAsia="Times New Roman" w:hAnsi="Times New Roman" w:cs="Times New Roman"/>
          <w:b/>
          <w:kern w:val="0"/>
          <w:sz w:val="24"/>
          <w:szCs w:val="24"/>
          <w14:ligatures w14:val="none"/>
        </w:rPr>
        <w:t xml:space="preserve">TECHNINĖ SPECIFIKACIJA </w:t>
      </w:r>
    </w:p>
    <w:p w14:paraId="4007E754" w14:textId="77777777" w:rsidR="00226B34" w:rsidRDefault="00226B34" w:rsidP="00226B34">
      <w:pPr>
        <w:tabs>
          <w:tab w:val="left" w:pos="284"/>
        </w:tabs>
        <w:spacing w:after="0" w:line="240" w:lineRule="auto"/>
        <w:rPr>
          <w:rFonts w:ascii="Times New Roman" w:eastAsia="Times New Roman" w:hAnsi="Times New Roman" w:cs="Times New Roman"/>
          <w:b/>
          <w:kern w:val="0"/>
          <w:sz w:val="24"/>
          <w:szCs w:val="24"/>
          <w14:ligatures w14:val="none"/>
        </w:rPr>
      </w:pPr>
    </w:p>
    <w:p w14:paraId="30C86BF0" w14:textId="5DEA10DE" w:rsidR="00226B34" w:rsidRPr="00DA2E5C" w:rsidRDefault="00226B34" w:rsidP="00B77B87">
      <w:pPr>
        <w:tabs>
          <w:tab w:val="left" w:pos="284"/>
        </w:tabs>
        <w:spacing w:after="0" w:line="240" w:lineRule="auto"/>
        <w:ind w:firstLine="567"/>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14:ligatures w14:val="none"/>
        </w:rPr>
        <w:t>P</w:t>
      </w:r>
      <w:r w:rsidRPr="00226B34">
        <w:rPr>
          <w:rFonts w:ascii="Times New Roman" w:eastAsia="Times New Roman" w:hAnsi="Times New Roman" w:cs="Times New Roman"/>
          <w:b/>
          <w:bCs/>
          <w:kern w:val="0"/>
          <w:sz w:val="24"/>
          <w:szCs w:val="24"/>
          <w14:ligatures w14:val="none"/>
        </w:rPr>
        <w:t xml:space="preserve">agrindinis BVPŽ kodas: </w:t>
      </w:r>
      <w:r w:rsidR="009E139B" w:rsidRPr="009E139B">
        <w:rPr>
          <w:rFonts w:ascii="Times New Roman" w:eastAsia="Times New Roman" w:hAnsi="Times New Roman" w:cs="Times New Roman"/>
          <w:b/>
          <w:bCs/>
          <w:kern w:val="0"/>
          <w:sz w:val="24"/>
          <w:szCs w:val="24"/>
          <w14:ligatures w14:val="none"/>
        </w:rPr>
        <w:t>33696000-5 Reagentai ir kontrastiniai preparatai</w:t>
      </w:r>
      <w:r w:rsidRPr="00226B34">
        <w:rPr>
          <w:rFonts w:ascii="Times New Roman" w:eastAsia="Times New Roman" w:hAnsi="Times New Roman" w:cs="Times New Roman"/>
          <w:b/>
          <w:bCs/>
          <w:kern w:val="0"/>
          <w:sz w:val="24"/>
          <w:szCs w:val="24"/>
          <w14:ligatures w14:val="none"/>
        </w:rPr>
        <w:t xml:space="preserve">; </w:t>
      </w:r>
      <w:r w:rsidR="00B77B87">
        <w:rPr>
          <w:rFonts w:ascii="Times New Roman" w:eastAsia="Times New Roman" w:hAnsi="Times New Roman" w:cs="Times New Roman"/>
          <w:b/>
          <w:bCs/>
          <w:kern w:val="0"/>
          <w:sz w:val="24"/>
          <w:szCs w:val="24"/>
          <w14:ligatures w14:val="none"/>
        </w:rPr>
        <w:t>papildomi</w:t>
      </w:r>
      <w:r w:rsidRPr="00226B34">
        <w:rPr>
          <w:rFonts w:ascii="Times New Roman" w:eastAsia="Times New Roman" w:hAnsi="Times New Roman" w:cs="Times New Roman"/>
          <w:b/>
          <w:bCs/>
          <w:kern w:val="0"/>
          <w:sz w:val="24"/>
          <w:szCs w:val="24"/>
          <w14:ligatures w14:val="none"/>
        </w:rPr>
        <w:t xml:space="preserve"> pirkimo objekto sudedamųjų dalių BVPŽ kodai nurodyti žemiau.</w:t>
      </w:r>
    </w:p>
    <w:p w14:paraId="43D5E41D" w14:textId="5DD21F3C" w:rsidR="00E86FE2" w:rsidRPr="00DA2E5C" w:rsidRDefault="00E86FE2" w:rsidP="00DA2E5C">
      <w:pPr>
        <w:tabs>
          <w:tab w:val="left" w:pos="284"/>
          <w:tab w:val="left" w:pos="1350"/>
          <w:tab w:val="left" w:pos="1440"/>
        </w:tabs>
        <w:spacing w:after="0" w:line="240" w:lineRule="auto"/>
        <w:jc w:val="right"/>
        <w:rPr>
          <w:rFonts w:ascii="Times New Roman" w:eastAsia="Times New Roman" w:hAnsi="Times New Roman" w:cs="Times New Roman"/>
          <w:b/>
          <w:kern w:val="0"/>
          <w:sz w:val="24"/>
          <w:szCs w:val="24"/>
          <w14:ligatures w14:val="none"/>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79"/>
        <w:gridCol w:w="3827"/>
        <w:gridCol w:w="4252"/>
      </w:tblGrid>
      <w:tr w:rsidR="000E58D9" w:rsidRPr="00DA2E5C" w14:paraId="462F56AB" w14:textId="77777777" w:rsidTr="00DA2E5C">
        <w:tc>
          <w:tcPr>
            <w:tcW w:w="851" w:type="dxa"/>
            <w:shd w:val="clear" w:color="auto" w:fill="D9D9D9" w:themeFill="background1" w:themeFillShade="D9"/>
            <w:vAlign w:val="center"/>
          </w:tcPr>
          <w:p w14:paraId="7F9CF330" w14:textId="77777777" w:rsidR="000E58D9" w:rsidRPr="00DA2E5C" w:rsidRDefault="000E58D9" w:rsidP="00DA2E5C">
            <w:pPr>
              <w:tabs>
                <w:tab w:val="left" w:pos="284"/>
              </w:tabs>
              <w:spacing w:after="0" w:line="240" w:lineRule="auto"/>
              <w:jc w:val="center"/>
              <w:rPr>
                <w:rFonts w:ascii="Times New Roman" w:eastAsia="Times New Roman" w:hAnsi="Times New Roman" w:cs="Times New Roman"/>
                <w:b/>
                <w:kern w:val="0"/>
                <w:sz w:val="24"/>
                <w:szCs w:val="24"/>
                <w14:ligatures w14:val="none"/>
              </w:rPr>
            </w:pPr>
            <w:r w:rsidRPr="00DA2E5C">
              <w:rPr>
                <w:rFonts w:ascii="Times New Roman" w:eastAsia="Times New Roman" w:hAnsi="Times New Roman" w:cs="Times New Roman"/>
                <w:b/>
                <w:kern w:val="0"/>
                <w:sz w:val="24"/>
                <w:szCs w:val="24"/>
                <w14:ligatures w14:val="none"/>
              </w:rPr>
              <w:t>Eil.</w:t>
            </w:r>
          </w:p>
          <w:p w14:paraId="432A83A8" w14:textId="77777777"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b/>
                <w:kern w:val="0"/>
                <w:sz w:val="24"/>
                <w:szCs w:val="24"/>
                <w14:ligatures w14:val="none"/>
              </w:rPr>
              <w:t>Nr.</w:t>
            </w:r>
          </w:p>
        </w:tc>
        <w:tc>
          <w:tcPr>
            <w:tcW w:w="6379" w:type="dxa"/>
            <w:shd w:val="clear" w:color="auto" w:fill="D9D9D9" w:themeFill="background1" w:themeFillShade="D9"/>
            <w:vAlign w:val="center"/>
          </w:tcPr>
          <w:p w14:paraId="760EE74E" w14:textId="37D0AD85" w:rsidR="000E58D9" w:rsidRPr="00DA2E5C" w:rsidRDefault="000E58D9" w:rsidP="00DA2E5C">
            <w:pPr>
              <w:tabs>
                <w:tab w:val="left" w:pos="284"/>
              </w:tabs>
              <w:spacing w:after="0" w:line="240" w:lineRule="auto"/>
              <w:jc w:val="center"/>
              <w:rPr>
                <w:rFonts w:ascii="Times New Roman" w:eastAsia="Times New Roman" w:hAnsi="Times New Roman" w:cs="Times New Roman"/>
                <w:b/>
                <w:kern w:val="0"/>
                <w:sz w:val="24"/>
                <w:szCs w:val="24"/>
                <w14:ligatures w14:val="none"/>
              </w:rPr>
            </w:pPr>
            <w:r w:rsidRPr="00DA2E5C">
              <w:rPr>
                <w:rFonts w:ascii="Times New Roman" w:eastAsia="Times New Roman" w:hAnsi="Times New Roman" w:cs="Times New Roman"/>
                <w:b/>
                <w:kern w:val="0"/>
                <w:sz w:val="24"/>
                <w:szCs w:val="24"/>
                <w14:ligatures w14:val="none"/>
              </w:rPr>
              <w:t>Techninio parametro reikšmė arba reikalavimų aprašymas</w:t>
            </w:r>
          </w:p>
        </w:tc>
        <w:tc>
          <w:tcPr>
            <w:tcW w:w="3827" w:type="dxa"/>
            <w:shd w:val="clear" w:color="auto" w:fill="D9D9D9" w:themeFill="background1" w:themeFillShade="D9"/>
            <w:vAlign w:val="center"/>
          </w:tcPr>
          <w:p w14:paraId="34CC9864" w14:textId="77777777" w:rsidR="000E58D9" w:rsidRPr="00DA2E5C" w:rsidRDefault="000E58D9" w:rsidP="00DA2E5C">
            <w:pPr>
              <w:tabs>
                <w:tab w:val="left" w:pos="284"/>
              </w:tabs>
              <w:spacing w:after="0" w:line="240" w:lineRule="auto"/>
              <w:jc w:val="center"/>
              <w:rPr>
                <w:rFonts w:ascii="Times New Roman" w:eastAsia="Times New Roman" w:hAnsi="Times New Roman" w:cs="Times New Roman"/>
                <w:b/>
                <w:color w:val="000000"/>
                <w:kern w:val="0"/>
                <w:sz w:val="24"/>
                <w:szCs w:val="24"/>
                <w14:ligatures w14:val="none"/>
              </w:rPr>
            </w:pPr>
            <w:r w:rsidRPr="00DA2E5C">
              <w:rPr>
                <w:rFonts w:ascii="Times New Roman" w:eastAsia="Times New Roman" w:hAnsi="Times New Roman" w:cs="Times New Roman"/>
                <w:b/>
                <w:color w:val="000000"/>
                <w:kern w:val="0"/>
                <w:sz w:val="24"/>
                <w:szCs w:val="24"/>
                <w14:ligatures w14:val="none"/>
              </w:rPr>
              <w:t>Atitikimas reikalavimui</w:t>
            </w:r>
          </w:p>
          <w:p w14:paraId="27FF1450" w14:textId="2EA05E7E" w:rsidR="000E58D9" w:rsidRPr="00DA2E5C" w:rsidRDefault="000E58D9" w:rsidP="00DA2E5C">
            <w:pPr>
              <w:tabs>
                <w:tab w:val="left" w:pos="284"/>
              </w:tabs>
              <w:spacing w:after="0" w:line="240" w:lineRule="auto"/>
              <w:jc w:val="center"/>
              <w:rPr>
                <w:rFonts w:ascii="Times New Roman" w:eastAsia="Times New Roman" w:hAnsi="Times New Roman" w:cs="Times New Roman"/>
                <w:b/>
                <w:color w:val="000000"/>
                <w:kern w:val="0"/>
                <w:sz w:val="24"/>
                <w:szCs w:val="24"/>
                <w14:ligatures w14:val="none"/>
              </w:rPr>
            </w:pPr>
            <w:r w:rsidRPr="00DA2E5C">
              <w:rPr>
                <w:rFonts w:ascii="Times New Roman" w:eastAsia="Times New Roman" w:hAnsi="Times New Roman" w:cs="Times New Roman"/>
                <w:b/>
                <w:color w:val="000000"/>
                <w:kern w:val="0"/>
                <w:sz w:val="24"/>
                <w:szCs w:val="24"/>
                <w14:ligatures w14:val="none"/>
              </w:rPr>
              <w:t>Siūloma techninio parametro reikšmė (</w:t>
            </w:r>
            <w:r w:rsidRPr="00DA2E5C">
              <w:rPr>
                <w:rFonts w:ascii="Times New Roman" w:eastAsia="Times New Roman" w:hAnsi="Times New Roman" w:cs="Times New Roman"/>
                <w:b/>
                <w:i/>
                <w:color w:val="000000"/>
                <w:kern w:val="0"/>
                <w:sz w:val="24"/>
                <w:szCs w:val="24"/>
                <w14:ligatures w14:val="none"/>
              </w:rPr>
              <w:t xml:space="preserve">tiekėjas </w:t>
            </w:r>
            <w:r w:rsidR="00785524">
              <w:rPr>
                <w:rFonts w:ascii="Times New Roman" w:eastAsia="Times New Roman" w:hAnsi="Times New Roman" w:cs="Times New Roman"/>
                <w:b/>
                <w:i/>
                <w:color w:val="000000"/>
                <w:kern w:val="0"/>
                <w:sz w:val="24"/>
                <w:szCs w:val="24"/>
                <w:u w:val="single"/>
                <w14:ligatures w14:val="none"/>
              </w:rPr>
              <w:t>turi</w:t>
            </w:r>
            <w:r w:rsidR="00785524" w:rsidRPr="00DA2E5C">
              <w:rPr>
                <w:rFonts w:ascii="Times New Roman" w:eastAsia="Times New Roman" w:hAnsi="Times New Roman" w:cs="Times New Roman"/>
                <w:b/>
                <w:i/>
                <w:color w:val="000000"/>
                <w:kern w:val="0"/>
                <w:sz w:val="24"/>
                <w:szCs w:val="24"/>
                <w14:ligatures w14:val="none"/>
              </w:rPr>
              <w:t xml:space="preserve"> </w:t>
            </w:r>
            <w:r w:rsidRPr="00DA2E5C">
              <w:rPr>
                <w:rFonts w:ascii="Times New Roman" w:eastAsia="Times New Roman" w:hAnsi="Times New Roman" w:cs="Times New Roman"/>
                <w:b/>
                <w:i/>
                <w:color w:val="000000"/>
                <w:kern w:val="0"/>
                <w:sz w:val="24"/>
                <w:szCs w:val="24"/>
                <w14:ligatures w14:val="none"/>
              </w:rPr>
              <w:t>aprašyti siūlomos prekės atitiktį reikalaujamiems parametrams, nurodant konkrečias reikšmes nepaliekant</w:t>
            </w:r>
            <w:r w:rsidR="00785524">
              <w:rPr>
                <w:rFonts w:ascii="Times New Roman" w:eastAsia="Times New Roman" w:hAnsi="Times New Roman" w:cs="Times New Roman"/>
                <w:b/>
                <w:i/>
                <w:color w:val="000000"/>
                <w:kern w:val="0"/>
                <w:sz w:val="24"/>
                <w:szCs w:val="24"/>
                <w14:ligatures w14:val="none"/>
              </w:rPr>
              <w:t>)</w:t>
            </w:r>
          </w:p>
        </w:tc>
        <w:tc>
          <w:tcPr>
            <w:tcW w:w="4252" w:type="dxa"/>
            <w:shd w:val="clear" w:color="auto" w:fill="D9D9D9" w:themeFill="background1" w:themeFillShade="D9"/>
          </w:tcPr>
          <w:p w14:paraId="7FBB0EAF" w14:textId="7797AE1B" w:rsidR="000E58D9" w:rsidRPr="00DA2E5C" w:rsidRDefault="000E58D9" w:rsidP="00DA2E5C">
            <w:pPr>
              <w:tabs>
                <w:tab w:val="left" w:pos="284"/>
              </w:tabs>
              <w:spacing w:after="0" w:line="240" w:lineRule="auto"/>
              <w:jc w:val="center"/>
              <w:rPr>
                <w:rFonts w:ascii="Times New Roman" w:eastAsia="Times New Roman" w:hAnsi="Times New Roman" w:cs="Times New Roman"/>
                <w:b/>
                <w:color w:val="000000"/>
                <w:kern w:val="0"/>
                <w:sz w:val="24"/>
                <w:szCs w:val="24"/>
                <w14:ligatures w14:val="none"/>
              </w:rPr>
            </w:pPr>
            <w:r w:rsidRPr="00DA2E5C">
              <w:rPr>
                <w:rFonts w:ascii="Times New Roman" w:eastAsia="Times New Roman" w:hAnsi="Times New Roman" w:cs="Times New Roman"/>
                <w:b/>
                <w:color w:val="000000"/>
                <w:kern w:val="0"/>
                <w:sz w:val="24"/>
                <w:szCs w:val="24"/>
                <w14:ligatures w14:val="none"/>
              </w:rPr>
              <w:t xml:space="preserve">Reikalavimų atitikimas </w:t>
            </w:r>
            <w:r w:rsidRPr="00DA2E5C">
              <w:rPr>
                <w:rFonts w:ascii="Times New Roman" w:eastAsia="Times New Roman" w:hAnsi="Times New Roman" w:cs="Times New Roman"/>
                <w:b/>
                <w:i/>
                <w:color w:val="FF0000"/>
                <w:kern w:val="0"/>
                <w:sz w:val="24"/>
                <w:szCs w:val="24"/>
                <w14:ligatures w14:val="none"/>
              </w:rPr>
              <w:t>(tiksliai pažymimas techninis parametras gamintojo parengtoje  dokumentacijoje</w:t>
            </w:r>
            <w:r w:rsidR="00B80175">
              <w:rPr>
                <w:rFonts w:ascii="Times New Roman" w:eastAsia="Times New Roman" w:hAnsi="Times New Roman" w:cs="Times New Roman"/>
                <w:b/>
                <w:i/>
                <w:color w:val="FF0000"/>
                <w:kern w:val="0"/>
                <w:sz w:val="24"/>
                <w:szCs w:val="24"/>
                <w14:ligatures w14:val="none"/>
              </w:rPr>
              <w:t xml:space="preserve"> lietuvių kalba</w:t>
            </w:r>
            <w:r w:rsidRPr="00DA2E5C">
              <w:rPr>
                <w:rFonts w:ascii="Times New Roman" w:eastAsia="Times New Roman" w:hAnsi="Times New Roman" w:cs="Times New Roman"/>
                <w:b/>
                <w:i/>
                <w:color w:val="FF0000"/>
                <w:kern w:val="0"/>
                <w:sz w:val="24"/>
                <w:szCs w:val="24"/>
                <w14:ligatures w14:val="none"/>
              </w:rPr>
              <w:t xml:space="preserve">). </w:t>
            </w:r>
            <w:r w:rsidRPr="00DA2E5C">
              <w:rPr>
                <w:rFonts w:ascii="Times New Roman" w:eastAsia="Times New Roman" w:hAnsi="Times New Roman" w:cs="Times New Roman"/>
                <w:b/>
                <w:i/>
                <w:color w:val="000000"/>
                <w:kern w:val="0"/>
                <w:sz w:val="24"/>
                <w:szCs w:val="24"/>
                <w:u w:val="single"/>
                <w14:ligatures w14:val="none"/>
              </w:rPr>
              <w:t xml:space="preserve">Būtina pateikti nuorodą į konkretų psl., pažymėti siūlomą parametrą ir nurodyti jo eil. </w:t>
            </w:r>
            <w:proofErr w:type="spellStart"/>
            <w:r w:rsidRPr="00DA2E5C">
              <w:rPr>
                <w:rFonts w:ascii="Times New Roman" w:eastAsia="Times New Roman" w:hAnsi="Times New Roman" w:cs="Times New Roman"/>
                <w:b/>
                <w:i/>
                <w:color w:val="000000"/>
                <w:kern w:val="0"/>
                <w:sz w:val="24"/>
                <w:szCs w:val="24"/>
                <w:u w:val="single"/>
                <w14:ligatures w14:val="none"/>
              </w:rPr>
              <w:t>nr</w:t>
            </w:r>
            <w:proofErr w:type="spellEnd"/>
            <w:r w:rsidRPr="00DA2E5C">
              <w:rPr>
                <w:rFonts w:ascii="Times New Roman" w:eastAsia="Times New Roman" w:hAnsi="Times New Roman" w:cs="Times New Roman"/>
                <w:b/>
                <w:i/>
                <w:color w:val="000000"/>
                <w:kern w:val="0"/>
                <w:sz w:val="24"/>
                <w:szCs w:val="24"/>
                <w:u w:val="single"/>
                <w14:ligatures w14:val="none"/>
              </w:rPr>
              <w:t>, esantį techninėje specifikacijoje (t. y. spalvotai pažymėti ir/ar nurodyti rodyklėmis ir/ar pabraukti konkrečias teikiamų dokumentų vietas, kur nurodoma atitiktis reikalaujamiems kokybiniams ir techniniams reikalavimams)</w:t>
            </w:r>
          </w:p>
        </w:tc>
      </w:tr>
      <w:tr w:rsidR="000E58D9" w:rsidRPr="00DA2E5C" w14:paraId="0181D3CD" w14:textId="77777777" w:rsidTr="00DA2E5C">
        <w:tc>
          <w:tcPr>
            <w:tcW w:w="851" w:type="dxa"/>
            <w:vAlign w:val="center"/>
          </w:tcPr>
          <w:p w14:paraId="211CCB25" w14:textId="6C280C73"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w:t>
            </w:r>
          </w:p>
        </w:tc>
        <w:tc>
          <w:tcPr>
            <w:tcW w:w="6379" w:type="dxa"/>
          </w:tcPr>
          <w:p w14:paraId="5E257F08" w14:textId="2CAB7495" w:rsidR="000E58D9" w:rsidRPr="00DA2E5C" w:rsidRDefault="000E58D9"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 xml:space="preserve">Tiekėjas turi pasiūlyti 1 (vieną) automatizuotą sistemą (toliau - įranga), kurią sudaro: išskyrimo ir išpilstymo automatas rutininiams tyrimams, papildomas išskyrimo automatas pavieniams tyrimams, ne mažiau kaip 2 PGR </w:t>
            </w:r>
            <w:proofErr w:type="spellStart"/>
            <w:r w:rsidRPr="00DA2E5C">
              <w:rPr>
                <w:rFonts w:ascii="Times New Roman" w:eastAsia="Times New Roman" w:hAnsi="Times New Roman" w:cs="Times New Roman"/>
                <w:kern w:val="0"/>
                <w:sz w:val="24"/>
                <w:szCs w:val="24"/>
                <w14:ligatures w14:val="none"/>
              </w:rPr>
              <w:t>termocikleriai</w:t>
            </w:r>
            <w:proofErr w:type="spellEnd"/>
            <w:r w:rsidRPr="00DA2E5C">
              <w:rPr>
                <w:rFonts w:ascii="Times New Roman" w:eastAsia="Times New Roman" w:hAnsi="Times New Roman" w:cs="Times New Roman"/>
                <w:kern w:val="0"/>
                <w:sz w:val="24"/>
                <w:szCs w:val="24"/>
                <w14:ligatures w14:val="none"/>
              </w:rPr>
              <w:t xml:space="preserve"> (</w:t>
            </w:r>
            <w:r w:rsidRPr="00DA2E5C">
              <w:rPr>
                <w:rFonts w:ascii="Times New Roman" w:eastAsia="Times New Roman" w:hAnsi="Times New Roman" w:cs="Times New Roman"/>
                <w:i/>
                <w:iCs/>
                <w:kern w:val="0"/>
                <w:sz w:val="24"/>
                <w:szCs w:val="24"/>
                <w14:ligatures w14:val="none"/>
              </w:rPr>
              <w:t xml:space="preserve">taikoma </w:t>
            </w:r>
            <w:r w:rsidR="00C11FD5" w:rsidRPr="00DA2E5C">
              <w:rPr>
                <w:rFonts w:ascii="Times New Roman" w:eastAsia="Times New Roman" w:hAnsi="Times New Roman" w:cs="Times New Roman"/>
                <w:i/>
                <w:iCs/>
                <w:kern w:val="0"/>
                <w:sz w:val="24"/>
                <w:szCs w:val="24"/>
                <w14:ligatures w14:val="none"/>
              </w:rPr>
              <w:t>„</w:t>
            </w:r>
            <w:r w:rsidRPr="00DA2E5C">
              <w:rPr>
                <w:rFonts w:ascii="Times New Roman" w:eastAsia="Times New Roman" w:hAnsi="Times New Roman" w:cs="Times New Roman"/>
                <w:i/>
                <w:iCs/>
                <w:kern w:val="0"/>
                <w:sz w:val="24"/>
                <w:szCs w:val="24"/>
                <w14:ligatures w14:val="none"/>
              </w:rPr>
              <w:t>arba lygiavertis</w:t>
            </w:r>
            <w:r w:rsidR="00C11FD5" w:rsidRPr="00DA2E5C">
              <w:rPr>
                <w:rFonts w:ascii="Times New Roman" w:eastAsia="Times New Roman" w:hAnsi="Times New Roman" w:cs="Times New Roman"/>
                <w:i/>
                <w:iCs/>
                <w:kern w:val="0"/>
                <w:sz w:val="24"/>
                <w:szCs w:val="24"/>
                <w14:ligatures w14:val="none"/>
              </w:rPr>
              <w:t>“</w:t>
            </w:r>
            <w:r w:rsidRPr="00DA2E5C">
              <w:rPr>
                <w:rFonts w:ascii="Times New Roman" w:eastAsia="Times New Roman" w:hAnsi="Times New Roman" w:cs="Times New Roman"/>
                <w:kern w:val="0"/>
                <w:sz w:val="24"/>
                <w:szCs w:val="24"/>
                <w14:ligatures w14:val="none"/>
              </w:rPr>
              <w:t xml:space="preserve">). Panaudai teikiama įranga turi būti nauja arba naudota, techniškai tvarkinga, pagaminta ne anksčiau nei 2020 m. </w:t>
            </w:r>
          </w:p>
        </w:tc>
        <w:tc>
          <w:tcPr>
            <w:tcW w:w="3827" w:type="dxa"/>
            <w:vAlign w:val="center"/>
          </w:tcPr>
          <w:p w14:paraId="5F873750" w14:textId="15D41B23" w:rsidR="000E58D9" w:rsidRPr="00DA2E5C" w:rsidRDefault="000E58D9" w:rsidP="00DA2E5C">
            <w:pPr>
              <w:tabs>
                <w:tab w:val="left" w:pos="284"/>
              </w:tabs>
              <w:spacing w:after="0" w:line="240" w:lineRule="auto"/>
              <w:jc w:val="center"/>
              <w:rPr>
                <w:rFonts w:ascii="Times New Roman" w:eastAsia="Times New Roman" w:hAnsi="Times New Roman" w:cs="Times New Roman"/>
                <w:i/>
                <w:kern w:val="0"/>
                <w:sz w:val="24"/>
                <w:szCs w:val="24"/>
                <w14:ligatures w14:val="none"/>
              </w:rPr>
            </w:pPr>
            <w:r w:rsidRPr="00DA2E5C">
              <w:rPr>
                <w:rFonts w:ascii="Times New Roman" w:eastAsia="Times New Roman" w:hAnsi="Times New Roman" w:cs="Times New Roman"/>
                <w:i/>
                <w:kern w:val="0"/>
                <w:sz w:val="24"/>
                <w:szCs w:val="24"/>
                <w14:ligatures w14:val="none"/>
              </w:rPr>
              <w:t>(Pavadinimas, tipas</w:t>
            </w:r>
            <w:r w:rsidR="00286CB1" w:rsidRPr="00DA2E5C">
              <w:rPr>
                <w:rFonts w:ascii="Times New Roman" w:eastAsia="Times New Roman" w:hAnsi="Times New Roman" w:cs="Times New Roman"/>
                <w:i/>
                <w:kern w:val="0"/>
                <w:sz w:val="24"/>
                <w:szCs w:val="24"/>
                <w14:ligatures w14:val="none"/>
              </w:rPr>
              <w:t xml:space="preserve"> </w:t>
            </w:r>
            <w:r w:rsidRPr="00DA2E5C">
              <w:rPr>
                <w:rFonts w:ascii="Times New Roman" w:eastAsia="Times New Roman" w:hAnsi="Times New Roman" w:cs="Times New Roman"/>
                <w:i/>
                <w:kern w:val="0"/>
                <w:sz w:val="24"/>
                <w:szCs w:val="24"/>
                <w14:ligatures w14:val="none"/>
              </w:rPr>
              <w:t>/</w:t>
            </w:r>
            <w:r w:rsidR="00286CB1" w:rsidRPr="00DA2E5C">
              <w:rPr>
                <w:rFonts w:ascii="Times New Roman" w:eastAsia="Times New Roman" w:hAnsi="Times New Roman" w:cs="Times New Roman"/>
                <w:i/>
                <w:kern w:val="0"/>
                <w:sz w:val="24"/>
                <w:szCs w:val="24"/>
                <w14:ligatures w14:val="none"/>
              </w:rPr>
              <w:t xml:space="preserve"> </w:t>
            </w:r>
            <w:r w:rsidRPr="00DA2E5C">
              <w:rPr>
                <w:rFonts w:ascii="Times New Roman" w:eastAsia="Times New Roman" w:hAnsi="Times New Roman" w:cs="Times New Roman"/>
                <w:i/>
                <w:kern w:val="0"/>
                <w:sz w:val="24"/>
                <w:szCs w:val="24"/>
                <w14:ligatures w14:val="none"/>
              </w:rPr>
              <w:t>modelis, gamintojas, pagaminimo data, kilmės šalis)</w:t>
            </w:r>
          </w:p>
        </w:tc>
        <w:tc>
          <w:tcPr>
            <w:tcW w:w="4252" w:type="dxa"/>
          </w:tcPr>
          <w:p w14:paraId="6161D6FF" w14:textId="7D09FE71" w:rsidR="000E58D9" w:rsidRPr="00DA2E5C" w:rsidRDefault="00012802" w:rsidP="00DA2E5C">
            <w:pPr>
              <w:tabs>
                <w:tab w:val="left" w:pos="284"/>
              </w:tabs>
              <w:spacing w:after="0" w:line="240" w:lineRule="auto"/>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Jei siūloma nauja įranga pagaminimo metus pagrindžiančios nuorodos nebūtina pateikti. Atitiktis tikrinama įrangos pristatymo metu. Jei siūloma naudota įranga, kartu su pasiūlymu pateikiama tiekėjo laisvos formos pažyma (aktas), kad įranga yra techniškai tvarkinga, tinkama naudoti, nurodyti pagaminimo metus. Atitiktis pakartotinai bus tikrinama įrangos pristatymo metu.</w:t>
            </w:r>
          </w:p>
        </w:tc>
      </w:tr>
      <w:tr w:rsidR="000E58D9" w:rsidRPr="00DA2E5C" w14:paraId="654EDC5A" w14:textId="77777777" w:rsidTr="00DA2E5C">
        <w:tc>
          <w:tcPr>
            <w:tcW w:w="851" w:type="dxa"/>
            <w:vAlign w:val="center"/>
          </w:tcPr>
          <w:p w14:paraId="6CA706CF" w14:textId="6583391E" w:rsidR="000E58D9" w:rsidRPr="00DA2E5C" w:rsidRDefault="000E58D9" w:rsidP="00DA2E5C">
            <w:pPr>
              <w:tabs>
                <w:tab w:val="left" w:pos="284"/>
              </w:tabs>
              <w:spacing w:after="0" w:line="240" w:lineRule="auto"/>
              <w:jc w:val="center"/>
              <w:rPr>
                <w:rFonts w:ascii="Times New Roman" w:eastAsia="Times New Roman" w:hAnsi="Times New Roman" w:cs="Times New Roman"/>
                <w:color w:val="000000" w:themeColor="text1"/>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2.</w:t>
            </w:r>
          </w:p>
        </w:tc>
        <w:tc>
          <w:tcPr>
            <w:tcW w:w="6379" w:type="dxa"/>
          </w:tcPr>
          <w:p w14:paraId="17BDDDEC" w14:textId="67B03000" w:rsidR="000E58D9" w:rsidRPr="00DA2E5C" w:rsidRDefault="00C64309" w:rsidP="00DA2E5C">
            <w:pPr>
              <w:tabs>
                <w:tab w:val="left" w:pos="284"/>
              </w:tabs>
              <w:spacing w:after="0" w:line="240" w:lineRule="auto"/>
              <w:jc w:val="both"/>
              <w:rPr>
                <w:rFonts w:ascii="Times New Roman" w:eastAsia="Times New Roman" w:hAnsi="Times New Roman" w:cs="Times New Roman"/>
                <w:color w:val="000000" w:themeColor="text1"/>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Sistema turi būti skirta bakterinės ir virusinės kilmės, audinių bei kūno skysčių skyrimui, mėginių išpilstymui bei </w:t>
            </w:r>
            <w:proofErr w:type="spellStart"/>
            <w:r w:rsidRPr="00DA2E5C">
              <w:rPr>
                <w:rFonts w:ascii="Times New Roman" w:eastAsia="Times New Roman" w:hAnsi="Times New Roman" w:cs="Times New Roman"/>
                <w:color w:val="000000"/>
                <w:kern w:val="0"/>
                <w:sz w:val="24"/>
                <w:szCs w:val="24"/>
                <w14:ligatures w14:val="none"/>
              </w:rPr>
              <w:t>tikralaikės</w:t>
            </w:r>
            <w:proofErr w:type="spellEnd"/>
            <w:r w:rsidRPr="00DA2E5C">
              <w:rPr>
                <w:rFonts w:ascii="Times New Roman" w:eastAsia="Times New Roman" w:hAnsi="Times New Roman" w:cs="Times New Roman"/>
                <w:color w:val="000000"/>
                <w:kern w:val="0"/>
                <w:sz w:val="24"/>
                <w:szCs w:val="24"/>
                <w14:ligatures w14:val="none"/>
              </w:rPr>
              <w:t xml:space="preserve"> polimerazės grandininės reakcijos atlikimui </w:t>
            </w:r>
            <w:proofErr w:type="spellStart"/>
            <w:r w:rsidRPr="00DA2E5C">
              <w:rPr>
                <w:rFonts w:ascii="Times New Roman" w:eastAsia="Times New Roman" w:hAnsi="Times New Roman" w:cs="Times New Roman"/>
                <w:color w:val="000000"/>
                <w:kern w:val="0"/>
                <w:sz w:val="24"/>
                <w:szCs w:val="24"/>
                <w14:ligatures w14:val="none"/>
              </w:rPr>
              <w:t>tikralaikės</w:t>
            </w:r>
            <w:proofErr w:type="spellEnd"/>
            <w:r w:rsidRPr="00DA2E5C">
              <w:rPr>
                <w:rFonts w:ascii="Times New Roman" w:eastAsia="Times New Roman" w:hAnsi="Times New Roman" w:cs="Times New Roman"/>
                <w:color w:val="000000"/>
                <w:kern w:val="0"/>
                <w:sz w:val="24"/>
                <w:szCs w:val="24"/>
                <w14:ligatures w14:val="none"/>
              </w:rPr>
              <w:t xml:space="preserve"> PGR metodu</w:t>
            </w:r>
            <w:r w:rsidR="00222B9C">
              <w:rPr>
                <w:rFonts w:ascii="Times New Roman" w:eastAsia="Times New Roman" w:hAnsi="Times New Roman" w:cs="Times New Roman"/>
                <w:color w:val="000000"/>
                <w:kern w:val="0"/>
                <w:sz w:val="24"/>
                <w:szCs w:val="24"/>
                <w14:ligatures w14:val="none"/>
              </w:rPr>
              <w:t xml:space="preserve"> arba lygiaverčiu</w:t>
            </w:r>
            <w:r w:rsidRPr="00DA2E5C">
              <w:rPr>
                <w:rFonts w:ascii="Times New Roman" w:eastAsia="Times New Roman" w:hAnsi="Times New Roman" w:cs="Times New Roman"/>
                <w:color w:val="000000"/>
                <w:kern w:val="0"/>
                <w:sz w:val="24"/>
                <w:szCs w:val="24"/>
                <w14:ligatures w14:val="none"/>
              </w:rPr>
              <w:t>.</w:t>
            </w:r>
          </w:p>
        </w:tc>
        <w:tc>
          <w:tcPr>
            <w:tcW w:w="3827" w:type="dxa"/>
          </w:tcPr>
          <w:p w14:paraId="69F75D94"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51CDF57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75D27549" w14:textId="77777777" w:rsidTr="00DA2E5C">
        <w:tc>
          <w:tcPr>
            <w:tcW w:w="851" w:type="dxa"/>
            <w:vAlign w:val="center"/>
          </w:tcPr>
          <w:p w14:paraId="1D6847C8" w14:textId="357B3E92"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3.</w:t>
            </w:r>
          </w:p>
        </w:tc>
        <w:tc>
          <w:tcPr>
            <w:tcW w:w="6379" w:type="dxa"/>
          </w:tcPr>
          <w:p w14:paraId="21F60202" w14:textId="77777777" w:rsidR="00C64309" w:rsidRPr="00DA2E5C" w:rsidRDefault="00C64309" w:rsidP="00DA2E5C">
            <w:pPr>
              <w:tabs>
                <w:tab w:val="left" w:pos="284"/>
              </w:tabs>
              <w:spacing w:after="0" w:line="240" w:lineRule="auto"/>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Papildoma įranga:</w:t>
            </w:r>
          </w:p>
          <w:p w14:paraId="75B7C164" w14:textId="77777777" w:rsidR="00C64309" w:rsidRPr="00DA2E5C" w:rsidRDefault="00C64309"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1. integruotas spalvotas jutiminis LCD ekranas arba valdymas atskirame kompiuteryje su monitoriumi;</w:t>
            </w:r>
          </w:p>
          <w:p w14:paraId="25832226" w14:textId="77777777" w:rsidR="00C64309" w:rsidRPr="00DA2E5C" w:rsidRDefault="00C64309"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2. integruotas arba išorinis spausdintuvas;</w:t>
            </w:r>
          </w:p>
          <w:p w14:paraId="32C1D95B" w14:textId="1E7D7573" w:rsidR="00C64309" w:rsidRPr="00DA2E5C" w:rsidRDefault="00C64309"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3. vidinis arba išorinis brūkšninių kodų skaitytuvas;</w:t>
            </w:r>
          </w:p>
          <w:p w14:paraId="5E47E3C9" w14:textId="7072E222" w:rsidR="000E58D9" w:rsidRPr="00DA2E5C" w:rsidRDefault="00C64309"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lastRenderedPageBreak/>
              <w:t>4. nepertraukiamos srovės šaltinis</w:t>
            </w:r>
            <w:r w:rsidR="00DB0D96">
              <w:rPr>
                <w:rFonts w:ascii="Times New Roman" w:eastAsia="Times New Roman" w:hAnsi="Times New Roman" w:cs="Times New Roman"/>
                <w:color w:val="000000"/>
                <w:kern w:val="0"/>
                <w:sz w:val="24"/>
                <w:szCs w:val="24"/>
                <w14:ligatures w14:val="none"/>
              </w:rPr>
              <w:t xml:space="preserve"> </w:t>
            </w:r>
            <w:r w:rsidR="00DB0D96">
              <w:rPr>
                <w:rFonts w:ascii="Times New Roman" w:eastAsia="Times New Roman" w:hAnsi="Times New Roman" w:cs="Times New Roman"/>
                <w:i/>
                <w:iCs/>
                <w:color w:val="000000"/>
                <w:kern w:val="0"/>
                <w:sz w:val="24"/>
                <w:szCs w:val="24"/>
                <w14:ligatures w14:val="none"/>
              </w:rPr>
              <w:t xml:space="preserve">(papildomas BVPŽ kodas </w:t>
            </w:r>
            <w:r w:rsidR="00DB0D96" w:rsidRPr="00DB0D96">
              <w:rPr>
                <w:rFonts w:ascii="Times New Roman" w:eastAsia="Times New Roman" w:hAnsi="Times New Roman" w:cs="Times New Roman"/>
                <w:i/>
                <w:iCs/>
                <w:color w:val="000000"/>
                <w:kern w:val="0"/>
                <w:sz w:val="24"/>
                <w:szCs w:val="24"/>
                <w14:ligatures w14:val="none"/>
              </w:rPr>
              <w:t>31154000-0 Nenutrūkstamojo maitinimo šaltiniai</w:t>
            </w:r>
            <w:r w:rsidR="00DB0D96">
              <w:rPr>
                <w:rFonts w:ascii="Times New Roman" w:eastAsia="Times New Roman" w:hAnsi="Times New Roman" w:cs="Times New Roman"/>
                <w:i/>
                <w:iCs/>
                <w:color w:val="000000"/>
                <w:kern w:val="0"/>
                <w:sz w:val="24"/>
                <w:szCs w:val="24"/>
                <w14:ligatures w14:val="none"/>
              </w:rPr>
              <w:t>)</w:t>
            </w:r>
            <w:r w:rsidRPr="00DA2E5C">
              <w:rPr>
                <w:rFonts w:ascii="Times New Roman" w:eastAsia="Times New Roman" w:hAnsi="Times New Roman" w:cs="Times New Roman"/>
                <w:color w:val="000000"/>
                <w:kern w:val="0"/>
                <w:sz w:val="24"/>
                <w:szCs w:val="24"/>
                <w14:ligatures w14:val="none"/>
              </w:rPr>
              <w:t>.</w:t>
            </w:r>
          </w:p>
        </w:tc>
        <w:tc>
          <w:tcPr>
            <w:tcW w:w="3827" w:type="dxa"/>
          </w:tcPr>
          <w:p w14:paraId="06FA7E79"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52D2A360"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3CCC9FBB" w14:textId="77777777" w:rsidTr="00DA2E5C">
        <w:tc>
          <w:tcPr>
            <w:tcW w:w="851" w:type="dxa"/>
            <w:vAlign w:val="center"/>
          </w:tcPr>
          <w:p w14:paraId="25EA6270" w14:textId="0CAE089C"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4</w:t>
            </w:r>
            <w:r w:rsidR="00C64309" w:rsidRPr="00DA2E5C">
              <w:rPr>
                <w:rFonts w:ascii="Times New Roman" w:eastAsia="Times New Roman" w:hAnsi="Times New Roman" w:cs="Times New Roman"/>
                <w:kern w:val="0"/>
                <w:sz w:val="24"/>
                <w:szCs w:val="24"/>
                <w14:ligatures w14:val="none"/>
              </w:rPr>
              <w:t>.</w:t>
            </w:r>
          </w:p>
        </w:tc>
        <w:tc>
          <w:tcPr>
            <w:tcW w:w="6379" w:type="dxa"/>
          </w:tcPr>
          <w:p w14:paraId="46CAEA4E" w14:textId="5950CB9D" w:rsidR="000E58D9" w:rsidRPr="00DA2E5C" w:rsidRDefault="00C64309"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Automatizuotas mėginių išpilstymas, atskiedimas, reakcijų reagentų paskirstymas iš mėgintuvėlių į mėgintuvėlius, iš mėgintuvėlių į plokšteles ar iš plokštelių į plokšteles. Automatizuotas </w:t>
            </w:r>
            <w:proofErr w:type="spellStart"/>
            <w:r w:rsidRPr="00DA2E5C">
              <w:rPr>
                <w:rFonts w:ascii="Times New Roman" w:eastAsia="Times New Roman" w:hAnsi="Times New Roman" w:cs="Times New Roman"/>
                <w:color w:val="000000"/>
                <w:kern w:val="0"/>
                <w:sz w:val="24"/>
                <w:szCs w:val="24"/>
                <w14:ligatures w14:val="none"/>
              </w:rPr>
              <w:t>amplifikacijos</w:t>
            </w:r>
            <w:proofErr w:type="spellEnd"/>
            <w:r w:rsidRPr="00DA2E5C">
              <w:rPr>
                <w:rFonts w:ascii="Times New Roman" w:eastAsia="Times New Roman" w:hAnsi="Times New Roman" w:cs="Times New Roman"/>
                <w:color w:val="000000"/>
                <w:kern w:val="0"/>
                <w:sz w:val="24"/>
                <w:szCs w:val="24"/>
                <w14:ligatures w14:val="none"/>
              </w:rPr>
              <w:t xml:space="preserve"> reakcijos mišinio paruošimas ir išpilstymas. Aparate privalo būti integruota brūkšninių kodų nuskaitymo sistema. </w:t>
            </w:r>
            <w:proofErr w:type="spellStart"/>
            <w:r w:rsidRPr="00DA2E5C">
              <w:rPr>
                <w:rFonts w:ascii="Times New Roman" w:eastAsia="Times New Roman" w:hAnsi="Times New Roman" w:cs="Times New Roman"/>
                <w:color w:val="000000"/>
                <w:kern w:val="0"/>
                <w:sz w:val="24"/>
                <w:szCs w:val="24"/>
                <w14:ligatures w14:val="none"/>
              </w:rPr>
              <w:t>Termocikleris</w:t>
            </w:r>
            <w:proofErr w:type="spellEnd"/>
            <w:r w:rsidRPr="00DA2E5C">
              <w:rPr>
                <w:rFonts w:ascii="Times New Roman" w:eastAsia="Times New Roman" w:hAnsi="Times New Roman" w:cs="Times New Roman"/>
                <w:color w:val="000000"/>
                <w:kern w:val="0"/>
                <w:sz w:val="24"/>
                <w:szCs w:val="24"/>
                <w14:ligatures w14:val="none"/>
              </w:rPr>
              <w:t xml:space="preserve"> turi užtikrinti pilnai automatinę gautų rezultatų analizę ir interpretaciją.</w:t>
            </w:r>
          </w:p>
        </w:tc>
        <w:tc>
          <w:tcPr>
            <w:tcW w:w="3827" w:type="dxa"/>
          </w:tcPr>
          <w:p w14:paraId="718B7CBD"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0F3D46AA"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28F7FA60" w14:textId="77777777" w:rsidTr="00DA2E5C">
        <w:tc>
          <w:tcPr>
            <w:tcW w:w="851" w:type="dxa"/>
            <w:vAlign w:val="center"/>
          </w:tcPr>
          <w:p w14:paraId="111896B6" w14:textId="5F4BF188"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5</w:t>
            </w:r>
            <w:r w:rsidR="006C3BF3" w:rsidRPr="00DA2E5C">
              <w:rPr>
                <w:rFonts w:ascii="Times New Roman" w:eastAsia="Times New Roman" w:hAnsi="Times New Roman" w:cs="Times New Roman"/>
                <w:kern w:val="0"/>
                <w:sz w:val="24"/>
                <w:szCs w:val="24"/>
                <w14:ligatures w14:val="none"/>
              </w:rPr>
              <w:t>.</w:t>
            </w:r>
          </w:p>
        </w:tc>
        <w:tc>
          <w:tcPr>
            <w:tcW w:w="6379" w:type="dxa"/>
          </w:tcPr>
          <w:p w14:paraId="67C9EFF0" w14:textId="2DED69D3" w:rsidR="000E58D9" w:rsidRPr="00DA2E5C" w:rsidRDefault="006C3BF3"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proofErr w:type="spellStart"/>
            <w:r w:rsidRPr="00DA2E5C">
              <w:rPr>
                <w:rFonts w:ascii="Times New Roman" w:eastAsia="Times New Roman" w:hAnsi="Times New Roman" w:cs="Times New Roman"/>
                <w:color w:val="000000"/>
                <w:kern w:val="0"/>
                <w:sz w:val="24"/>
                <w:szCs w:val="24"/>
                <w14:ligatures w14:val="none"/>
              </w:rPr>
              <w:t>Nukleino</w:t>
            </w:r>
            <w:proofErr w:type="spellEnd"/>
            <w:r w:rsidRPr="00DA2E5C">
              <w:rPr>
                <w:rFonts w:ascii="Times New Roman" w:eastAsia="Times New Roman" w:hAnsi="Times New Roman" w:cs="Times New Roman"/>
                <w:color w:val="000000"/>
                <w:kern w:val="0"/>
                <w:sz w:val="24"/>
                <w:szCs w:val="24"/>
                <w14:ligatures w14:val="none"/>
              </w:rPr>
              <w:t xml:space="preserve"> rūgščių skyrimas pagrįstas magnetinių dalelių principu. Vienu mėginių įdėjimu sistema privalo automatiškai išskirti </w:t>
            </w:r>
            <w:proofErr w:type="spellStart"/>
            <w:r w:rsidRPr="00DA2E5C">
              <w:rPr>
                <w:rFonts w:ascii="Times New Roman" w:eastAsia="Times New Roman" w:hAnsi="Times New Roman" w:cs="Times New Roman"/>
                <w:color w:val="000000"/>
                <w:kern w:val="0"/>
                <w:sz w:val="24"/>
                <w:szCs w:val="24"/>
                <w14:ligatures w14:val="none"/>
              </w:rPr>
              <w:t>nukleino</w:t>
            </w:r>
            <w:proofErr w:type="spellEnd"/>
            <w:r w:rsidRPr="00DA2E5C">
              <w:rPr>
                <w:rFonts w:ascii="Times New Roman" w:eastAsia="Times New Roman" w:hAnsi="Times New Roman" w:cs="Times New Roman"/>
                <w:color w:val="000000"/>
                <w:kern w:val="0"/>
                <w:sz w:val="24"/>
                <w:szCs w:val="24"/>
                <w14:ligatures w14:val="none"/>
              </w:rPr>
              <w:t xml:space="preserve"> rūgštis iš ne mažiau kaip 96 mėginių (įskaitant kontroles). Sistema privalo pilnai atlikti tyrimus (nepriklausomai iš kiek analičių jis susideda) ne mažiau kaip 96 mėginiams (įskaitant kontroles).</w:t>
            </w:r>
          </w:p>
        </w:tc>
        <w:tc>
          <w:tcPr>
            <w:tcW w:w="3827" w:type="dxa"/>
          </w:tcPr>
          <w:p w14:paraId="4906A8D2"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1F8769F1"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6C4647E3" w14:textId="77777777" w:rsidTr="00DA2E5C">
        <w:tc>
          <w:tcPr>
            <w:tcW w:w="851" w:type="dxa"/>
            <w:vAlign w:val="center"/>
          </w:tcPr>
          <w:p w14:paraId="4C4CF4B7" w14:textId="3DA17294"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6</w:t>
            </w:r>
            <w:r w:rsidR="006C3BF3" w:rsidRPr="00DA2E5C">
              <w:rPr>
                <w:rFonts w:ascii="Times New Roman" w:eastAsia="Times New Roman" w:hAnsi="Times New Roman" w:cs="Times New Roman"/>
                <w:kern w:val="0"/>
                <w:sz w:val="24"/>
                <w:szCs w:val="24"/>
                <w14:ligatures w14:val="none"/>
              </w:rPr>
              <w:t>.</w:t>
            </w:r>
          </w:p>
        </w:tc>
        <w:tc>
          <w:tcPr>
            <w:tcW w:w="6379" w:type="dxa"/>
            <w:vAlign w:val="center"/>
          </w:tcPr>
          <w:p w14:paraId="3649AD80" w14:textId="1FBB164D" w:rsidR="000E58D9" w:rsidRPr="00DA2E5C" w:rsidRDefault="006C3BF3"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Privaloma krešulio, oro burbulų, putų ar kt. aptikimo mėginiuose sistema. Sistemoje turi būti integruota pilna skysčių aspiracijos ir dozavimo stebėsena.  Nepakankamo mėginio tūrio aptikimas - privalomas.</w:t>
            </w:r>
          </w:p>
        </w:tc>
        <w:tc>
          <w:tcPr>
            <w:tcW w:w="3827" w:type="dxa"/>
          </w:tcPr>
          <w:p w14:paraId="4391C6D1"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4A85060F"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3FF5CE72" w14:textId="77777777" w:rsidTr="00DA2E5C">
        <w:tc>
          <w:tcPr>
            <w:tcW w:w="851" w:type="dxa"/>
            <w:vAlign w:val="center"/>
          </w:tcPr>
          <w:p w14:paraId="5F40B285" w14:textId="3BFF459B"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7</w:t>
            </w:r>
            <w:r w:rsidR="00E2552D" w:rsidRPr="00DA2E5C">
              <w:rPr>
                <w:rFonts w:ascii="Times New Roman" w:eastAsia="Times New Roman" w:hAnsi="Times New Roman" w:cs="Times New Roman"/>
                <w:kern w:val="0"/>
                <w:sz w:val="24"/>
                <w:szCs w:val="24"/>
                <w14:ligatures w14:val="none"/>
              </w:rPr>
              <w:t>.</w:t>
            </w:r>
          </w:p>
        </w:tc>
        <w:tc>
          <w:tcPr>
            <w:tcW w:w="6379" w:type="dxa"/>
          </w:tcPr>
          <w:p w14:paraId="2FA4B169" w14:textId="537A74C9" w:rsidR="000E58D9" w:rsidRPr="00DA2E5C" w:rsidRDefault="00E2552D"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Magnetinių dalelių principu pagrįsto </w:t>
            </w:r>
            <w:proofErr w:type="spellStart"/>
            <w:r w:rsidRPr="00DA2E5C">
              <w:rPr>
                <w:rFonts w:ascii="Times New Roman" w:eastAsia="Times New Roman" w:hAnsi="Times New Roman" w:cs="Times New Roman"/>
                <w:color w:val="000000"/>
                <w:kern w:val="0"/>
                <w:sz w:val="24"/>
                <w:szCs w:val="24"/>
                <w14:ligatures w14:val="none"/>
              </w:rPr>
              <w:t>nukleino</w:t>
            </w:r>
            <w:proofErr w:type="spellEnd"/>
            <w:r w:rsidRPr="00DA2E5C">
              <w:rPr>
                <w:rFonts w:ascii="Times New Roman" w:eastAsia="Times New Roman" w:hAnsi="Times New Roman" w:cs="Times New Roman"/>
                <w:color w:val="000000"/>
                <w:kern w:val="0"/>
                <w:sz w:val="24"/>
                <w:szCs w:val="24"/>
                <w14:ligatures w14:val="none"/>
              </w:rPr>
              <w:t xml:space="preserve"> rūgščių išskyrimo pagalba, </w:t>
            </w:r>
            <w:proofErr w:type="spellStart"/>
            <w:r w:rsidRPr="00DA2E5C">
              <w:rPr>
                <w:rFonts w:ascii="Times New Roman" w:eastAsia="Times New Roman" w:hAnsi="Times New Roman" w:cs="Times New Roman"/>
                <w:color w:val="000000"/>
                <w:kern w:val="0"/>
                <w:sz w:val="24"/>
                <w:szCs w:val="24"/>
                <w14:ligatures w14:val="none"/>
              </w:rPr>
              <w:t>nukleino</w:t>
            </w:r>
            <w:proofErr w:type="spellEnd"/>
            <w:r w:rsidRPr="00DA2E5C">
              <w:rPr>
                <w:rFonts w:ascii="Times New Roman" w:eastAsia="Times New Roman" w:hAnsi="Times New Roman" w:cs="Times New Roman"/>
                <w:color w:val="000000"/>
                <w:kern w:val="0"/>
                <w:sz w:val="24"/>
                <w:szCs w:val="24"/>
                <w14:ligatures w14:val="none"/>
              </w:rPr>
              <w:t xml:space="preserve"> rūgštys privalo būti išskiriamos iš virusinės, bakterinės kilmės mėginių bei mėginių iš kūno audinių bei skysčių.</w:t>
            </w:r>
          </w:p>
        </w:tc>
        <w:tc>
          <w:tcPr>
            <w:tcW w:w="3827" w:type="dxa"/>
          </w:tcPr>
          <w:p w14:paraId="5C36D6D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3EDD042B"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22B3CE99" w14:textId="77777777" w:rsidTr="00DA2E5C">
        <w:tc>
          <w:tcPr>
            <w:tcW w:w="851" w:type="dxa"/>
            <w:vAlign w:val="center"/>
          </w:tcPr>
          <w:p w14:paraId="53FDC9AC" w14:textId="3060FBA2"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8</w:t>
            </w:r>
            <w:r w:rsidR="00E2552D" w:rsidRPr="00DA2E5C">
              <w:rPr>
                <w:rFonts w:ascii="Times New Roman" w:eastAsia="Times New Roman" w:hAnsi="Times New Roman" w:cs="Times New Roman"/>
                <w:kern w:val="0"/>
                <w:sz w:val="24"/>
                <w:szCs w:val="24"/>
                <w14:ligatures w14:val="none"/>
              </w:rPr>
              <w:t>.</w:t>
            </w:r>
          </w:p>
          <w:p w14:paraId="4A2EB8A8" w14:textId="77777777"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p>
        </w:tc>
        <w:tc>
          <w:tcPr>
            <w:tcW w:w="6379" w:type="dxa"/>
          </w:tcPr>
          <w:p w14:paraId="1F6659D6" w14:textId="756B2A60" w:rsidR="000E58D9" w:rsidRPr="00DA2E5C" w:rsidRDefault="00E2552D"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Sistemoje privalo būti integruota UV lempa skirta pilnai sistemos </w:t>
            </w:r>
            <w:proofErr w:type="spellStart"/>
            <w:r w:rsidRPr="00DA2E5C">
              <w:rPr>
                <w:rFonts w:ascii="Times New Roman" w:eastAsia="Times New Roman" w:hAnsi="Times New Roman" w:cs="Times New Roman"/>
                <w:color w:val="000000"/>
                <w:kern w:val="0"/>
                <w:sz w:val="24"/>
                <w:szCs w:val="24"/>
                <w14:ligatures w14:val="none"/>
              </w:rPr>
              <w:t>dekontaminacijai</w:t>
            </w:r>
            <w:proofErr w:type="spellEnd"/>
            <w:r w:rsidRPr="00DA2E5C">
              <w:rPr>
                <w:rFonts w:ascii="Times New Roman" w:eastAsia="Times New Roman" w:hAnsi="Times New Roman" w:cs="Times New Roman"/>
                <w:color w:val="000000"/>
                <w:kern w:val="0"/>
                <w:sz w:val="24"/>
                <w:szCs w:val="24"/>
                <w14:ligatures w14:val="none"/>
              </w:rPr>
              <w:t>.</w:t>
            </w:r>
          </w:p>
        </w:tc>
        <w:tc>
          <w:tcPr>
            <w:tcW w:w="3827" w:type="dxa"/>
          </w:tcPr>
          <w:p w14:paraId="3491229C"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3EE9998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5614DEC8" w14:textId="77777777" w:rsidTr="00DA2E5C">
        <w:tc>
          <w:tcPr>
            <w:tcW w:w="851" w:type="dxa"/>
            <w:vAlign w:val="center"/>
          </w:tcPr>
          <w:p w14:paraId="67099567" w14:textId="08F84F2F"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9</w:t>
            </w:r>
            <w:r w:rsidR="006851A2" w:rsidRPr="00DA2E5C">
              <w:rPr>
                <w:rFonts w:ascii="Times New Roman" w:eastAsia="Times New Roman" w:hAnsi="Times New Roman" w:cs="Times New Roman"/>
                <w:kern w:val="0"/>
                <w:sz w:val="24"/>
                <w:szCs w:val="24"/>
                <w14:ligatures w14:val="none"/>
              </w:rPr>
              <w:t>.</w:t>
            </w:r>
          </w:p>
        </w:tc>
        <w:tc>
          <w:tcPr>
            <w:tcW w:w="6379" w:type="dxa"/>
          </w:tcPr>
          <w:p w14:paraId="4DBFA05F" w14:textId="73312D7A" w:rsidR="000E58D9" w:rsidRPr="00DA2E5C" w:rsidRDefault="006851A2" w:rsidP="00DA2E5C">
            <w:pPr>
              <w:tabs>
                <w:tab w:val="left" w:pos="284"/>
              </w:tabs>
              <w:spacing w:after="0" w:line="240" w:lineRule="auto"/>
              <w:jc w:val="both"/>
              <w:rPr>
                <w:rFonts w:ascii="Times New Roman" w:eastAsia="Times New Roman" w:hAnsi="Times New Roman" w:cs="Times New Roman"/>
                <w:color w:val="000000" w:themeColor="text1"/>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 xml:space="preserve">Molekulinis tyrimo metodas – </w:t>
            </w:r>
            <w:proofErr w:type="spellStart"/>
            <w:r w:rsidRPr="00DA2E5C">
              <w:rPr>
                <w:rFonts w:ascii="Times New Roman" w:eastAsia="Times New Roman" w:hAnsi="Times New Roman" w:cs="Times New Roman"/>
                <w:color w:val="000000" w:themeColor="text1"/>
                <w:kern w:val="0"/>
                <w:sz w:val="24"/>
                <w:szCs w:val="24"/>
                <w14:ligatures w14:val="none"/>
              </w:rPr>
              <w:t>tikralaikė</w:t>
            </w:r>
            <w:proofErr w:type="spellEnd"/>
            <w:r w:rsidRPr="00DA2E5C">
              <w:rPr>
                <w:rFonts w:ascii="Times New Roman" w:eastAsia="Times New Roman" w:hAnsi="Times New Roman" w:cs="Times New Roman"/>
                <w:color w:val="000000" w:themeColor="text1"/>
                <w:kern w:val="0"/>
                <w:sz w:val="24"/>
                <w:szCs w:val="24"/>
                <w14:ligatures w14:val="none"/>
              </w:rPr>
              <w:t xml:space="preserve"> atvirkštinės transkripcijos polimerazės grandininė reakcija (</w:t>
            </w:r>
            <w:proofErr w:type="spellStart"/>
            <w:r w:rsidRPr="00DA2E5C">
              <w:rPr>
                <w:rFonts w:ascii="Times New Roman" w:eastAsia="Times New Roman" w:hAnsi="Times New Roman" w:cs="Times New Roman"/>
                <w:color w:val="000000" w:themeColor="text1"/>
                <w:kern w:val="0"/>
                <w:sz w:val="24"/>
                <w:szCs w:val="24"/>
                <w14:ligatures w14:val="none"/>
              </w:rPr>
              <w:t>tikralaikė</w:t>
            </w:r>
            <w:proofErr w:type="spellEnd"/>
            <w:r w:rsidRPr="00DA2E5C">
              <w:rPr>
                <w:rFonts w:ascii="Times New Roman" w:eastAsia="Times New Roman" w:hAnsi="Times New Roman" w:cs="Times New Roman"/>
                <w:color w:val="000000" w:themeColor="text1"/>
                <w:kern w:val="0"/>
                <w:sz w:val="24"/>
                <w:szCs w:val="24"/>
                <w14:ligatures w14:val="none"/>
              </w:rPr>
              <w:t xml:space="preserve"> AT-PGR).</w:t>
            </w:r>
          </w:p>
        </w:tc>
        <w:tc>
          <w:tcPr>
            <w:tcW w:w="3827" w:type="dxa"/>
          </w:tcPr>
          <w:p w14:paraId="4B78292A"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5BD00321"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4F7FA0B3" w14:textId="77777777" w:rsidTr="00DA2E5C">
        <w:tc>
          <w:tcPr>
            <w:tcW w:w="851" w:type="dxa"/>
            <w:vAlign w:val="center"/>
          </w:tcPr>
          <w:p w14:paraId="79B377AB" w14:textId="7BD65D0B"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10</w:t>
            </w:r>
            <w:r w:rsidR="006851A2" w:rsidRPr="00DA2E5C">
              <w:rPr>
                <w:rFonts w:ascii="Times New Roman" w:eastAsia="Times New Roman" w:hAnsi="Times New Roman" w:cs="Times New Roman"/>
                <w:kern w:val="0"/>
                <w:sz w:val="24"/>
                <w:szCs w:val="24"/>
                <w14:ligatures w14:val="none"/>
              </w:rPr>
              <w:t>.</w:t>
            </w:r>
          </w:p>
        </w:tc>
        <w:tc>
          <w:tcPr>
            <w:tcW w:w="6379" w:type="dxa"/>
          </w:tcPr>
          <w:p w14:paraId="086E5EDF" w14:textId="5BD30BB4"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Tiekėjas privalo pasiūlyti 96 šulinėlių reakcijų (1 reakcijoje nustatomos visos tyrimo analitės) lėkštelę arba mėgintuvėlių strypelius.</w:t>
            </w:r>
          </w:p>
        </w:tc>
        <w:tc>
          <w:tcPr>
            <w:tcW w:w="3827" w:type="dxa"/>
          </w:tcPr>
          <w:p w14:paraId="0D3A3BCD"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0E14D016"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55227EB1" w14:textId="77777777" w:rsidTr="00DA2E5C">
        <w:tc>
          <w:tcPr>
            <w:tcW w:w="851" w:type="dxa"/>
            <w:vAlign w:val="center"/>
          </w:tcPr>
          <w:p w14:paraId="6E44E285" w14:textId="31494F5E"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11</w:t>
            </w:r>
            <w:r w:rsidR="006851A2" w:rsidRPr="00DA2E5C">
              <w:rPr>
                <w:rFonts w:ascii="Times New Roman" w:eastAsia="Times New Roman" w:hAnsi="Times New Roman" w:cs="Times New Roman"/>
                <w:kern w:val="0"/>
                <w:sz w:val="24"/>
                <w:szCs w:val="24"/>
                <w14:ligatures w14:val="none"/>
              </w:rPr>
              <w:t>.</w:t>
            </w:r>
          </w:p>
        </w:tc>
        <w:tc>
          <w:tcPr>
            <w:tcW w:w="6379" w:type="dxa"/>
          </w:tcPr>
          <w:p w14:paraId="6238D7A7" w14:textId="6E2DB485"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Privalo būti ne mažiau kaip 6 sužadinimo kanalai, su daugybine detekcija (ne mažiau kaip 5-iuose kanaluose).</w:t>
            </w:r>
          </w:p>
        </w:tc>
        <w:tc>
          <w:tcPr>
            <w:tcW w:w="3827" w:type="dxa"/>
          </w:tcPr>
          <w:p w14:paraId="39B6166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19866D79"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1E2BE29B" w14:textId="77777777" w:rsidTr="00DA2E5C">
        <w:tc>
          <w:tcPr>
            <w:tcW w:w="851" w:type="dxa"/>
            <w:vAlign w:val="center"/>
          </w:tcPr>
          <w:p w14:paraId="27632DEF" w14:textId="305D4C5E"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12</w:t>
            </w:r>
            <w:r w:rsidR="006851A2" w:rsidRPr="00DA2E5C">
              <w:rPr>
                <w:rFonts w:ascii="Times New Roman" w:eastAsia="Times New Roman" w:hAnsi="Times New Roman" w:cs="Times New Roman"/>
                <w:kern w:val="0"/>
                <w:sz w:val="24"/>
                <w:szCs w:val="24"/>
                <w14:ligatures w14:val="none"/>
              </w:rPr>
              <w:t>.</w:t>
            </w:r>
          </w:p>
        </w:tc>
        <w:tc>
          <w:tcPr>
            <w:tcW w:w="6379" w:type="dxa"/>
          </w:tcPr>
          <w:p w14:paraId="6B4D17C4" w14:textId="3A3F1FAE"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Privaloma rankiniu ir automatiniu būdais parinkti slenkstinę ribą, bazinę liniją, būtina analizuoti </w:t>
            </w:r>
            <w:proofErr w:type="spellStart"/>
            <w:r w:rsidRPr="00DA2E5C">
              <w:rPr>
                <w:rFonts w:ascii="Times New Roman" w:eastAsia="Times New Roman" w:hAnsi="Times New Roman" w:cs="Times New Roman"/>
                <w:color w:val="000000"/>
                <w:kern w:val="0"/>
                <w:sz w:val="24"/>
                <w:szCs w:val="24"/>
                <w14:ligatures w14:val="none"/>
              </w:rPr>
              <w:t>amplifikacijos</w:t>
            </w:r>
            <w:proofErr w:type="spellEnd"/>
            <w:r w:rsidRPr="00DA2E5C">
              <w:rPr>
                <w:rFonts w:ascii="Times New Roman" w:eastAsia="Times New Roman" w:hAnsi="Times New Roman" w:cs="Times New Roman"/>
                <w:color w:val="000000"/>
                <w:kern w:val="0"/>
                <w:sz w:val="24"/>
                <w:szCs w:val="24"/>
                <w14:ligatures w14:val="none"/>
              </w:rPr>
              <w:t xml:space="preserve"> kreives, galimybė analizuoti lydymosi kreives, būtina peržiūrėti skaitines Ct vertes </w:t>
            </w:r>
            <w:r w:rsidRPr="00DA2E5C">
              <w:rPr>
                <w:rFonts w:ascii="Times New Roman" w:eastAsia="Times New Roman" w:hAnsi="Times New Roman" w:cs="Times New Roman"/>
                <w:color w:val="000000"/>
                <w:kern w:val="0"/>
                <w:sz w:val="24"/>
                <w:szCs w:val="24"/>
                <w14:ligatures w14:val="none"/>
              </w:rPr>
              <w:lastRenderedPageBreak/>
              <w:t xml:space="preserve">(visiems detekcijos formatams). Privaloma integruotos programos pagalba atlikti automatinę gautų </w:t>
            </w:r>
            <w:proofErr w:type="spellStart"/>
            <w:r w:rsidRPr="00DA2E5C">
              <w:rPr>
                <w:rFonts w:ascii="Times New Roman" w:eastAsia="Times New Roman" w:hAnsi="Times New Roman" w:cs="Times New Roman"/>
                <w:color w:val="000000"/>
                <w:kern w:val="0"/>
                <w:sz w:val="24"/>
                <w:szCs w:val="24"/>
                <w14:ligatures w14:val="none"/>
              </w:rPr>
              <w:t>rezulatatų</w:t>
            </w:r>
            <w:proofErr w:type="spellEnd"/>
            <w:r w:rsidRPr="00DA2E5C">
              <w:rPr>
                <w:rFonts w:ascii="Times New Roman" w:eastAsia="Times New Roman" w:hAnsi="Times New Roman" w:cs="Times New Roman"/>
                <w:color w:val="000000"/>
                <w:kern w:val="0"/>
                <w:sz w:val="24"/>
                <w:szCs w:val="24"/>
                <w14:ligatures w14:val="none"/>
              </w:rPr>
              <w:t xml:space="preserve"> analizę, rezultatų eksportavimą į </w:t>
            </w:r>
            <w:proofErr w:type="spellStart"/>
            <w:r w:rsidRPr="00DA2E5C">
              <w:rPr>
                <w:rFonts w:ascii="Times New Roman" w:eastAsia="Times New Roman" w:hAnsi="Times New Roman" w:cs="Times New Roman"/>
                <w:color w:val="000000"/>
                <w:kern w:val="0"/>
                <w:sz w:val="24"/>
                <w:szCs w:val="24"/>
                <w14:ligatures w14:val="none"/>
              </w:rPr>
              <w:t>excel</w:t>
            </w:r>
            <w:proofErr w:type="spellEnd"/>
            <w:r w:rsidRPr="00DA2E5C">
              <w:rPr>
                <w:rFonts w:ascii="Times New Roman" w:eastAsia="Times New Roman" w:hAnsi="Times New Roman" w:cs="Times New Roman"/>
                <w:color w:val="000000"/>
                <w:kern w:val="0"/>
                <w:sz w:val="24"/>
                <w:szCs w:val="24"/>
                <w14:ligatures w14:val="none"/>
              </w:rPr>
              <w:t xml:space="preserve"> lenteles bei rezultatų perdavimą į laboratorinę informacinę sistemą (toliau - LIS).</w:t>
            </w:r>
          </w:p>
        </w:tc>
        <w:tc>
          <w:tcPr>
            <w:tcW w:w="3827" w:type="dxa"/>
          </w:tcPr>
          <w:p w14:paraId="0795AF65"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14766C7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74BF43D8" w14:textId="77777777" w:rsidTr="00DA2E5C">
        <w:tc>
          <w:tcPr>
            <w:tcW w:w="851" w:type="dxa"/>
            <w:vAlign w:val="center"/>
          </w:tcPr>
          <w:p w14:paraId="14A111D4" w14:textId="4FF809E1"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13</w:t>
            </w:r>
            <w:r w:rsidR="006851A2" w:rsidRPr="00DA2E5C">
              <w:rPr>
                <w:rFonts w:ascii="Times New Roman" w:eastAsia="Times New Roman" w:hAnsi="Times New Roman" w:cs="Times New Roman"/>
                <w:kern w:val="0"/>
                <w:sz w:val="24"/>
                <w:szCs w:val="24"/>
                <w14:ligatures w14:val="none"/>
              </w:rPr>
              <w:t>.</w:t>
            </w:r>
          </w:p>
        </w:tc>
        <w:tc>
          <w:tcPr>
            <w:tcW w:w="6379" w:type="dxa"/>
          </w:tcPr>
          <w:p w14:paraId="5FD57C0A" w14:textId="587F9314"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Stacionarus arba nešiojamas kompiuteris </w:t>
            </w:r>
            <w:r w:rsidR="00AD0533">
              <w:rPr>
                <w:rFonts w:ascii="Times New Roman" w:eastAsia="Times New Roman" w:hAnsi="Times New Roman" w:cs="Times New Roman"/>
                <w:i/>
                <w:iCs/>
                <w:color w:val="000000"/>
                <w:kern w:val="0"/>
                <w:sz w:val="24"/>
                <w:szCs w:val="24"/>
                <w14:ligatures w14:val="none"/>
              </w:rPr>
              <w:t xml:space="preserve">(papildomas BVPŽ kodas </w:t>
            </w:r>
            <w:r w:rsidR="00AD0533" w:rsidRPr="00AD0533">
              <w:rPr>
                <w:rFonts w:ascii="Times New Roman" w:eastAsia="Times New Roman" w:hAnsi="Times New Roman" w:cs="Times New Roman"/>
                <w:i/>
                <w:iCs/>
                <w:color w:val="000000"/>
                <w:kern w:val="0"/>
                <w:sz w:val="24"/>
                <w:szCs w:val="24"/>
                <w14:ligatures w14:val="none"/>
              </w:rPr>
              <w:t>30211200-3 Pagrindinė techninė kompiuterio įranga</w:t>
            </w:r>
            <w:r w:rsidR="00AD0533">
              <w:rPr>
                <w:rFonts w:ascii="Times New Roman" w:eastAsia="Times New Roman" w:hAnsi="Times New Roman" w:cs="Times New Roman"/>
                <w:i/>
                <w:iCs/>
                <w:color w:val="000000"/>
                <w:kern w:val="0"/>
                <w:sz w:val="24"/>
                <w:szCs w:val="24"/>
                <w14:ligatures w14:val="none"/>
              </w:rPr>
              <w:t xml:space="preserve">) </w:t>
            </w:r>
            <w:r w:rsidRPr="00DA2E5C">
              <w:rPr>
                <w:rFonts w:ascii="Times New Roman" w:eastAsia="Times New Roman" w:hAnsi="Times New Roman" w:cs="Times New Roman"/>
                <w:color w:val="000000"/>
                <w:kern w:val="0"/>
                <w:sz w:val="24"/>
                <w:szCs w:val="24"/>
                <w14:ligatures w14:val="none"/>
              </w:rPr>
              <w:t>užtikrinantis sistemos, procesų, tyrimo protokolų valdymą, automatinę rezultatų analizę, duomenų apdorojimą ir saugojimą.</w:t>
            </w:r>
          </w:p>
        </w:tc>
        <w:tc>
          <w:tcPr>
            <w:tcW w:w="3827" w:type="dxa"/>
          </w:tcPr>
          <w:p w14:paraId="1C0465B4"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6FBE5B3E"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4C6AB874" w14:textId="77777777" w:rsidTr="00DA2E5C">
        <w:tc>
          <w:tcPr>
            <w:tcW w:w="851" w:type="dxa"/>
            <w:vAlign w:val="center"/>
          </w:tcPr>
          <w:p w14:paraId="689AAC14" w14:textId="5CEB539D"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14</w:t>
            </w:r>
            <w:r w:rsidR="006851A2" w:rsidRPr="00DA2E5C">
              <w:rPr>
                <w:rFonts w:ascii="Times New Roman" w:eastAsia="Times New Roman" w:hAnsi="Times New Roman" w:cs="Times New Roman"/>
                <w:kern w:val="0"/>
                <w:sz w:val="24"/>
                <w:szCs w:val="24"/>
                <w14:ligatures w14:val="none"/>
              </w:rPr>
              <w:t>.</w:t>
            </w:r>
          </w:p>
        </w:tc>
        <w:tc>
          <w:tcPr>
            <w:tcW w:w="6379" w:type="dxa"/>
          </w:tcPr>
          <w:p w14:paraId="738F1AC9" w14:textId="1D782E82"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Pateikiami rezultatai nereikalauja operatoriaus interpretacijos ir yra aiškiai apibrėžti („Teigiamas“ arba „+“, „Neigiamas“ arba „-“, „Nevertinamas“ arba „</w:t>
            </w:r>
            <w:proofErr w:type="spellStart"/>
            <w:r w:rsidRPr="00DA2E5C">
              <w:rPr>
                <w:rFonts w:ascii="Times New Roman" w:eastAsia="Times New Roman" w:hAnsi="Times New Roman" w:cs="Times New Roman"/>
                <w:color w:val="000000"/>
                <w:kern w:val="0"/>
                <w:sz w:val="24"/>
                <w:szCs w:val="24"/>
                <w14:ligatures w14:val="none"/>
              </w:rPr>
              <w:t>Invalid</w:t>
            </w:r>
            <w:proofErr w:type="spellEnd"/>
            <w:r w:rsidRPr="00DA2E5C">
              <w:rPr>
                <w:rFonts w:ascii="Times New Roman" w:eastAsia="Times New Roman" w:hAnsi="Times New Roman" w:cs="Times New Roman"/>
                <w:color w:val="000000"/>
                <w:kern w:val="0"/>
                <w:sz w:val="24"/>
                <w:szCs w:val="24"/>
                <w14:ligatures w14:val="none"/>
              </w:rPr>
              <w:t xml:space="preserve">“), nurodant mėginyje aptiktą </w:t>
            </w:r>
            <w:proofErr w:type="spellStart"/>
            <w:r w:rsidRPr="00DA2E5C">
              <w:rPr>
                <w:rFonts w:ascii="Times New Roman" w:eastAsia="Times New Roman" w:hAnsi="Times New Roman" w:cs="Times New Roman"/>
                <w:color w:val="000000"/>
                <w:kern w:val="0"/>
                <w:sz w:val="24"/>
                <w:szCs w:val="24"/>
                <w14:ligatures w14:val="none"/>
              </w:rPr>
              <w:t>sukelėją</w:t>
            </w:r>
            <w:proofErr w:type="spellEnd"/>
            <w:r w:rsidRPr="00DA2E5C">
              <w:rPr>
                <w:rFonts w:ascii="Times New Roman" w:eastAsia="Times New Roman" w:hAnsi="Times New Roman" w:cs="Times New Roman"/>
                <w:color w:val="000000"/>
                <w:kern w:val="0"/>
                <w:sz w:val="24"/>
                <w:szCs w:val="24"/>
                <w14:ligatures w14:val="none"/>
              </w:rPr>
              <w:t>.</w:t>
            </w:r>
          </w:p>
        </w:tc>
        <w:tc>
          <w:tcPr>
            <w:tcW w:w="3827" w:type="dxa"/>
          </w:tcPr>
          <w:p w14:paraId="540377E5"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241B752B"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4B0A769B" w14:textId="77777777" w:rsidTr="00DA2E5C">
        <w:tc>
          <w:tcPr>
            <w:tcW w:w="851" w:type="dxa"/>
            <w:vAlign w:val="center"/>
          </w:tcPr>
          <w:p w14:paraId="35331F12" w14:textId="1106B253"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15</w:t>
            </w:r>
            <w:r w:rsidR="006851A2" w:rsidRPr="00DA2E5C">
              <w:rPr>
                <w:rFonts w:ascii="Times New Roman" w:eastAsia="Times New Roman" w:hAnsi="Times New Roman" w:cs="Times New Roman"/>
                <w:kern w:val="0"/>
                <w:sz w:val="24"/>
                <w:szCs w:val="24"/>
                <w14:ligatures w14:val="none"/>
              </w:rPr>
              <w:t>.</w:t>
            </w:r>
          </w:p>
        </w:tc>
        <w:tc>
          <w:tcPr>
            <w:tcW w:w="6379" w:type="dxa"/>
          </w:tcPr>
          <w:p w14:paraId="60A9C3C4" w14:textId="283F2734" w:rsidR="000E58D9" w:rsidRPr="00DA2E5C" w:rsidRDefault="006851A2" w:rsidP="00DA2E5C">
            <w:pPr>
              <w:tabs>
                <w:tab w:val="left" w:pos="284"/>
              </w:tabs>
              <w:spacing w:after="0" w:line="240" w:lineRule="auto"/>
              <w:jc w:val="both"/>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Būtinas mėgintuvėlių (mėginių) identifikavimas automatiškai nuskaitant brūkšninį </w:t>
            </w:r>
            <w:r w:rsidR="0079360D">
              <w:rPr>
                <w:rFonts w:ascii="Times New Roman" w:eastAsia="Times New Roman" w:hAnsi="Times New Roman" w:cs="Times New Roman"/>
                <w:color w:val="000000"/>
                <w:kern w:val="0"/>
                <w:sz w:val="24"/>
                <w:szCs w:val="24"/>
                <w14:ligatures w14:val="none"/>
              </w:rPr>
              <w:t xml:space="preserve">arba QR </w:t>
            </w:r>
            <w:r w:rsidRPr="00DA2E5C">
              <w:rPr>
                <w:rFonts w:ascii="Times New Roman" w:eastAsia="Times New Roman" w:hAnsi="Times New Roman" w:cs="Times New Roman"/>
                <w:color w:val="000000"/>
                <w:kern w:val="0"/>
                <w:sz w:val="24"/>
                <w:szCs w:val="24"/>
                <w14:ligatures w14:val="none"/>
              </w:rPr>
              <w:t>kodą (integruotas ar išorinis brūkšninių kodų skaitytuvas).</w:t>
            </w:r>
          </w:p>
        </w:tc>
        <w:tc>
          <w:tcPr>
            <w:tcW w:w="3827" w:type="dxa"/>
          </w:tcPr>
          <w:p w14:paraId="6BC81582"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75EE1E39"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54732C83" w14:textId="77777777" w:rsidTr="00DA2E5C">
        <w:tc>
          <w:tcPr>
            <w:tcW w:w="851" w:type="dxa"/>
            <w:vAlign w:val="center"/>
          </w:tcPr>
          <w:p w14:paraId="6B74E28F" w14:textId="6D603B70"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16</w:t>
            </w:r>
            <w:r w:rsidR="006851A2" w:rsidRPr="00DA2E5C">
              <w:rPr>
                <w:rFonts w:ascii="Times New Roman" w:eastAsia="Times New Roman" w:hAnsi="Times New Roman" w:cs="Times New Roman"/>
                <w:kern w:val="0"/>
                <w:sz w:val="24"/>
                <w:szCs w:val="24"/>
                <w14:ligatures w14:val="none"/>
              </w:rPr>
              <w:t>.</w:t>
            </w:r>
          </w:p>
        </w:tc>
        <w:tc>
          <w:tcPr>
            <w:tcW w:w="6379" w:type="dxa"/>
          </w:tcPr>
          <w:p w14:paraId="7BFA3BFB" w14:textId="5838B78E" w:rsidR="000E58D9" w:rsidRPr="00DA2E5C" w:rsidRDefault="006851A2"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Privalo būti nuolatinis reagentų stabilumo ir kiekio, papildomų priemonių ir atliekų kiekio įrangoje sekimas. Operatorius privalo gauti atitinkamą įspėjimą apie besibaigiančius reagentus ir papildomas priemones.</w:t>
            </w:r>
          </w:p>
        </w:tc>
        <w:tc>
          <w:tcPr>
            <w:tcW w:w="3827" w:type="dxa"/>
          </w:tcPr>
          <w:p w14:paraId="49DC009F"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1810B818"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6AB9EC29" w14:textId="77777777" w:rsidTr="00DA2E5C">
        <w:tc>
          <w:tcPr>
            <w:tcW w:w="851" w:type="dxa"/>
            <w:vAlign w:val="center"/>
          </w:tcPr>
          <w:p w14:paraId="617F757B" w14:textId="2213DD85"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17</w:t>
            </w:r>
            <w:r w:rsidR="006851A2" w:rsidRPr="00DA2E5C">
              <w:rPr>
                <w:rFonts w:ascii="Times New Roman" w:eastAsia="Times New Roman" w:hAnsi="Times New Roman" w:cs="Times New Roman"/>
                <w:kern w:val="0"/>
                <w:sz w:val="24"/>
                <w:szCs w:val="24"/>
                <w14:ligatures w14:val="none"/>
              </w:rPr>
              <w:t>.</w:t>
            </w:r>
          </w:p>
        </w:tc>
        <w:tc>
          <w:tcPr>
            <w:tcW w:w="6379" w:type="dxa"/>
          </w:tcPr>
          <w:p w14:paraId="0C00C716" w14:textId="59B1BD24" w:rsidR="000E58D9" w:rsidRPr="00DA2E5C" w:rsidRDefault="006851A2"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Sistemos prietaisai integruotos programos pagalba turi būti suderinti, </w:t>
            </w:r>
            <w:proofErr w:type="spellStart"/>
            <w:r w:rsidRPr="00DA2E5C">
              <w:rPr>
                <w:rFonts w:ascii="Times New Roman" w:eastAsia="Times New Roman" w:hAnsi="Times New Roman" w:cs="Times New Roman"/>
                <w:color w:val="000000"/>
                <w:kern w:val="0"/>
                <w:sz w:val="24"/>
                <w:szCs w:val="24"/>
                <w14:ligatures w14:val="none"/>
              </w:rPr>
              <w:t>t.y</w:t>
            </w:r>
            <w:proofErr w:type="spellEnd"/>
            <w:r w:rsidRPr="00DA2E5C">
              <w:rPr>
                <w:rFonts w:ascii="Times New Roman" w:eastAsia="Times New Roman" w:hAnsi="Times New Roman" w:cs="Times New Roman"/>
                <w:color w:val="000000"/>
                <w:kern w:val="0"/>
                <w:sz w:val="24"/>
                <w:szCs w:val="24"/>
                <w14:ligatures w14:val="none"/>
              </w:rPr>
              <w:t xml:space="preserve">. turi būti užtikrinamas tiesioginis mėginių informacijos perkėlimas iš </w:t>
            </w:r>
            <w:proofErr w:type="spellStart"/>
            <w:r w:rsidRPr="00DA2E5C">
              <w:rPr>
                <w:rFonts w:ascii="Times New Roman" w:eastAsia="Times New Roman" w:hAnsi="Times New Roman" w:cs="Times New Roman"/>
                <w:color w:val="000000"/>
                <w:kern w:val="0"/>
                <w:sz w:val="24"/>
                <w:szCs w:val="24"/>
                <w14:ligatures w14:val="none"/>
              </w:rPr>
              <w:t>nukleino</w:t>
            </w:r>
            <w:proofErr w:type="spellEnd"/>
            <w:r w:rsidRPr="00DA2E5C">
              <w:rPr>
                <w:rFonts w:ascii="Times New Roman" w:eastAsia="Times New Roman" w:hAnsi="Times New Roman" w:cs="Times New Roman"/>
                <w:color w:val="000000"/>
                <w:kern w:val="0"/>
                <w:sz w:val="24"/>
                <w:szCs w:val="24"/>
                <w14:ligatures w14:val="none"/>
              </w:rPr>
              <w:t xml:space="preserve"> rūgščių išskyrimo sistemos į RL-PGR sistemą.</w:t>
            </w:r>
          </w:p>
        </w:tc>
        <w:tc>
          <w:tcPr>
            <w:tcW w:w="3827" w:type="dxa"/>
          </w:tcPr>
          <w:p w14:paraId="14E25B8E"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4ADF11C7"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0F3B1DC4" w14:textId="77777777" w:rsidTr="00DA2E5C">
        <w:tc>
          <w:tcPr>
            <w:tcW w:w="851" w:type="dxa"/>
            <w:vAlign w:val="center"/>
          </w:tcPr>
          <w:p w14:paraId="79A5DE2C" w14:textId="16AD38B4"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18</w:t>
            </w:r>
            <w:r w:rsidR="006851A2" w:rsidRPr="00DA2E5C">
              <w:rPr>
                <w:rFonts w:ascii="Times New Roman" w:eastAsia="Times New Roman" w:hAnsi="Times New Roman" w:cs="Times New Roman"/>
                <w:kern w:val="0"/>
                <w:sz w:val="24"/>
                <w:szCs w:val="24"/>
                <w14:ligatures w14:val="none"/>
              </w:rPr>
              <w:t>.</w:t>
            </w:r>
          </w:p>
        </w:tc>
        <w:tc>
          <w:tcPr>
            <w:tcW w:w="6379" w:type="dxa"/>
          </w:tcPr>
          <w:p w14:paraId="722E9CD7" w14:textId="412FBA7F" w:rsidR="000E58D9" w:rsidRPr="00DA2E5C" w:rsidRDefault="006851A2"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Operatorius privalo matyti, kiek laiko liko iki mėginių ištyrimo pabaigos.</w:t>
            </w:r>
          </w:p>
        </w:tc>
        <w:tc>
          <w:tcPr>
            <w:tcW w:w="3827" w:type="dxa"/>
          </w:tcPr>
          <w:p w14:paraId="0143D121"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21BA9D8E"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0E58D9" w:rsidRPr="00DA2E5C" w14:paraId="08ABD8FA" w14:textId="77777777" w:rsidTr="00DA2E5C">
        <w:tc>
          <w:tcPr>
            <w:tcW w:w="851" w:type="dxa"/>
            <w:vAlign w:val="center"/>
          </w:tcPr>
          <w:p w14:paraId="69F1AAA0" w14:textId="0CF6A79B" w:rsidR="000E58D9" w:rsidRPr="00DA2E5C" w:rsidRDefault="000E58D9" w:rsidP="00DA2E5C">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19</w:t>
            </w:r>
            <w:r w:rsidR="006851A2" w:rsidRPr="00DA2E5C">
              <w:rPr>
                <w:rFonts w:ascii="Times New Roman" w:eastAsia="Times New Roman" w:hAnsi="Times New Roman" w:cs="Times New Roman"/>
                <w:kern w:val="0"/>
                <w:sz w:val="24"/>
                <w:szCs w:val="24"/>
                <w14:ligatures w14:val="none"/>
              </w:rPr>
              <w:t>.</w:t>
            </w:r>
          </w:p>
        </w:tc>
        <w:tc>
          <w:tcPr>
            <w:tcW w:w="6379" w:type="dxa"/>
          </w:tcPr>
          <w:p w14:paraId="6128C3A4" w14:textId="26411094" w:rsidR="000E58D9" w:rsidRPr="00DA2E5C" w:rsidRDefault="006851A2" w:rsidP="00DA2E5C">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Sistema  ir reagentai turi turėti CE-IVD arba lygiavertį ženklinimą.</w:t>
            </w:r>
          </w:p>
        </w:tc>
        <w:tc>
          <w:tcPr>
            <w:tcW w:w="3827" w:type="dxa"/>
          </w:tcPr>
          <w:p w14:paraId="73E64683"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642C0AEC" w14:textId="77777777" w:rsidR="000E58D9" w:rsidRPr="00DA2E5C" w:rsidRDefault="000E58D9" w:rsidP="00DA2E5C">
            <w:pPr>
              <w:tabs>
                <w:tab w:val="left" w:pos="284"/>
              </w:tabs>
              <w:spacing w:after="0" w:line="240" w:lineRule="auto"/>
              <w:rPr>
                <w:rFonts w:ascii="Times New Roman" w:eastAsia="Times New Roman" w:hAnsi="Times New Roman" w:cs="Times New Roman"/>
                <w:kern w:val="0"/>
                <w:sz w:val="24"/>
                <w:szCs w:val="24"/>
                <w14:ligatures w14:val="none"/>
              </w:rPr>
            </w:pPr>
          </w:p>
        </w:tc>
      </w:tr>
      <w:tr w:rsidR="003B2335" w:rsidRPr="00DA2E5C" w14:paraId="7A1BB65D" w14:textId="77777777" w:rsidTr="00DA2E5C">
        <w:tc>
          <w:tcPr>
            <w:tcW w:w="851" w:type="dxa"/>
            <w:vAlign w:val="center"/>
          </w:tcPr>
          <w:p w14:paraId="43AFAF1C" w14:textId="0B9B2353" w:rsidR="003B2335" w:rsidRPr="00DA2E5C" w:rsidRDefault="003B2335" w:rsidP="003B2335">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20.</w:t>
            </w:r>
          </w:p>
        </w:tc>
        <w:tc>
          <w:tcPr>
            <w:tcW w:w="6379" w:type="dxa"/>
          </w:tcPr>
          <w:p w14:paraId="6149D1D9" w14:textId="4CC4C573" w:rsidR="003B2335" w:rsidRPr="00DA2E5C" w:rsidRDefault="003B2335" w:rsidP="003B2335">
            <w:pPr>
              <w:pStyle w:val="Default"/>
              <w:jc w:val="both"/>
              <w:rPr>
                <w:rFonts w:eastAsia="Times New Roman"/>
                <w14:ligatures w14:val="none"/>
              </w:rPr>
            </w:pPr>
            <w:r w:rsidRPr="00B7272C">
              <w:rPr>
                <w:color w:val="222222"/>
                <w:shd w:val="clear" w:color="auto" w:fill="FFFFFF"/>
                <w:lang w:val="pt-BR"/>
              </w:rPr>
              <w:t xml:space="preserve">Sistema turi būti prijungiama prie LIS dvikrypte jungtimi. Turi būti pateiktas pajungimo protokolas. Programinė įranga </w:t>
            </w:r>
            <w:r w:rsidR="00EE53B6">
              <w:rPr>
                <w:i/>
                <w:iCs/>
                <w:color w:val="222222"/>
                <w:shd w:val="clear" w:color="auto" w:fill="FFFFFF"/>
                <w:lang w:val="pt-BR"/>
              </w:rPr>
              <w:t xml:space="preserve">(papildomas BVPŽ kodas </w:t>
            </w:r>
            <w:r w:rsidR="00097C52" w:rsidRPr="00097C52">
              <w:rPr>
                <w:i/>
                <w:iCs/>
                <w:color w:val="222222"/>
                <w:shd w:val="clear" w:color="auto" w:fill="FFFFFF"/>
                <w:lang w:val="lt-LT"/>
              </w:rPr>
              <w:t>48900000-7 Įvairūs programinės įrangos paketai ir kompiuterių sistemos</w:t>
            </w:r>
            <w:r w:rsidR="00EE53B6">
              <w:rPr>
                <w:i/>
                <w:iCs/>
                <w:color w:val="222222"/>
                <w:shd w:val="clear" w:color="auto" w:fill="FFFFFF"/>
                <w:lang w:val="lt-LT"/>
              </w:rPr>
              <w:t xml:space="preserve">) </w:t>
            </w:r>
            <w:r w:rsidRPr="00B7272C">
              <w:rPr>
                <w:color w:val="222222"/>
                <w:shd w:val="clear" w:color="auto" w:fill="FFFFFF"/>
                <w:lang w:val="pt-BR"/>
              </w:rPr>
              <w:t xml:space="preserve">turi būti suderinama su LIS OpenLims (Stapro s.r.o., Čekija), palaikyti ASTM arba HL7 protokolus, užtikrinti duomenų mainus per TCP/IP arba RS232 sąsają. Turi būti perduodami šie duomenys: tyrimų atsakymai, tyrimų atlikimo laikas, analizatoriaus ID, operatoriaus ID, </w:t>
            </w:r>
            <w:r w:rsidRPr="00B7272C">
              <w:rPr>
                <w:color w:val="222222"/>
                <w:shd w:val="clear" w:color="auto" w:fill="FFFFFF"/>
                <w:lang w:val="pt-BR"/>
              </w:rPr>
              <w:lastRenderedPageBreak/>
              <w:t>kokybės kontrolės duomenys. Tiekėjas privalo užtikrinti visišką suderinamumą su LIS ir bendradarbiauti pajungimo metu.</w:t>
            </w:r>
          </w:p>
        </w:tc>
        <w:tc>
          <w:tcPr>
            <w:tcW w:w="3827" w:type="dxa"/>
          </w:tcPr>
          <w:p w14:paraId="680459C1" w14:textId="77777777" w:rsidR="003B2335" w:rsidRPr="00DA2E5C" w:rsidRDefault="003B2335" w:rsidP="003B2335">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09F43ED9" w14:textId="77777777" w:rsidR="003B2335" w:rsidRPr="0040675B" w:rsidRDefault="003B2335" w:rsidP="003B2335">
            <w:pPr>
              <w:tabs>
                <w:tab w:val="left" w:pos="284"/>
              </w:tabs>
              <w:spacing w:after="0" w:line="240" w:lineRule="auto"/>
              <w:rPr>
                <w:rFonts w:ascii="Times New Roman" w:eastAsia="Times New Roman" w:hAnsi="Times New Roman" w:cs="Times New Roman"/>
                <w:kern w:val="0"/>
                <w:sz w:val="24"/>
                <w:szCs w:val="24"/>
                <w:lang w:val="pt-BR"/>
                <w14:ligatures w14:val="none"/>
              </w:rPr>
            </w:pPr>
          </w:p>
        </w:tc>
      </w:tr>
      <w:tr w:rsidR="003B2335" w:rsidRPr="00DA2E5C" w14:paraId="7F9C3D96" w14:textId="77777777" w:rsidTr="00DA2E5C">
        <w:tc>
          <w:tcPr>
            <w:tcW w:w="851" w:type="dxa"/>
            <w:vAlign w:val="center"/>
          </w:tcPr>
          <w:p w14:paraId="142FFC15" w14:textId="0E769955" w:rsidR="003B2335" w:rsidRPr="00DA2E5C" w:rsidRDefault="003B2335" w:rsidP="003B2335">
            <w:pPr>
              <w:tabs>
                <w:tab w:val="left" w:pos="284"/>
              </w:tabs>
              <w:spacing w:after="0" w:line="240" w:lineRule="auto"/>
              <w:jc w:val="center"/>
              <w:rPr>
                <w:rFonts w:ascii="Times New Roman" w:eastAsia="Times New Roman" w:hAnsi="Times New Roman" w:cs="Times New Roman"/>
                <w:kern w:val="0"/>
                <w:sz w:val="24"/>
                <w:szCs w:val="24"/>
                <w14:ligatures w14:val="none"/>
              </w:rPr>
            </w:pPr>
            <w:r w:rsidRPr="00DA2E5C">
              <w:rPr>
                <w:rFonts w:ascii="Times New Roman" w:eastAsia="Times New Roman" w:hAnsi="Times New Roman" w:cs="Times New Roman"/>
                <w:kern w:val="0"/>
                <w:sz w:val="24"/>
                <w:szCs w:val="24"/>
                <w14:ligatures w14:val="none"/>
              </w:rPr>
              <w:t>21.</w:t>
            </w:r>
          </w:p>
        </w:tc>
        <w:tc>
          <w:tcPr>
            <w:tcW w:w="6379" w:type="dxa"/>
          </w:tcPr>
          <w:p w14:paraId="16E975A7" w14:textId="435C5A0B" w:rsidR="003B2335" w:rsidRPr="00DA2E5C" w:rsidRDefault="003B2335" w:rsidP="003B2335">
            <w:pPr>
              <w:tabs>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DA2E5C">
              <w:rPr>
                <w:rFonts w:ascii="Times New Roman" w:eastAsia="Times New Roman" w:hAnsi="Times New Roman" w:cs="Times New Roman"/>
                <w:color w:val="000000"/>
                <w:kern w:val="0"/>
                <w:sz w:val="24"/>
                <w:szCs w:val="24"/>
                <w14:ligatures w14:val="none"/>
              </w:rPr>
              <w:t xml:space="preserve">Integruotas ar išorinis brūkšninių kodų skaitytuvas, identifikuojantis reagentų (pavadinimą, reagento vietą įrangoje, partijos Nr., stabilumą įrangoje, galiojimo laiką, likusį tyrimų skaičių (neapsiribojant)) brūkšninių kodų informaciją. Privalomai turi būti atpažįstamas brūkšninis kodas, kurio tipas </w:t>
            </w:r>
            <w:proofErr w:type="spellStart"/>
            <w:r w:rsidRPr="00DA2E5C">
              <w:rPr>
                <w:rFonts w:ascii="Times New Roman" w:eastAsia="Times New Roman" w:hAnsi="Times New Roman" w:cs="Times New Roman"/>
                <w:color w:val="000000"/>
                <w:kern w:val="0"/>
                <w:sz w:val="24"/>
                <w:szCs w:val="24"/>
                <w14:ligatures w14:val="none"/>
              </w:rPr>
              <w:t>Code</w:t>
            </w:r>
            <w:proofErr w:type="spellEnd"/>
            <w:r w:rsidRPr="00DA2E5C">
              <w:rPr>
                <w:rFonts w:ascii="Times New Roman" w:eastAsia="Times New Roman" w:hAnsi="Times New Roman" w:cs="Times New Roman"/>
                <w:color w:val="000000"/>
                <w:kern w:val="0"/>
                <w:sz w:val="24"/>
                <w:szCs w:val="24"/>
                <w14:ligatures w14:val="none"/>
              </w:rPr>
              <w:t xml:space="preserve"> 128 (pageidautina, kad būtų atpažįstami kodų tipai </w:t>
            </w:r>
            <w:proofErr w:type="spellStart"/>
            <w:r w:rsidRPr="00DA2E5C">
              <w:rPr>
                <w:rFonts w:ascii="Times New Roman" w:eastAsia="Times New Roman" w:hAnsi="Times New Roman" w:cs="Times New Roman"/>
                <w:color w:val="000000"/>
                <w:kern w:val="0"/>
                <w:sz w:val="24"/>
                <w:szCs w:val="24"/>
                <w14:ligatures w14:val="none"/>
              </w:rPr>
              <w:t>Code</w:t>
            </w:r>
            <w:proofErr w:type="spellEnd"/>
            <w:r w:rsidRPr="00DA2E5C">
              <w:rPr>
                <w:rFonts w:ascii="Times New Roman" w:eastAsia="Times New Roman" w:hAnsi="Times New Roman" w:cs="Times New Roman"/>
                <w:color w:val="000000"/>
                <w:kern w:val="0"/>
                <w:sz w:val="24"/>
                <w:szCs w:val="24"/>
                <w14:ligatures w14:val="none"/>
              </w:rPr>
              <w:t xml:space="preserve"> 39, </w:t>
            </w:r>
            <w:proofErr w:type="spellStart"/>
            <w:r w:rsidRPr="00DA2E5C">
              <w:rPr>
                <w:rFonts w:ascii="Times New Roman" w:eastAsia="Times New Roman" w:hAnsi="Times New Roman" w:cs="Times New Roman"/>
                <w:color w:val="000000"/>
                <w:kern w:val="0"/>
                <w:sz w:val="24"/>
                <w:szCs w:val="24"/>
                <w14:ligatures w14:val="none"/>
              </w:rPr>
              <w:t>Interleaved</w:t>
            </w:r>
            <w:proofErr w:type="spellEnd"/>
            <w:r w:rsidRPr="00DA2E5C">
              <w:rPr>
                <w:rFonts w:ascii="Times New Roman" w:eastAsia="Times New Roman" w:hAnsi="Times New Roman" w:cs="Times New Roman"/>
                <w:color w:val="000000"/>
                <w:kern w:val="0"/>
                <w:sz w:val="24"/>
                <w:szCs w:val="24"/>
                <w14:ligatures w14:val="none"/>
              </w:rPr>
              <w:t xml:space="preserve"> 2 </w:t>
            </w:r>
            <w:proofErr w:type="spellStart"/>
            <w:r w:rsidRPr="00DA2E5C">
              <w:rPr>
                <w:rFonts w:ascii="Times New Roman" w:eastAsia="Times New Roman" w:hAnsi="Times New Roman" w:cs="Times New Roman"/>
                <w:color w:val="000000"/>
                <w:kern w:val="0"/>
                <w:sz w:val="24"/>
                <w:szCs w:val="24"/>
                <w14:ligatures w14:val="none"/>
              </w:rPr>
              <w:t>of</w:t>
            </w:r>
            <w:proofErr w:type="spellEnd"/>
            <w:r w:rsidRPr="00DA2E5C">
              <w:rPr>
                <w:rFonts w:ascii="Times New Roman" w:eastAsia="Times New Roman" w:hAnsi="Times New Roman" w:cs="Times New Roman"/>
                <w:color w:val="000000"/>
                <w:kern w:val="0"/>
                <w:sz w:val="24"/>
                <w:szCs w:val="24"/>
                <w14:ligatures w14:val="none"/>
              </w:rPr>
              <w:t xml:space="preserve"> 5).</w:t>
            </w:r>
          </w:p>
        </w:tc>
        <w:tc>
          <w:tcPr>
            <w:tcW w:w="3827" w:type="dxa"/>
          </w:tcPr>
          <w:p w14:paraId="15534915" w14:textId="77777777" w:rsidR="003B2335" w:rsidRPr="00DA2E5C" w:rsidRDefault="003B2335" w:rsidP="003B2335">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3727740F" w14:textId="77777777" w:rsidR="003B2335" w:rsidRPr="00DA2E5C" w:rsidRDefault="003B2335" w:rsidP="003B2335">
            <w:pPr>
              <w:tabs>
                <w:tab w:val="left" w:pos="284"/>
              </w:tabs>
              <w:spacing w:after="0" w:line="240" w:lineRule="auto"/>
              <w:rPr>
                <w:rFonts w:ascii="Times New Roman" w:eastAsia="Times New Roman" w:hAnsi="Times New Roman" w:cs="Times New Roman"/>
                <w:kern w:val="0"/>
                <w:sz w:val="24"/>
                <w:szCs w:val="24"/>
                <w14:ligatures w14:val="none"/>
              </w:rPr>
            </w:pPr>
          </w:p>
        </w:tc>
      </w:tr>
      <w:tr w:rsidR="003B2335" w:rsidRPr="00DA2E5C" w14:paraId="2454A47B" w14:textId="77777777" w:rsidTr="00DA2E5C">
        <w:tc>
          <w:tcPr>
            <w:tcW w:w="851" w:type="dxa"/>
            <w:vAlign w:val="center"/>
          </w:tcPr>
          <w:p w14:paraId="32FCADE0" w14:textId="31A9020D" w:rsidR="003B2335" w:rsidRPr="00DA2E5C" w:rsidRDefault="003B2335" w:rsidP="003B2335">
            <w:pPr>
              <w:tabs>
                <w:tab w:val="left" w:pos="284"/>
              </w:tabs>
              <w:spacing w:after="0" w:line="240" w:lineRule="auto"/>
              <w:jc w:val="center"/>
              <w:rPr>
                <w:rFonts w:ascii="Times New Roman" w:eastAsia="Times New Roman" w:hAnsi="Times New Roman" w:cs="Times New Roman"/>
                <w:color w:val="000000" w:themeColor="text1"/>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2</w:t>
            </w:r>
            <w:r w:rsidR="00570766">
              <w:rPr>
                <w:rFonts w:ascii="Times New Roman" w:eastAsia="Times New Roman" w:hAnsi="Times New Roman" w:cs="Times New Roman"/>
                <w:color w:val="000000" w:themeColor="text1"/>
                <w:kern w:val="0"/>
                <w:sz w:val="24"/>
                <w:szCs w:val="24"/>
                <w14:ligatures w14:val="none"/>
              </w:rPr>
              <w:t>2</w:t>
            </w:r>
            <w:r w:rsidRPr="00DA2E5C">
              <w:rPr>
                <w:rFonts w:ascii="Times New Roman" w:eastAsia="Times New Roman" w:hAnsi="Times New Roman" w:cs="Times New Roman"/>
                <w:color w:val="000000" w:themeColor="text1"/>
                <w:kern w:val="0"/>
                <w:sz w:val="24"/>
                <w:szCs w:val="24"/>
                <w14:ligatures w14:val="none"/>
              </w:rPr>
              <w:t>.</w:t>
            </w:r>
          </w:p>
        </w:tc>
        <w:tc>
          <w:tcPr>
            <w:tcW w:w="6379" w:type="dxa"/>
          </w:tcPr>
          <w:p w14:paraId="01A994EE" w14:textId="7C2EFF1D" w:rsidR="003B2335" w:rsidRPr="00DA2E5C" w:rsidRDefault="003B2335" w:rsidP="003B2335">
            <w:pPr>
              <w:tabs>
                <w:tab w:val="left" w:pos="284"/>
              </w:tabs>
              <w:spacing w:after="0" w:line="240" w:lineRule="auto"/>
              <w:rPr>
                <w:rFonts w:ascii="Times New Roman" w:eastAsia="Times New Roman" w:hAnsi="Times New Roman" w:cs="Times New Roman"/>
                <w:color w:val="000000" w:themeColor="text1"/>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Reikalinga atspausdinti ir/arba į USB laikmeną įrašyti pacientų dienos tyrimų rezultatų originalius (iš įrangos) duomenis viename protokole.</w:t>
            </w:r>
          </w:p>
        </w:tc>
        <w:tc>
          <w:tcPr>
            <w:tcW w:w="3827" w:type="dxa"/>
          </w:tcPr>
          <w:p w14:paraId="61C31EB7" w14:textId="77777777" w:rsidR="003B2335" w:rsidRPr="00DA2E5C" w:rsidRDefault="003B2335" w:rsidP="003B2335">
            <w:pPr>
              <w:tabs>
                <w:tab w:val="left" w:pos="284"/>
              </w:tabs>
              <w:spacing w:after="0" w:line="240" w:lineRule="auto"/>
              <w:rPr>
                <w:rFonts w:ascii="Times New Roman" w:eastAsia="Times New Roman" w:hAnsi="Times New Roman" w:cs="Times New Roman"/>
                <w:kern w:val="0"/>
                <w:sz w:val="24"/>
                <w:szCs w:val="24"/>
                <w14:ligatures w14:val="none"/>
              </w:rPr>
            </w:pPr>
          </w:p>
        </w:tc>
        <w:tc>
          <w:tcPr>
            <w:tcW w:w="4252" w:type="dxa"/>
          </w:tcPr>
          <w:p w14:paraId="157E2B6D" w14:textId="77777777" w:rsidR="003B2335" w:rsidRPr="00DA2E5C" w:rsidRDefault="003B2335" w:rsidP="003B2335">
            <w:pPr>
              <w:tabs>
                <w:tab w:val="left" w:pos="284"/>
              </w:tabs>
              <w:spacing w:after="0" w:line="240" w:lineRule="auto"/>
              <w:rPr>
                <w:rFonts w:ascii="Times New Roman" w:eastAsia="Times New Roman" w:hAnsi="Times New Roman" w:cs="Times New Roman"/>
                <w:kern w:val="0"/>
                <w:sz w:val="24"/>
                <w:szCs w:val="24"/>
                <w14:ligatures w14:val="none"/>
              </w:rPr>
            </w:pPr>
          </w:p>
        </w:tc>
      </w:tr>
    </w:tbl>
    <w:p w14:paraId="080DFCEC" w14:textId="77777777" w:rsidR="00E86FE2" w:rsidRPr="00DA2E5C" w:rsidRDefault="00E86FE2" w:rsidP="00DA2E5C">
      <w:pPr>
        <w:tabs>
          <w:tab w:val="left" w:pos="284"/>
        </w:tabs>
        <w:spacing w:after="0" w:line="240" w:lineRule="auto"/>
        <w:jc w:val="both"/>
        <w:rPr>
          <w:rFonts w:ascii="Times New Roman" w:eastAsia="Times New Roman" w:hAnsi="Times New Roman" w:cs="Times New Roman"/>
          <w:b/>
          <w:kern w:val="0"/>
          <w:sz w:val="24"/>
          <w:szCs w:val="24"/>
          <w14:ligatures w14:val="none"/>
        </w:rPr>
      </w:pPr>
    </w:p>
    <w:p w14:paraId="6E33EA55" w14:textId="577F0519" w:rsidR="003676AA" w:rsidRPr="00DA2E5C" w:rsidRDefault="00E86FE2" w:rsidP="00DA2E5C">
      <w:pPr>
        <w:tabs>
          <w:tab w:val="left" w:pos="284"/>
        </w:tabs>
        <w:spacing w:after="0" w:line="240" w:lineRule="auto"/>
        <w:jc w:val="both"/>
        <w:rPr>
          <w:rFonts w:ascii="Times New Roman" w:eastAsia="Times New Roman" w:hAnsi="Times New Roman" w:cs="Times New Roman"/>
          <w:bCs/>
          <w:kern w:val="0"/>
          <w:sz w:val="24"/>
          <w:szCs w:val="24"/>
          <w14:ligatures w14:val="none"/>
        </w:rPr>
      </w:pPr>
      <w:r w:rsidRPr="00DA2E5C">
        <w:rPr>
          <w:rFonts w:ascii="Times New Roman" w:eastAsia="Times New Roman" w:hAnsi="Times New Roman" w:cs="Times New Roman"/>
          <w:b/>
          <w:kern w:val="0"/>
          <w:sz w:val="24"/>
          <w:szCs w:val="24"/>
          <w14:ligatures w14:val="none"/>
        </w:rPr>
        <w:t>Bendrieji reikalavimai:</w:t>
      </w:r>
    </w:p>
    <w:p w14:paraId="14D8E98A" w14:textId="39D9BBF5" w:rsidR="003676AA" w:rsidRDefault="003676AA" w:rsidP="00DA2E5C">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bCs/>
          <w:kern w:val="0"/>
          <w:sz w:val="24"/>
          <w:szCs w:val="24"/>
          <w14:ligatures w14:val="none"/>
        </w:rPr>
      </w:pPr>
      <w:r w:rsidRPr="00DA2E5C">
        <w:rPr>
          <w:rFonts w:ascii="Times New Roman" w:eastAsia="Times New Roman" w:hAnsi="Times New Roman" w:cs="Times New Roman"/>
          <w:bCs/>
          <w:kern w:val="0"/>
          <w:sz w:val="24"/>
          <w:szCs w:val="24"/>
          <w14:ligatures w14:val="none"/>
        </w:rPr>
        <w:t>Kartu su pasiūlymu turi būti pateikiamos įrangos naudojimosi instrukcijos / gamintojo parengti techniniai aprašai ar kiti dokumentai, patvirtinantys atitiktį techniniams reikalavimams, originalo ir lietuvių kalbomis. Techninės specifikacijos lentelės 4-ame stulpelyje būtina pateikti aiškias nuorodas į dokumentus (lietuvių kalba), o dokumente paženklinti konkretų techninės specifikacijos punktą pagrindžiantį tekstą.</w:t>
      </w:r>
    </w:p>
    <w:p w14:paraId="2ACE2CF1" w14:textId="1E9FD31C" w:rsidR="00CE7CDE" w:rsidRPr="00DA2E5C" w:rsidRDefault="00CE7CDE" w:rsidP="00DA2E5C">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Kartu s</w:t>
      </w:r>
      <w:r w:rsidRPr="00CE7CDE">
        <w:rPr>
          <w:rFonts w:ascii="Times New Roman" w:eastAsia="Times New Roman" w:hAnsi="Times New Roman" w:cs="Times New Roman"/>
          <w:bCs/>
          <w:kern w:val="0"/>
          <w:sz w:val="24"/>
          <w:szCs w:val="24"/>
          <w14:ligatures w14:val="none"/>
        </w:rPr>
        <w:t>u pasiūlymu pateikti įrangos CE</w:t>
      </w:r>
      <w:r w:rsidR="00AD6E21">
        <w:rPr>
          <w:rFonts w:ascii="Times New Roman" w:eastAsia="Times New Roman" w:hAnsi="Times New Roman" w:cs="Times New Roman"/>
          <w:bCs/>
          <w:kern w:val="0"/>
          <w:sz w:val="24"/>
          <w:szCs w:val="24"/>
          <w14:ligatures w14:val="none"/>
        </w:rPr>
        <w:t>-IVD</w:t>
      </w:r>
      <w:r w:rsidRPr="00CE7CDE">
        <w:rPr>
          <w:rFonts w:ascii="Times New Roman" w:eastAsia="Times New Roman" w:hAnsi="Times New Roman" w:cs="Times New Roman"/>
          <w:bCs/>
          <w:kern w:val="0"/>
          <w:sz w:val="24"/>
          <w:szCs w:val="24"/>
          <w14:ligatures w14:val="none"/>
        </w:rPr>
        <w:t xml:space="preserve"> ženklinimo ar lygiavertį sertifikatą originalo ir lietuvių kalba.</w:t>
      </w:r>
    </w:p>
    <w:p w14:paraId="714BA4EE" w14:textId="009A9F26" w:rsidR="003676AA" w:rsidRPr="00DA2E5C" w:rsidRDefault="003676AA" w:rsidP="00DA2E5C">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bCs/>
          <w:kern w:val="0"/>
          <w:sz w:val="24"/>
          <w:szCs w:val="24"/>
          <w14:ligatures w14:val="none"/>
        </w:rPr>
      </w:pPr>
      <w:r w:rsidRPr="00DA2E5C">
        <w:rPr>
          <w:rFonts w:ascii="Times New Roman" w:eastAsia="Times New Roman" w:hAnsi="Times New Roman" w:cs="Times New Roman"/>
          <w:bCs/>
          <w:kern w:val="0"/>
          <w:sz w:val="24"/>
          <w:szCs w:val="24"/>
          <w14:ligatures w14:val="none"/>
        </w:rPr>
        <w:t xml:space="preserve">Tiekėjas turi supažindinti </w:t>
      </w:r>
      <w:r w:rsidR="0038548D">
        <w:rPr>
          <w:rFonts w:ascii="Times New Roman" w:eastAsia="Times New Roman" w:hAnsi="Times New Roman" w:cs="Times New Roman"/>
          <w:bCs/>
          <w:kern w:val="0"/>
          <w:sz w:val="24"/>
          <w:szCs w:val="24"/>
          <w14:ligatures w14:val="none"/>
        </w:rPr>
        <w:t>P</w:t>
      </w:r>
      <w:r w:rsidR="0038548D" w:rsidRPr="00DA2E5C">
        <w:rPr>
          <w:rFonts w:ascii="Times New Roman" w:eastAsia="Times New Roman" w:hAnsi="Times New Roman" w:cs="Times New Roman"/>
          <w:bCs/>
          <w:kern w:val="0"/>
          <w:sz w:val="24"/>
          <w:szCs w:val="24"/>
          <w14:ligatures w14:val="none"/>
        </w:rPr>
        <w:t xml:space="preserve">irkėją </w:t>
      </w:r>
      <w:r w:rsidRPr="00DA2E5C">
        <w:rPr>
          <w:rFonts w:ascii="Times New Roman" w:eastAsia="Times New Roman" w:hAnsi="Times New Roman" w:cs="Times New Roman"/>
          <w:bCs/>
          <w:kern w:val="0"/>
          <w:sz w:val="24"/>
          <w:szCs w:val="24"/>
          <w14:ligatures w14:val="none"/>
        </w:rPr>
        <w:t>su perduodamos įrangos naudojimo ypatumais, perduoti įrangos naudojimosi instrukcijas (originalo ir lietuvių kalba), pateikti pilnai užpildytus įrangų techninius pasus. Privalės būti pateikta įrangos instrukcija (vadovas), kurioje detaliai ir aiškiai būtų aprašytas duomenų perdavimo į išorinę informacinę sistemą būdas, duomenų persiuntimo protokolų pavyzdžiai. Programinė įranga, kuri bus naudojama sistemos, procesų, tyrimų protokolų valdyme, automatinei rezultatų analizei, duomenų apdorojimui ir saugojimui turi būti ne senesnė nei Windows 10 (</w:t>
      </w:r>
      <w:r w:rsidRPr="00B3594A">
        <w:rPr>
          <w:rFonts w:ascii="Times New Roman" w:eastAsia="Times New Roman" w:hAnsi="Times New Roman" w:cs="Times New Roman"/>
          <w:bCs/>
          <w:i/>
          <w:iCs/>
          <w:kern w:val="0"/>
          <w:sz w:val="24"/>
          <w:szCs w:val="24"/>
          <w14:ligatures w14:val="none"/>
        </w:rPr>
        <w:t>taikoma "arba lygiavertė"</w:t>
      </w:r>
      <w:r w:rsidRPr="00DA2E5C">
        <w:rPr>
          <w:rFonts w:ascii="Times New Roman" w:eastAsia="Times New Roman" w:hAnsi="Times New Roman" w:cs="Times New Roman"/>
          <w:bCs/>
          <w:kern w:val="0"/>
          <w:sz w:val="24"/>
          <w:szCs w:val="24"/>
          <w14:ligatures w14:val="none"/>
        </w:rPr>
        <w:t>).</w:t>
      </w:r>
    </w:p>
    <w:p w14:paraId="29C1E6D8" w14:textId="77777777" w:rsidR="003676AA" w:rsidRPr="00DA2E5C" w:rsidRDefault="003676AA" w:rsidP="00DA2E5C">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bCs/>
          <w:kern w:val="0"/>
          <w:sz w:val="24"/>
          <w:szCs w:val="24"/>
          <w14:ligatures w14:val="none"/>
        </w:rPr>
      </w:pPr>
      <w:r w:rsidRPr="00DA2E5C">
        <w:rPr>
          <w:rFonts w:ascii="Times New Roman" w:eastAsia="Times New Roman" w:hAnsi="Times New Roman" w:cs="Times New Roman"/>
          <w:bCs/>
          <w:kern w:val="0"/>
          <w:sz w:val="24"/>
          <w:szCs w:val="24"/>
          <w14:ligatures w14:val="none"/>
        </w:rPr>
        <w:t>Visą sutarties galiojimo laikotarpį tiekėjas įsipareigoja teikti nemokamą kvalifikuotų specialistų konsultaciją ir pagalbą visais klausimais, susijusiais su teikiamų prekių ir įrangos kokybišku darbu.</w:t>
      </w:r>
    </w:p>
    <w:p w14:paraId="1FC54A66" w14:textId="282970F4" w:rsidR="00E86FE2" w:rsidRPr="002E6B36" w:rsidRDefault="00E86FE2" w:rsidP="002E6B36">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bCs/>
          <w:kern w:val="0"/>
          <w:sz w:val="24"/>
          <w:szCs w:val="24"/>
          <w14:ligatures w14:val="none"/>
        </w:rPr>
      </w:pPr>
      <w:r w:rsidRPr="00DA2E5C">
        <w:rPr>
          <w:rFonts w:ascii="Times New Roman" w:eastAsia="Times New Roman" w:hAnsi="Times New Roman" w:cs="Times New Roman"/>
          <w:color w:val="000000" w:themeColor="text1"/>
          <w:kern w:val="0"/>
          <w:sz w:val="24"/>
          <w:szCs w:val="24"/>
          <w14:ligatures w14:val="none"/>
        </w:rPr>
        <w:t>Kartu su analizatoriumi pristatoma: nepertraukiamo maitinimo šaltinis (-</w:t>
      </w:r>
      <w:proofErr w:type="spellStart"/>
      <w:r w:rsidRPr="00DA2E5C">
        <w:rPr>
          <w:rFonts w:ascii="Times New Roman" w:eastAsia="Times New Roman" w:hAnsi="Times New Roman" w:cs="Times New Roman"/>
          <w:color w:val="000000" w:themeColor="text1"/>
          <w:kern w:val="0"/>
          <w:sz w:val="24"/>
          <w:szCs w:val="24"/>
          <w14:ligatures w14:val="none"/>
        </w:rPr>
        <w:t>iai</w:t>
      </w:r>
      <w:proofErr w:type="spellEnd"/>
      <w:r w:rsidRPr="00DA2E5C">
        <w:rPr>
          <w:rFonts w:ascii="Times New Roman" w:eastAsia="Times New Roman" w:hAnsi="Times New Roman" w:cs="Times New Roman"/>
          <w:color w:val="000000" w:themeColor="text1"/>
          <w:kern w:val="0"/>
          <w:sz w:val="24"/>
          <w:szCs w:val="24"/>
          <w14:ligatures w14:val="none"/>
        </w:rPr>
        <w:t xml:space="preserve">), spausdintuvas, reikalinga programinė įranga ir kitos reikalingos priemonės. Jeigu analizatorius valdomas išorinio kompiuterio pagalba, pristatomas (komplektuojamas) su kompiuteriu. Priemonės tyrimų protokolų </w:t>
      </w:r>
      <w:r w:rsidRPr="00DA2E5C">
        <w:rPr>
          <w:rFonts w:ascii="Times New Roman" w:eastAsia="Times New Roman" w:hAnsi="Times New Roman" w:cs="Times New Roman"/>
          <w:kern w:val="0"/>
          <w:sz w:val="24"/>
          <w:szCs w:val="24"/>
          <w14:ligatures w14:val="none"/>
        </w:rPr>
        <w:t xml:space="preserve">spausdinimui ar kitos kanceliarinės prekės (pvz. kasetės į spausdintuvus) nėra vertinamos, kaip priemonės būtinos kokybiškam tyrimų atlikimui, jas </w:t>
      </w:r>
      <w:r w:rsidR="00F75670">
        <w:rPr>
          <w:rFonts w:ascii="Times New Roman" w:eastAsia="Times New Roman" w:hAnsi="Times New Roman" w:cs="Times New Roman"/>
          <w:kern w:val="0"/>
          <w:sz w:val="24"/>
          <w:szCs w:val="24"/>
          <w14:ligatures w14:val="none"/>
        </w:rPr>
        <w:t>Tiekėjas</w:t>
      </w:r>
      <w:r w:rsidR="00F75670" w:rsidRPr="00DA2E5C">
        <w:rPr>
          <w:rFonts w:ascii="Times New Roman" w:eastAsia="Times New Roman" w:hAnsi="Times New Roman" w:cs="Times New Roman"/>
          <w:kern w:val="0"/>
          <w:sz w:val="24"/>
          <w:szCs w:val="24"/>
          <w14:ligatures w14:val="none"/>
        </w:rPr>
        <w:t xml:space="preserve"> </w:t>
      </w:r>
      <w:r w:rsidRPr="00DA2E5C">
        <w:rPr>
          <w:rFonts w:ascii="Times New Roman" w:eastAsia="Times New Roman" w:hAnsi="Times New Roman" w:cs="Times New Roman"/>
          <w:kern w:val="0"/>
          <w:sz w:val="24"/>
          <w:szCs w:val="24"/>
          <w14:ligatures w14:val="none"/>
        </w:rPr>
        <w:t>privalės tiekti nemokamai.</w:t>
      </w:r>
      <w:bookmarkStart w:id="0" w:name="_heading=h.30j0zll" w:colFirst="0" w:colLast="0"/>
      <w:bookmarkEnd w:id="0"/>
    </w:p>
    <w:sectPr w:rsidR="00E86FE2" w:rsidRPr="002E6B36" w:rsidSect="00286CB1">
      <w:headerReference w:type="default" r:id="rId11"/>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22D9" w14:textId="77777777" w:rsidR="004E034F" w:rsidRDefault="004E034F" w:rsidP="00286CB1">
      <w:pPr>
        <w:spacing w:after="0" w:line="240" w:lineRule="auto"/>
      </w:pPr>
      <w:r>
        <w:separator/>
      </w:r>
    </w:p>
  </w:endnote>
  <w:endnote w:type="continuationSeparator" w:id="0">
    <w:p w14:paraId="090D62B6" w14:textId="77777777" w:rsidR="004E034F" w:rsidRDefault="004E034F" w:rsidP="002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1204" w14:textId="77777777" w:rsidR="004E034F" w:rsidRDefault="004E034F" w:rsidP="00286CB1">
      <w:pPr>
        <w:spacing w:after="0" w:line="240" w:lineRule="auto"/>
      </w:pPr>
      <w:r>
        <w:separator/>
      </w:r>
    </w:p>
  </w:footnote>
  <w:footnote w:type="continuationSeparator" w:id="0">
    <w:p w14:paraId="6A758D4F" w14:textId="77777777" w:rsidR="004E034F" w:rsidRDefault="004E034F" w:rsidP="0028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B262" w14:textId="3118E322" w:rsidR="00286CB1" w:rsidRPr="00286CB1" w:rsidRDefault="00286CB1" w:rsidP="00286CB1">
    <w:pPr>
      <w:pStyle w:val="Antrats"/>
      <w:jc w:val="right"/>
      <w:rPr>
        <w:rFonts w:ascii="Times New Roman" w:hAnsi="Times New Roman" w:cs="Times New Roman"/>
        <w:sz w:val="24"/>
        <w:szCs w:val="24"/>
      </w:rPr>
    </w:pPr>
    <w:r>
      <w:rPr>
        <w:rFonts w:ascii="Times New Roman" w:hAnsi="Times New Roman" w:cs="Times New Roman"/>
        <w:sz w:val="24"/>
        <w:szCs w:val="24"/>
      </w:rPr>
      <w:t>2.1 Įrangos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493"/>
    <w:multiLevelType w:val="hybridMultilevel"/>
    <w:tmpl w:val="4A8643A2"/>
    <w:lvl w:ilvl="0" w:tplc="0427000F">
      <w:start w:val="1"/>
      <w:numFmt w:val="decimal"/>
      <w:lvlText w:val="%1."/>
      <w:lvlJc w:val="left"/>
      <w:pPr>
        <w:ind w:left="294" w:hanging="360"/>
      </w:p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 w15:restartNumberingAfterBreak="0">
    <w:nsid w:val="20FE746D"/>
    <w:multiLevelType w:val="hybridMultilevel"/>
    <w:tmpl w:val="E954FA2A"/>
    <w:lvl w:ilvl="0" w:tplc="D5304E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17AD8"/>
    <w:multiLevelType w:val="hybridMultilevel"/>
    <w:tmpl w:val="FCE0BB04"/>
    <w:lvl w:ilvl="0" w:tplc="0427000F">
      <w:start w:val="1"/>
      <w:numFmt w:val="decimal"/>
      <w:lvlText w:val="%1."/>
      <w:lvlJc w:val="left"/>
      <w:pPr>
        <w:ind w:left="294" w:hanging="360"/>
      </w:p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num w:numId="1" w16cid:durableId="1229807692">
    <w:abstractNumId w:val="1"/>
  </w:num>
  <w:num w:numId="2" w16cid:durableId="240868662">
    <w:abstractNumId w:val="0"/>
  </w:num>
  <w:num w:numId="3" w16cid:durableId="38753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CF"/>
    <w:rsid w:val="00012802"/>
    <w:rsid w:val="00034894"/>
    <w:rsid w:val="00064A8A"/>
    <w:rsid w:val="00097C52"/>
    <w:rsid w:val="000E2535"/>
    <w:rsid w:val="000E58D9"/>
    <w:rsid w:val="000F4010"/>
    <w:rsid w:val="00163516"/>
    <w:rsid w:val="00172B1C"/>
    <w:rsid w:val="00187C8A"/>
    <w:rsid w:val="00192DDE"/>
    <w:rsid w:val="001D07CE"/>
    <w:rsid w:val="001E22DA"/>
    <w:rsid w:val="002035FE"/>
    <w:rsid w:val="00217E96"/>
    <w:rsid w:val="00222B9C"/>
    <w:rsid w:val="00226B34"/>
    <w:rsid w:val="00237207"/>
    <w:rsid w:val="00265259"/>
    <w:rsid w:val="00271EFA"/>
    <w:rsid w:val="00272889"/>
    <w:rsid w:val="0028012A"/>
    <w:rsid w:val="00286CB1"/>
    <w:rsid w:val="002E6B36"/>
    <w:rsid w:val="00301005"/>
    <w:rsid w:val="00364352"/>
    <w:rsid w:val="003676AA"/>
    <w:rsid w:val="0037051D"/>
    <w:rsid w:val="00382A6C"/>
    <w:rsid w:val="0038548D"/>
    <w:rsid w:val="0039307D"/>
    <w:rsid w:val="003A65DF"/>
    <w:rsid w:val="003B2335"/>
    <w:rsid w:val="00401002"/>
    <w:rsid w:val="0040675B"/>
    <w:rsid w:val="004728CB"/>
    <w:rsid w:val="00477E7C"/>
    <w:rsid w:val="00480AEA"/>
    <w:rsid w:val="004E034F"/>
    <w:rsid w:val="004F688F"/>
    <w:rsid w:val="00570766"/>
    <w:rsid w:val="005F2EE0"/>
    <w:rsid w:val="005F2F60"/>
    <w:rsid w:val="005F46F1"/>
    <w:rsid w:val="006239AB"/>
    <w:rsid w:val="006565D3"/>
    <w:rsid w:val="006851A2"/>
    <w:rsid w:val="00696330"/>
    <w:rsid w:val="006C3BF3"/>
    <w:rsid w:val="006E7794"/>
    <w:rsid w:val="00711F81"/>
    <w:rsid w:val="007334DB"/>
    <w:rsid w:val="00777F18"/>
    <w:rsid w:val="00785524"/>
    <w:rsid w:val="0079360D"/>
    <w:rsid w:val="007938E3"/>
    <w:rsid w:val="00795CB9"/>
    <w:rsid w:val="007A2AA6"/>
    <w:rsid w:val="00813018"/>
    <w:rsid w:val="0084646F"/>
    <w:rsid w:val="00893AE0"/>
    <w:rsid w:val="00925AAF"/>
    <w:rsid w:val="00932E3D"/>
    <w:rsid w:val="00954C8D"/>
    <w:rsid w:val="00955912"/>
    <w:rsid w:val="00992297"/>
    <w:rsid w:val="00997376"/>
    <w:rsid w:val="009A43C5"/>
    <w:rsid w:val="009D0B10"/>
    <w:rsid w:val="009E139B"/>
    <w:rsid w:val="009F609B"/>
    <w:rsid w:val="00A52C38"/>
    <w:rsid w:val="00A71DA6"/>
    <w:rsid w:val="00A75F6B"/>
    <w:rsid w:val="00AC4C17"/>
    <w:rsid w:val="00AD0533"/>
    <w:rsid w:val="00AD58F8"/>
    <w:rsid w:val="00AD6E21"/>
    <w:rsid w:val="00AE1CD2"/>
    <w:rsid w:val="00B05140"/>
    <w:rsid w:val="00B213A5"/>
    <w:rsid w:val="00B3594A"/>
    <w:rsid w:val="00B77B87"/>
    <w:rsid w:val="00B80175"/>
    <w:rsid w:val="00C11FD5"/>
    <w:rsid w:val="00C145DD"/>
    <w:rsid w:val="00C23C14"/>
    <w:rsid w:val="00C64309"/>
    <w:rsid w:val="00C828CF"/>
    <w:rsid w:val="00CC1ACF"/>
    <w:rsid w:val="00CE7CDE"/>
    <w:rsid w:val="00D20E08"/>
    <w:rsid w:val="00DA2E5C"/>
    <w:rsid w:val="00DB0D96"/>
    <w:rsid w:val="00DC0789"/>
    <w:rsid w:val="00E2552D"/>
    <w:rsid w:val="00E340DF"/>
    <w:rsid w:val="00E86FE2"/>
    <w:rsid w:val="00EB226D"/>
    <w:rsid w:val="00EB7DD5"/>
    <w:rsid w:val="00ED0625"/>
    <w:rsid w:val="00ED1D61"/>
    <w:rsid w:val="00ED60B3"/>
    <w:rsid w:val="00ED6576"/>
    <w:rsid w:val="00EE53B6"/>
    <w:rsid w:val="00F04CF2"/>
    <w:rsid w:val="00F15E98"/>
    <w:rsid w:val="00F75670"/>
    <w:rsid w:val="00FF0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0F16"/>
  <w15:chartTrackingRefBased/>
  <w15:docId w15:val="{95F65457-FF25-44FC-BC30-73D94A08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1A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1A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1A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1A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1A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1A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1A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1A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1A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1A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1A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1A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1A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1A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1A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1A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1A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1A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1A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1A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1ACF"/>
    <w:rPr>
      <w:i/>
      <w:iCs/>
      <w:color w:val="404040" w:themeColor="text1" w:themeTint="BF"/>
    </w:rPr>
  </w:style>
  <w:style w:type="paragraph" w:styleId="Sraopastraipa">
    <w:name w:val="List Paragraph"/>
    <w:basedOn w:val="prastasis"/>
    <w:uiPriority w:val="34"/>
    <w:qFormat/>
    <w:rsid w:val="00CC1ACF"/>
    <w:pPr>
      <w:ind w:left="720"/>
      <w:contextualSpacing/>
    </w:pPr>
  </w:style>
  <w:style w:type="character" w:styleId="Rykuspabraukimas">
    <w:name w:val="Intense Emphasis"/>
    <w:basedOn w:val="Numatytasispastraiposriftas"/>
    <w:uiPriority w:val="21"/>
    <w:qFormat/>
    <w:rsid w:val="00CC1ACF"/>
    <w:rPr>
      <w:i/>
      <w:iCs/>
      <w:color w:val="0F4761" w:themeColor="accent1" w:themeShade="BF"/>
    </w:rPr>
  </w:style>
  <w:style w:type="paragraph" w:styleId="Iskirtacitata">
    <w:name w:val="Intense Quote"/>
    <w:basedOn w:val="prastasis"/>
    <w:next w:val="prastasis"/>
    <w:link w:val="IskirtacitataDiagrama"/>
    <w:uiPriority w:val="30"/>
    <w:qFormat/>
    <w:rsid w:val="00CC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1ACF"/>
    <w:rPr>
      <w:i/>
      <w:iCs/>
      <w:color w:val="0F4761" w:themeColor="accent1" w:themeShade="BF"/>
    </w:rPr>
  </w:style>
  <w:style w:type="character" w:styleId="Rykinuoroda">
    <w:name w:val="Intense Reference"/>
    <w:basedOn w:val="Numatytasispastraiposriftas"/>
    <w:uiPriority w:val="32"/>
    <w:qFormat/>
    <w:rsid w:val="00CC1ACF"/>
    <w:rPr>
      <w:b/>
      <w:bCs/>
      <w:smallCaps/>
      <w:color w:val="0F4761" w:themeColor="accent1" w:themeShade="BF"/>
      <w:spacing w:val="5"/>
    </w:rPr>
  </w:style>
  <w:style w:type="paragraph" w:styleId="Antrats">
    <w:name w:val="header"/>
    <w:basedOn w:val="prastasis"/>
    <w:link w:val="AntratsDiagrama"/>
    <w:uiPriority w:val="99"/>
    <w:unhideWhenUsed/>
    <w:rsid w:val="00286C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CB1"/>
  </w:style>
  <w:style w:type="paragraph" w:styleId="Porat">
    <w:name w:val="footer"/>
    <w:basedOn w:val="prastasis"/>
    <w:link w:val="PoratDiagrama"/>
    <w:uiPriority w:val="99"/>
    <w:unhideWhenUsed/>
    <w:rsid w:val="00286C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CB1"/>
  </w:style>
  <w:style w:type="character" w:styleId="Komentaronuoroda">
    <w:name w:val="annotation reference"/>
    <w:basedOn w:val="Numatytasispastraiposriftas"/>
    <w:uiPriority w:val="99"/>
    <w:semiHidden/>
    <w:unhideWhenUsed/>
    <w:rsid w:val="00FF0728"/>
    <w:rPr>
      <w:sz w:val="16"/>
      <w:szCs w:val="16"/>
    </w:rPr>
  </w:style>
  <w:style w:type="paragraph" w:styleId="Komentarotekstas">
    <w:name w:val="annotation text"/>
    <w:basedOn w:val="prastasis"/>
    <w:link w:val="KomentarotekstasDiagrama"/>
    <w:uiPriority w:val="99"/>
    <w:unhideWhenUsed/>
    <w:rsid w:val="00FF0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0728"/>
    <w:rPr>
      <w:sz w:val="20"/>
      <w:szCs w:val="20"/>
    </w:rPr>
  </w:style>
  <w:style w:type="paragraph" w:styleId="Komentarotema">
    <w:name w:val="annotation subject"/>
    <w:basedOn w:val="Komentarotekstas"/>
    <w:next w:val="Komentarotekstas"/>
    <w:link w:val="KomentarotemaDiagrama"/>
    <w:uiPriority w:val="99"/>
    <w:semiHidden/>
    <w:unhideWhenUsed/>
    <w:rsid w:val="00FF0728"/>
    <w:rPr>
      <w:b/>
      <w:bCs/>
    </w:rPr>
  </w:style>
  <w:style w:type="character" w:customStyle="1" w:styleId="KomentarotemaDiagrama">
    <w:name w:val="Komentaro tema Diagrama"/>
    <w:basedOn w:val="KomentarotekstasDiagrama"/>
    <w:link w:val="Komentarotema"/>
    <w:uiPriority w:val="99"/>
    <w:semiHidden/>
    <w:rsid w:val="00FF0728"/>
    <w:rPr>
      <w:b/>
      <w:bCs/>
      <w:sz w:val="20"/>
      <w:szCs w:val="20"/>
    </w:rPr>
  </w:style>
  <w:style w:type="paragraph" w:styleId="Pataisymai">
    <w:name w:val="Revision"/>
    <w:hidden/>
    <w:uiPriority w:val="99"/>
    <w:semiHidden/>
    <w:rsid w:val="000E2535"/>
    <w:pPr>
      <w:spacing w:after="0" w:line="240" w:lineRule="auto"/>
    </w:pPr>
  </w:style>
  <w:style w:type="paragraph" w:customStyle="1" w:styleId="Default">
    <w:name w:val="Default"/>
    <w:rsid w:val="00696330"/>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A8679-98AF-4E9A-8AD4-F3AAD3BEAF8F}">
  <ds:schemaRefs>
    <ds:schemaRef ds:uri="http://schemas.openxmlformats.org/officeDocument/2006/bibliography"/>
  </ds:schemaRefs>
</ds:datastoreItem>
</file>

<file path=customXml/itemProps2.xml><?xml version="1.0" encoding="utf-8"?>
<ds:datastoreItem xmlns:ds="http://schemas.openxmlformats.org/officeDocument/2006/customXml" ds:itemID="{3C63E349-0F00-4893-AE14-45B9C4ED3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0899F-F7E6-40C9-82E4-18E794043126}">
  <ds:schemaRefs>
    <ds:schemaRef ds:uri="http://schemas.microsoft.com/sharepoint/v3/contenttype/forms"/>
  </ds:schemaRefs>
</ds:datastoreItem>
</file>

<file path=customXml/itemProps4.xml><?xml version="1.0" encoding="utf-8"?>
<ds:datastoreItem xmlns:ds="http://schemas.openxmlformats.org/officeDocument/2006/customXml" ds:itemID="{06B97DD4-F367-4085-892A-58094D46299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5431</Words>
  <Characters>3096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Sandra Čiukšytė-Nagienė</cp:lastModifiedBy>
  <cp:revision>78</cp:revision>
  <cp:lastPrinted>2025-04-30T21:56:00Z</cp:lastPrinted>
  <dcterms:created xsi:type="dcterms:W3CDTF">2025-06-03T20:41:00Z</dcterms:created>
  <dcterms:modified xsi:type="dcterms:W3CDTF">2025-07-25T06:58:00Z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