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4A3B8954" w:rsidR="002E2126" w:rsidRPr="00372C74" w:rsidRDefault="002E2126" w:rsidP="002E2126">
      <w:pPr>
        <w:pStyle w:val="Antrat2"/>
        <w:ind w:left="9356"/>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372C74">
        <w:rPr>
          <w:rFonts w:asciiTheme="minorHAnsi" w:eastAsia="Calibri" w:hAnsiTheme="minorHAnsi" w:cstheme="minorHAnsi"/>
          <w:color w:val="auto"/>
          <w:sz w:val="22"/>
          <w:szCs w:val="22"/>
        </w:rPr>
        <w:t>Pirkimo sąlygų 3 priedas „Pasiūlymo forma“</w:t>
      </w:r>
      <w:bookmarkEnd w:id="0"/>
      <w:bookmarkEnd w:id="1"/>
      <w:bookmarkEnd w:id="2"/>
      <w:bookmarkEnd w:id="3"/>
      <w:bookmarkEnd w:id="4"/>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12490C">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147926F8" w:rsidR="002E2126" w:rsidRPr="00682B25" w:rsidRDefault="002E2126" w:rsidP="0012490C">
      <w:pPr>
        <w:spacing w:line="240" w:lineRule="auto"/>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12490C" w:rsidRPr="00682B25">
        <w:rPr>
          <w:rFonts w:cstheme="minorHAnsi"/>
          <w:b/>
          <w:bCs/>
          <w:sz w:val="22"/>
          <w:szCs w:val="22"/>
        </w:rPr>
        <w:t>„</w:t>
      </w:r>
      <w:r w:rsidR="00DA2F93" w:rsidRPr="00DA2F93">
        <w:rPr>
          <w:rFonts w:cstheme="minorHAnsi"/>
          <w:b/>
          <w:bCs/>
          <w:sz w:val="22"/>
          <w:szCs w:val="22"/>
        </w:rPr>
        <w:t>ŠP-71917 REAGENTŲ IR PAPILDOMŲ PRIEMONIŲ MOLEKULINIAMS TYRIMAMS ATLIKTI SU MEDICININĖS ĮRANGOS PANAUDA</w:t>
      </w:r>
      <w:r w:rsidR="0012490C" w:rsidRPr="00682B25">
        <w:rPr>
          <w:rFonts w:cstheme="minorHAnsi"/>
          <w:b/>
          <w:bCs/>
          <w:sz w:val="22"/>
          <w:szCs w:val="22"/>
        </w:rPr>
        <w:t>“</w:t>
      </w:r>
      <w:r w:rsidR="0012490C">
        <w:rPr>
          <w:rFonts w:cstheme="minorHAnsi"/>
          <w:b/>
          <w:bCs/>
          <w:sz w:val="22"/>
          <w:szCs w:val="22"/>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12490C">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2"/>
        </w:numPr>
        <w:spacing w:after="0" w:line="240" w:lineRule="auto"/>
        <w:jc w:val="both"/>
        <w:rPr>
          <w:rFonts w:eastAsia="Times New Roman" w:cstheme="minorHAnsi"/>
          <w:b/>
          <w:bCs/>
          <w:color w:val="000000" w:themeColor="text1"/>
          <w:sz w:val="22"/>
          <w:szCs w:val="22"/>
          <w:lang w:eastAsia="en-US"/>
        </w:rPr>
      </w:pPr>
      <w:bookmarkStart w:id="5"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EC634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EC634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2"/>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2DB941D8" w14:textId="77777777">
        <w:tc>
          <w:tcPr>
            <w:tcW w:w="6775" w:type="dxa"/>
            <w:shd w:val="clear" w:color="auto" w:fill="E7E6E6" w:themeFill="background2"/>
          </w:tcPr>
          <w:p w14:paraId="4F0F9A68" w14:textId="4EFF4E41" w:rsidR="002E2126" w:rsidRPr="00566788" w:rsidRDefault="002E2126">
            <w:pPr>
              <w:pStyle w:val="Sraopastraipa"/>
              <w:numPr>
                <w:ilvl w:val="2"/>
                <w:numId w:val="22"/>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24A37481"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2"/>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EC634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EC634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2"/>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2"/>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(-ių)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7EDD100B" w14:textId="77777777">
        <w:tc>
          <w:tcPr>
            <w:tcW w:w="6775" w:type="dxa"/>
            <w:tcBorders>
              <w:top w:val="single" w:sz="4" w:space="0" w:color="000000"/>
            </w:tcBorders>
            <w:shd w:val="clear" w:color="auto" w:fill="E7E6E6" w:themeFill="background2"/>
          </w:tcPr>
          <w:p w14:paraId="68402BD7"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00DECFF8"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2"/>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EC634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EC634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2"/>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netiesiogiai, ar kartu su susijusiais asmenimis nevaldo daugiau kaip 50 proc. akcijų, pajų, dalių, įnašų ar (ir) balsų juridinio asmens (dalyvio įmonės) dalyvių </w:t>
            </w:r>
            <w:r w:rsidRPr="00566788">
              <w:rPr>
                <w:rFonts w:asciiTheme="minorHAnsi" w:cstheme="minorHAnsi"/>
                <w:i/>
                <w:iCs/>
              </w:rPr>
              <w:lastRenderedPageBreak/>
              <w:t>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5F0B22BB"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2"/>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4F7EB71D" w14:textId="77777777" w:rsidR="002E2126" w:rsidRPr="00A06A43" w:rsidRDefault="002E2126" w:rsidP="002E2126">
      <w:pPr>
        <w:pStyle w:val="Sraopastraipa"/>
        <w:numPr>
          <w:ilvl w:val="0"/>
          <w:numId w:val="22"/>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5"/>
    <w:p w14:paraId="6F0684DC" w14:textId="5B37C22B" w:rsidR="00B64026" w:rsidRPr="00B64026" w:rsidRDefault="00B64026" w:rsidP="00B64026">
      <w:pPr>
        <w:pStyle w:val="Sraopastraipa"/>
        <w:numPr>
          <w:ilvl w:val="0"/>
          <w:numId w:val="22"/>
        </w:numPr>
        <w:suppressAutoHyphens/>
        <w:spacing w:after="0" w:line="240" w:lineRule="auto"/>
        <w:jc w:val="both"/>
        <w:rPr>
          <w:rFonts w:eastAsia="Times New Roman" w:cstheme="minorHAnsi"/>
          <w:b/>
          <w:bCs/>
          <w:sz w:val="22"/>
          <w:szCs w:val="22"/>
          <w:lang w:eastAsia="en-US"/>
        </w:rPr>
      </w:pPr>
      <w:r w:rsidRPr="00B64026">
        <w:rPr>
          <w:rFonts w:eastAsia="Times New Roman" w:cstheme="minorHAnsi"/>
          <w:b/>
          <w:bCs/>
          <w:sz w:val="22"/>
          <w:szCs w:val="22"/>
          <w:lang w:eastAsia="en-US"/>
        </w:rPr>
        <w:t>Pasiūlymo kokybės kriterijai:</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819"/>
        <w:gridCol w:w="7938"/>
      </w:tblGrid>
      <w:tr w:rsidR="00B64026" w:rsidRPr="00E47E73" w14:paraId="3230EDD7" w14:textId="77777777" w:rsidTr="00C6456B">
        <w:tc>
          <w:tcPr>
            <w:tcW w:w="846" w:type="dxa"/>
            <w:shd w:val="clear" w:color="auto" w:fill="E7E6E6" w:themeFill="background2"/>
            <w:vAlign w:val="center"/>
          </w:tcPr>
          <w:p w14:paraId="6823E4A1" w14:textId="77777777" w:rsidR="00B64026" w:rsidRPr="00E47E73" w:rsidRDefault="00B64026" w:rsidP="00E16F70">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Eil. Nr.</w:t>
            </w:r>
          </w:p>
        </w:tc>
        <w:tc>
          <w:tcPr>
            <w:tcW w:w="4819" w:type="dxa"/>
            <w:shd w:val="clear" w:color="auto" w:fill="E7E6E6" w:themeFill="background2"/>
            <w:vAlign w:val="center"/>
          </w:tcPr>
          <w:p w14:paraId="4406E64E" w14:textId="77777777" w:rsidR="00B64026" w:rsidRPr="00E47E73" w:rsidRDefault="00B64026" w:rsidP="00E16F70">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Kokybės kriterijai</w:t>
            </w:r>
          </w:p>
        </w:tc>
        <w:tc>
          <w:tcPr>
            <w:tcW w:w="7938" w:type="dxa"/>
            <w:shd w:val="clear" w:color="auto" w:fill="E7E6E6" w:themeFill="background2"/>
            <w:vAlign w:val="center"/>
          </w:tcPr>
          <w:p w14:paraId="57BE14CD" w14:textId="77777777" w:rsidR="00B64026" w:rsidRPr="00E47E73" w:rsidRDefault="00B64026" w:rsidP="00E16F70">
            <w:pPr>
              <w:suppressAutoHyphens/>
              <w:spacing w:after="0" w:line="240" w:lineRule="auto"/>
              <w:jc w:val="center"/>
              <w:rPr>
                <w:rFonts w:eastAsia="Times New Roman" w:cstheme="minorHAnsi"/>
                <w:b/>
                <w:sz w:val="22"/>
                <w:szCs w:val="22"/>
                <w:lang w:eastAsia="en-US"/>
              </w:rPr>
            </w:pPr>
            <w:r w:rsidRPr="00E47E73">
              <w:rPr>
                <w:rFonts w:eastAsia="Times New Roman" w:cstheme="minorHAnsi"/>
                <w:b/>
                <w:sz w:val="22"/>
                <w:szCs w:val="22"/>
                <w:lang w:eastAsia="en-US"/>
              </w:rPr>
              <w:t>Siūlomų kriterijų rodiklių reikšmės</w:t>
            </w:r>
          </w:p>
        </w:tc>
      </w:tr>
      <w:tr w:rsidR="00B64026" w:rsidRPr="00E47E73" w14:paraId="79C32DB0" w14:textId="77777777" w:rsidTr="00C6456B">
        <w:tc>
          <w:tcPr>
            <w:tcW w:w="846" w:type="dxa"/>
            <w:vAlign w:val="center"/>
          </w:tcPr>
          <w:p w14:paraId="1A212421"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1.</w:t>
            </w:r>
          </w:p>
        </w:tc>
        <w:tc>
          <w:tcPr>
            <w:tcW w:w="4819" w:type="dxa"/>
            <w:shd w:val="clear" w:color="auto" w:fill="E7E6E6" w:themeFill="background2"/>
            <w:vAlign w:val="center"/>
          </w:tcPr>
          <w:p w14:paraId="0473C35C" w14:textId="3870943E" w:rsidR="00B64026" w:rsidRPr="00E47E73" w:rsidRDefault="00B64026" w:rsidP="00E16F70">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1</w:t>
            </w:r>
            <w:r w:rsidRPr="00E47E73">
              <w:rPr>
                <w:rFonts w:eastAsia="Times New Roman" w:cstheme="minorHAnsi"/>
                <w:sz w:val="22"/>
                <w:szCs w:val="22"/>
                <w:lang w:eastAsia="en-US"/>
              </w:rPr>
              <w:t xml:space="preserve"> </w:t>
            </w:r>
            <w:r w:rsidR="0063563E" w:rsidRPr="0063563E">
              <w:rPr>
                <w:rFonts w:eastAsia="Times New Roman" w:cstheme="minorHAnsi"/>
                <w:sz w:val="22"/>
                <w:szCs w:val="22"/>
                <w:lang w:eastAsia="en-US"/>
              </w:rPr>
              <w:t>Automatizuotas išskyrimo ir mėginių išpilstymo procesas. Pilnai automatizuotas procesas nuo pirminio mėginio išpilstymo iki nukleorūgščių (NR) išskyrimo, PGR reakcijų paruošimo</w:t>
            </w:r>
            <w:r w:rsidR="00466576">
              <w:rPr>
                <w:rFonts w:eastAsia="Times New Roman" w:cstheme="minorHAnsi"/>
                <w:sz w:val="22"/>
                <w:szCs w:val="22"/>
                <w:lang w:eastAsia="en-US"/>
              </w:rPr>
              <w:t>.</w:t>
            </w:r>
          </w:p>
        </w:tc>
        <w:tc>
          <w:tcPr>
            <w:tcW w:w="7938" w:type="dxa"/>
            <w:vAlign w:val="center"/>
          </w:tcPr>
          <w:p w14:paraId="681A4AD4" w14:textId="77777777" w:rsidR="00B64026" w:rsidRPr="007E6D44" w:rsidRDefault="00B64026" w:rsidP="00E16F70">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53B59FE0"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B64026" w:rsidRPr="00E47E73" w14:paraId="55E09DC7" w14:textId="77777777" w:rsidTr="00C6456B">
        <w:tc>
          <w:tcPr>
            <w:tcW w:w="846" w:type="dxa"/>
            <w:vAlign w:val="center"/>
          </w:tcPr>
          <w:p w14:paraId="4FBCA68F"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2.</w:t>
            </w:r>
          </w:p>
        </w:tc>
        <w:tc>
          <w:tcPr>
            <w:tcW w:w="4819" w:type="dxa"/>
            <w:shd w:val="clear" w:color="auto" w:fill="E7E6E6" w:themeFill="background2"/>
            <w:vAlign w:val="center"/>
          </w:tcPr>
          <w:p w14:paraId="134E8BE7" w14:textId="6CB13548" w:rsidR="00B64026" w:rsidRPr="00E47E73" w:rsidRDefault="00B64026" w:rsidP="00E16F70">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2</w:t>
            </w:r>
            <w:r w:rsidRPr="00E47E73">
              <w:rPr>
                <w:rFonts w:eastAsia="Times New Roman" w:cstheme="minorHAnsi"/>
                <w:sz w:val="22"/>
                <w:szCs w:val="22"/>
                <w:lang w:eastAsia="en-US"/>
              </w:rPr>
              <w:t xml:space="preserve"> </w:t>
            </w:r>
            <w:r w:rsidR="00C6456B" w:rsidRPr="00C6456B">
              <w:rPr>
                <w:rFonts w:eastAsia="Times New Roman" w:cstheme="minorHAnsi"/>
                <w:sz w:val="22"/>
                <w:szCs w:val="22"/>
                <w:lang w:eastAsia="en-US"/>
              </w:rPr>
              <w:t>Skirtingi mėginių išskyrimo protokolai vieno paleidimo metu. Vienu metu gali būti išskiriamos nukleorūgštys (NR) iš skirtingų tipų tipų ėminių, pvz: šlapimo, lytinių takų ėminių, skystosios terpės ėminių ir kt.</w:t>
            </w:r>
          </w:p>
        </w:tc>
        <w:tc>
          <w:tcPr>
            <w:tcW w:w="7938" w:type="dxa"/>
            <w:vAlign w:val="center"/>
          </w:tcPr>
          <w:p w14:paraId="4759C920" w14:textId="77777777" w:rsidR="00B64026" w:rsidRPr="007E6D44" w:rsidRDefault="00B64026" w:rsidP="00E16F70">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5A85B0E8"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B64026" w:rsidRPr="00E47E73" w14:paraId="5A2CEB26" w14:textId="77777777" w:rsidTr="00C6456B">
        <w:tc>
          <w:tcPr>
            <w:tcW w:w="846" w:type="dxa"/>
            <w:vAlign w:val="center"/>
          </w:tcPr>
          <w:p w14:paraId="2511D1E8"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3.</w:t>
            </w:r>
          </w:p>
        </w:tc>
        <w:tc>
          <w:tcPr>
            <w:tcW w:w="4819" w:type="dxa"/>
            <w:shd w:val="clear" w:color="auto" w:fill="E7E6E6" w:themeFill="background2"/>
            <w:vAlign w:val="center"/>
          </w:tcPr>
          <w:p w14:paraId="37AE795D" w14:textId="52CA5D78" w:rsidR="00B64026" w:rsidRPr="00E47E73" w:rsidRDefault="00B64026" w:rsidP="00E16F70">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3</w:t>
            </w:r>
            <w:r w:rsidRPr="00E47E73">
              <w:rPr>
                <w:rFonts w:eastAsia="Times New Roman" w:cstheme="minorHAnsi"/>
                <w:sz w:val="22"/>
                <w:szCs w:val="22"/>
                <w:lang w:eastAsia="en-US"/>
              </w:rPr>
              <w:t xml:space="preserve"> </w:t>
            </w:r>
            <w:r w:rsidR="00D751F4" w:rsidRPr="00D751F4">
              <w:rPr>
                <w:rFonts w:eastAsia="Times New Roman" w:cstheme="minorHAnsi"/>
                <w:sz w:val="22"/>
                <w:szCs w:val="22"/>
                <w:lang w:eastAsia="en-US"/>
              </w:rPr>
              <w:t xml:space="preserve">Universalus išskyrimo rinkinys visiems mėginiams. Tas pats išskyrimo reagentų rinkinys yra skirtas bakterijų, virusų, genominės, parazitų, </w:t>
            </w:r>
            <w:r w:rsidR="00D751F4" w:rsidRPr="00D751F4">
              <w:rPr>
                <w:rFonts w:eastAsia="Times New Roman" w:cstheme="minorHAnsi"/>
                <w:sz w:val="22"/>
                <w:szCs w:val="22"/>
                <w:lang w:eastAsia="en-US"/>
              </w:rPr>
              <w:lastRenderedPageBreak/>
              <w:t>grybelių DNR ir/ar RNR išskyrimui iš įvairių ėminių tipų tokių kaip kraujas, serumas, plazma, ląstelių kultūros, šlapimas, skystos citologijos ėminiai, tepinėliai (nosiaryklės, vaginaliniai, gimdos kaklelio, uretros, rektaliniai ir kt.), nosiaryklės aspiratas, bronchoalveolinis lavažas, skrepliai, cerebrospinalinis skystis, išmatos, rektaliniai ėminiai Cary-Blair terpėje</w:t>
            </w:r>
            <w:r w:rsidR="00466576">
              <w:rPr>
                <w:rFonts w:eastAsia="Times New Roman" w:cstheme="minorHAnsi"/>
                <w:sz w:val="22"/>
                <w:szCs w:val="22"/>
                <w:lang w:eastAsia="en-US"/>
              </w:rPr>
              <w:t>.</w:t>
            </w:r>
          </w:p>
        </w:tc>
        <w:tc>
          <w:tcPr>
            <w:tcW w:w="7938" w:type="dxa"/>
            <w:vAlign w:val="center"/>
          </w:tcPr>
          <w:p w14:paraId="3B72B496" w14:textId="77777777" w:rsidR="00B64026" w:rsidRPr="007E6D44" w:rsidRDefault="00B64026" w:rsidP="00E16F70">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lastRenderedPageBreak/>
              <w:t>Taip / Ne (pasirinkti atsakymą)</w:t>
            </w:r>
          </w:p>
          <w:p w14:paraId="3A86A321"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B64026" w:rsidRPr="00E47E73" w14:paraId="48F8ACE9" w14:textId="77777777" w:rsidTr="00C6456B">
        <w:tc>
          <w:tcPr>
            <w:tcW w:w="846" w:type="dxa"/>
            <w:vAlign w:val="center"/>
          </w:tcPr>
          <w:p w14:paraId="0845F98F" w14:textId="77777777" w:rsidR="00B64026" w:rsidRPr="00E47E73" w:rsidRDefault="00B64026" w:rsidP="00E16F70">
            <w:pPr>
              <w:suppressAutoHyphens/>
              <w:spacing w:after="0" w:line="240" w:lineRule="auto"/>
              <w:jc w:val="center"/>
              <w:rPr>
                <w:rFonts w:eastAsia="Times New Roman" w:cstheme="minorHAnsi"/>
                <w:sz w:val="22"/>
                <w:szCs w:val="22"/>
                <w:lang w:eastAsia="en-US"/>
              </w:rPr>
            </w:pPr>
            <w:r w:rsidRPr="00E47E73">
              <w:rPr>
                <w:rFonts w:eastAsia="Times New Roman" w:cstheme="minorHAnsi"/>
                <w:sz w:val="22"/>
                <w:szCs w:val="22"/>
                <w:lang w:eastAsia="en-US"/>
              </w:rPr>
              <w:t>4.</w:t>
            </w:r>
          </w:p>
        </w:tc>
        <w:tc>
          <w:tcPr>
            <w:tcW w:w="4819" w:type="dxa"/>
            <w:shd w:val="clear" w:color="auto" w:fill="E7E6E6" w:themeFill="background2"/>
            <w:vAlign w:val="center"/>
          </w:tcPr>
          <w:p w14:paraId="7F8393E0" w14:textId="7DEB9BF1" w:rsidR="00B64026" w:rsidRPr="00E47E73" w:rsidRDefault="00B64026" w:rsidP="00E16F70">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sidRPr="00E47E73">
              <w:rPr>
                <w:rFonts w:eastAsia="Times New Roman" w:cstheme="minorHAnsi"/>
                <w:sz w:val="22"/>
                <w:szCs w:val="22"/>
                <w:vertAlign w:val="subscript"/>
                <w:lang w:eastAsia="en-US"/>
              </w:rPr>
              <w:t>4</w:t>
            </w:r>
            <w:r w:rsidRPr="00E47E73">
              <w:rPr>
                <w:rFonts w:eastAsia="Times New Roman" w:cstheme="minorHAnsi"/>
                <w:sz w:val="22"/>
                <w:szCs w:val="22"/>
                <w:lang w:eastAsia="en-US"/>
              </w:rPr>
              <w:t xml:space="preserve"> </w:t>
            </w:r>
            <w:r w:rsidR="00466576" w:rsidRPr="00466576">
              <w:rPr>
                <w:rFonts w:eastAsia="Times New Roman" w:cstheme="minorHAnsi"/>
                <w:sz w:val="22"/>
                <w:szCs w:val="22"/>
                <w:lang w:eastAsia="en-US"/>
              </w:rPr>
              <w:t>Skirtingų tyrimų atlikimas iš to paties mėginio. Galimybė sistemos pagalba vienu metu iš to paties mėginio paruošti ir atlikti skirtingus tyrimus. Pavyzdžiui – vienu metu iš to paties lytinių takų ėminio atlikti lytiškai plintančių infekcinių patogenų, bakterinės vaginozės, kandidozės ir lytinių takų opų sukėlėjų tyrimą</w:t>
            </w:r>
            <w:r w:rsidR="00466576">
              <w:rPr>
                <w:rFonts w:eastAsia="Times New Roman" w:cstheme="minorHAnsi"/>
                <w:sz w:val="22"/>
                <w:szCs w:val="22"/>
                <w:lang w:eastAsia="en-US"/>
              </w:rPr>
              <w:t>.</w:t>
            </w:r>
          </w:p>
        </w:tc>
        <w:tc>
          <w:tcPr>
            <w:tcW w:w="7938" w:type="dxa"/>
            <w:vAlign w:val="center"/>
          </w:tcPr>
          <w:p w14:paraId="7A3C3A7B" w14:textId="77777777" w:rsidR="00D751F4" w:rsidRPr="007E6D44" w:rsidRDefault="00D751F4" w:rsidP="00D751F4">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512D112C" w14:textId="739C696E" w:rsidR="00B64026" w:rsidRPr="00E47E73" w:rsidRDefault="00D751F4" w:rsidP="00D751F4">
            <w:pPr>
              <w:suppressAutoHyphens/>
              <w:spacing w:after="0" w:line="240" w:lineRule="auto"/>
              <w:jc w:val="center"/>
              <w:rPr>
                <w:rFonts w:eastAsia="Times New Roman" w:cstheme="minorHAnsi"/>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r w:rsidR="00466576" w:rsidRPr="00E47E73" w14:paraId="7729C09C" w14:textId="77777777" w:rsidTr="00C6456B">
        <w:tc>
          <w:tcPr>
            <w:tcW w:w="846" w:type="dxa"/>
            <w:vAlign w:val="center"/>
          </w:tcPr>
          <w:p w14:paraId="0184732C" w14:textId="7F7ACB23" w:rsidR="00466576" w:rsidRPr="00E47E73" w:rsidRDefault="00466576" w:rsidP="00466576">
            <w:pPr>
              <w:suppressAutoHyphens/>
              <w:spacing w:after="0" w:line="240" w:lineRule="auto"/>
              <w:jc w:val="center"/>
              <w:rPr>
                <w:rFonts w:eastAsia="Times New Roman" w:cstheme="minorHAnsi"/>
                <w:sz w:val="22"/>
                <w:szCs w:val="22"/>
                <w:lang w:eastAsia="en-US"/>
              </w:rPr>
            </w:pPr>
            <w:r>
              <w:rPr>
                <w:rFonts w:eastAsia="Times New Roman" w:cstheme="minorHAnsi"/>
                <w:sz w:val="22"/>
                <w:szCs w:val="22"/>
                <w:lang w:eastAsia="en-US"/>
              </w:rPr>
              <w:t>5.</w:t>
            </w:r>
          </w:p>
        </w:tc>
        <w:tc>
          <w:tcPr>
            <w:tcW w:w="4819" w:type="dxa"/>
            <w:shd w:val="clear" w:color="auto" w:fill="E7E6E6" w:themeFill="background2"/>
            <w:vAlign w:val="center"/>
          </w:tcPr>
          <w:p w14:paraId="51431575" w14:textId="74F1584A" w:rsidR="00466576" w:rsidRPr="00E47E73" w:rsidRDefault="00466576" w:rsidP="00466576">
            <w:pPr>
              <w:suppressAutoHyphens/>
              <w:spacing w:after="0" w:line="240" w:lineRule="auto"/>
              <w:jc w:val="both"/>
              <w:rPr>
                <w:rFonts w:eastAsia="Times New Roman" w:cstheme="minorHAnsi"/>
                <w:sz w:val="22"/>
                <w:szCs w:val="22"/>
                <w:lang w:eastAsia="en-US"/>
              </w:rPr>
            </w:pPr>
            <w:r w:rsidRPr="00E47E73">
              <w:rPr>
                <w:rFonts w:eastAsia="Times New Roman" w:cstheme="minorHAnsi"/>
                <w:sz w:val="22"/>
                <w:szCs w:val="22"/>
                <w:lang w:eastAsia="en-US"/>
              </w:rPr>
              <w:t>T</w:t>
            </w:r>
            <w:r>
              <w:rPr>
                <w:rFonts w:eastAsia="Times New Roman" w:cstheme="minorHAnsi"/>
                <w:sz w:val="22"/>
                <w:szCs w:val="22"/>
                <w:vertAlign w:val="subscript"/>
                <w:lang w:eastAsia="en-US"/>
              </w:rPr>
              <w:t>5</w:t>
            </w:r>
            <w:r w:rsidRPr="00E47E73">
              <w:rPr>
                <w:rFonts w:eastAsia="Times New Roman" w:cstheme="minorHAnsi"/>
                <w:sz w:val="22"/>
                <w:szCs w:val="22"/>
                <w:lang w:eastAsia="en-US"/>
              </w:rPr>
              <w:t xml:space="preserve"> </w:t>
            </w:r>
            <w:r w:rsidR="00F548DD" w:rsidRPr="00F548DD">
              <w:rPr>
                <w:rFonts w:eastAsia="Times New Roman" w:cstheme="minorHAnsi"/>
                <w:sz w:val="22"/>
                <w:szCs w:val="22"/>
                <w:lang w:eastAsia="en-US"/>
              </w:rPr>
              <w:t>Automatinė rezultatų analizės programa. Automatinė realaus laiko PGR rezultatų analizės programinė įranga turi būti skirta greitam ir tiksliam skirtingų tyrimų rezultatų (kartu pateikiant Ct vertes ir Vidinės kontrolės rezultatą) interpretavimui; Rezultatų ataskaitos privalo būti keičiamos ar pritaikomos pagal įstaigos poreikius bei turėti LIS integracijos galimybę</w:t>
            </w:r>
            <w:r>
              <w:rPr>
                <w:rFonts w:eastAsia="Times New Roman" w:cstheme="minorHAnsi"/>
                <w:sz w:val="22"/>
                <w:szCs w:val="22"/>
                <w:lang w:eastAsia="en-US"/>
              </w:rPr>
              <w:t>.</w:t>
            </w:r>
          </w:p>
        </w:tc>
        <w:tc>
          <w:tcPr>
            <w:tcW w:w="7938" w:type="dxa"/>
            <w:vAlign w:val="center"/>
          </w:tcPr>
          <w:p w14:paraId="1047BC39" w14:textId="77777777" w:rsidR="00466576" w:rsidRPr="007E6D44" w:rsidRDefault="00466576" w:rsidP="00466576">
            <w:pPr>
              <w:suppressAutoHyphens/>
              <w:spacing w:after="0" w:line="240" w:lineRule="auto"/>
              <w:jc w:val="center"/>
              <w:rPr>
                <w:rFonts w:eastAsia="Times New Roman" w:cstheme="minorHAnsi"/>
                <w:i/>
                <w:iCs/>
                <w:color w:val="FF0000"/>
                <w:sz w:val="22"/>
                <w:szCs w:val="22"/>
                <w:lang w:eastAsia="en-US"/>
              </w:rPr>
            </w:pPr>
            <w:r w:rsidRPr="007E6D44">
              <w:rPr>
                <w:rFonts w:eastAsia="Times New Roman" w:cstheme="minorHAnsi"/>
                <w:i/>
                <w:iCs/>
                <w:color w:val="FF0000"/>
                <w:sz w:val="22"/>
                <w:szCs w:val="22"/>
                <w:lang w:eastAsia="en-US"/>
              </w:rPr>
              <w:t>Taip / Ne (pasirinkti atsakymą)</w:t>
            </w:r>
          </w:p>
          <w:p w14:paraId="159B055F" w14:textId="2B0C94F9" w:rsidR="00466576" w:rsidRPr="00E47E73" w:rsidRDefault="00466576" w:rsidP="00466576">
            <w:pPr>
              <w:suppressAutoHyphens/>
              <w:spacing w:after="0" w:line="240" w:lineRule="auto"/>
              <w:jc w:val="center"/>
              <w:rPr>
                <w:rFonts w:eastAsia="Times New Roman" w:cstheme="minorHAnsi"/>
                <w:i/>
                <w:iCs/>
                <w:color w:val="FF0000"/>
                <w:sz w:val="22"/>
                <w:szCs w:val="22"/>
                <w:lang w:eastAsia="en-US"/>
              </w:rPr>
            </w:pPr>
            <w:r w:rsidRPr="00E47E73">
              <w:rPr>
                <w:rFonts w:eastAsia="Times New Roman" w:cstheme="minorHAnsi"/>
                <w:i/>
                <w:sz w:val="22"/>
                <w:szCs w:val="22"/>
                <w:lang w:eastAsia="en-US"/>
              </w:rPr>
              <w:t>Pateikiama nuoroda į nurodytą parametrą patvirtinantį gamintojo dokumento (katalogo / bukleto / brošiūros / instrukcijos) puslapį</w:t>
            </w:r>
          </w:p>
        </w:tc>
      </w:tr>
    </w:tbl>
    <w:p w14:paraId="65545324" w14:textId="77777777" w:rsidR="00B64026" w:rsidRPr="00B64026" w:rsidRDefault="00B64026" w:rsidP="00B64026">
      <w:pPr>
        <w:spacing w:after="0" w:line="240" w:lineRule="auto"/>
        <w:jc w:val="both"/>
        <w:rPr>
          <w:rFonts w:eastAsia="Times New Roman" w:cstheme="minorHAnsi"/>
          <w:b/>
          <w:bCs/>
          <w:sz w:val="22"/>
          <w:szCs w:val="22"/>
          <w:lang w:eastAsia="en-US"/>
        </w:rPr>
      </w:pPr>
    </w:p>
    <w:p w14:paraId="1AB6CEC4" w14:textId="1150D6FD" w:rsidR="002E2126" w:rsidRPr="00733F08" w:rsidRDefault="002E2126" w:rsidP="00B64026">
      <w:pPr>
        <w:pStyle w:val="Sraopastraipa"/>
        <w:numPr>
          <w:ilvl w:val="0"/>
          <w:numId w:val="22"/>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5487FC28" w:rsidR="002E2126" w:rsidRPr="00733F08" w:rsidRDefault="002E2126" w:rsidP="00B640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w:t>
      </w:r>
      <w:r w:rsidRPr="00225D9E">
        <w:rPr>
          <w:rFonts w:eastAsia="Arial" w:cstheme="minorHAnsi"/>
          <w:sz w:val="22"/>
          <w:szCs w:val="22"/>
        </w:rPr>
        <w:t xml:space="preserve">nurodoma 2 skaitmenų po kablelio </w:t>
      </w:r>
      <w:r w:rsidRPr="00733F08">
        <w:rPr>
          <w:rFonts w:eastAsia="Arial" w:cstheme="minorHAnsi"/>
          <w:sz w:val="22"/>
          <w:szCs w:val="22"/>
        </w:rPr>
        <w:t xml:space="preserve">tikslumu. Šią kainą sudarančios kainos sudedamosios dalys ar įkainiai </w:t>
      </w:r>
      <w:r w:rsidRPr="00225D9E">
        <w:rPr>
          <w:rFonts w:eastAsia="Arial" w:cstheme="minorHAnsi"/>
          <w:sz w:val="22"/>
          <w:szCs w:val="22"/>
        </w:rPr>
        <w:t xml:space="preserve">gali būti išreikštos neribojant skaitmenų po kablelio kiekio.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14097">
        <w:rPr>
          <w:rFonts w:eastAsia="Times New Roman" w:cstheme="minorHAnsi"/>
          <w:sz w:val="22"/>
          <w:szCs w:val="22"/>
          <w:lang w:eastAsia="en-US"/>
        </w:rPr>
        <w:t>Prekių tiekimu.</w:t>
      </w:r>
    </w:p>
    <w:p w14:paraId="58EA3631" w14:textId="77777777" w:rsidR="002E2126" w:rsidRPr="00733F08" w:rsidRDefault="002E2126" w:rsidP="00B64026">
      <w:pPr>
        <w:pStyle w:val="Sraopastraipa"/>
        <w:numPr>
          <w:ilvl w:val="1"/>
          <w:numId w:val="22"/>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B640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w:t>
      </w:r>
      <w:r w:rsidRPr="00814097">
        <w:rPr>
          <w:rFonts w:eastAsia="Times New Roman" w:cstheme="minorHAnsi"/>
          <w:sz w:val="22"/>
          <w:szCs w:val="22"/>
          <w:lang w:eastAsia="en-US"/>
        </w:rPr>
        <w:t xml:space="preserve">lyginamos su visais mokesčiais, įskaitant PVM. Tuo </w:t>
      </w:r>
      <w:r w:rsidRPr="00733F08">
        <w:rPr>
          <w:rFonts w:eastAsia="Times New Roman" w:cstheme="minorHAnsi"/>
          <w:sz w:val="22"/>
          <w:szCs w:val="22"/>
          <w:lang w:eastAsia="en-US"/>
        </w:rPr>
        <w:t xml:space="preserve">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0B2B24B6" w:rsidR="002E2126" w:rsidRPr="000D6316" w:rsidRDefault="002E2126" w:rsidP="00B64026">
      <w:pPr>
        <w:pStyle w:val="Sraopastraipa"/>
        <w:numPr>
          <w:ilvl w:val="1"/>
          <w:numId w:val="22"/>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lastRenderedPageBreak/>
        <w:t>Maksimali priimtina pasiūlymo kaina yra</w:t>
      </w:r>
      <w:r w:rsidRPr="00733F08">
        <w:rPr>
          <w:rFonts w:eastAsia="Times New Roman" w:cstheme="minorHAnsi"/>
          <w:sz w:val="22"/>
          <w:szCs w:val="22"/>
        </w:rPr>
        <w:t xml:space="preserve"> </w:t>
      </w:r>
      <w:r w:rsidR="000108CC">
        <w:rPr>
          <w:rFonts w:eastAsia="Times New Roman" w:cstheme="minorHAnsi"/>
          <w:b/>
          <w:bCs/>
          <w:sz w:val="22"/>
          <w:szCs w:val="22"/>
        </w:rPr>
        <w:t>4</w:t>
      </w:r>
      <w:r w:rsidR="003E4715">
        <w:rPr>
          <w:rFonts w:eastAsia="Times New Roman" w:cstheme="minorHAnsi"/>
          <w:b/>
          <w:bCs/>
          <w:sz w:val="22"/>
          <w:szCs w:val="22"/>
        </w:rPr>
        <w:t>2</w:t>
      </w:r>
      <w:r w:rsidR="000108CC">
        <w:rPr>
          <w:rFonts w:eastAsia="Times New Roman" w:cstheme="minorHAnsi"/>
          <w:b/>
          <w:bCs/>
          <w:sz w:val="22"/>
          <w:szCs w:val="22"/>
        </w:rPr>
        <w:t>0</w:t>
      </w:r>
      <w:r w:rsidR="00814097">
        <w:rPr>
          <w:rFonts w:eastAsia="Times New Roman" w:cstheme="minorHAnsi"/>
          <w:b/>
          <w:bCs/>
          <w:sz w:val="22"/>
          <w:szCs w:val="22"/>
        </w:rPr>
        <w:t> 000,00</w:t>
      </w:r>
      <w:r w:rsidRPr="00814097">
        <w:rPr>
          <w:rFonts w:eastAsia="Times New Roman" w:cstheme="minorHAnsi"/>
          <w:b/>
          <w:bCs/>
          <w:sz w:val="22"/>
          <w:szCs w:val="22"/>
        </w:rPr>
        <w:t xml:space="preserve"> </w:t>
      </w:r>
      <w:r w:rsidRPr="00B23888">
        <w:rPr>
          <w:rFonts w:eastAsia="Times New Roman" w:cstheme="minorHAnsi"/>
          <w:b/>
          <w:bCs/>
          <w:sz w:val="22"/>
          <w:szCs w:val="22"/>
        </w:rPr>
        <w:t xml:space="preserve">Eur įskaitant visus mokesčius. Pasiūlymas, kuriame nurodyta kaina bus didesnė, bus atmestas kaip neatitinkantis pirkimo dokumentuose nustatytų </w:t>
      </w:r>
      <w:r w:rsidRPr="000D6316">
        <w:rPr>
          <w:rFonts w:eastAsia="Times New Roman" w:cstheme="minorHAnsi"/>
          <w:b/>
          <w:bCs/>
          <w:sz w:val="22"/>
          <w:szCs w:val="22"/>
        </w:rPr>
        <w:t>reikalavimų.</w:t>
      </w:r>
    </w:p>
    <w:p w14:paraId="35C687F8" w14:textId="0E43D945" w:rsidR="002E2126" w:rsidRDefault="002E2126" w:rsidP="00B64026">
      <w:pPr>
        <w:pStyle w:val="Sraopastraipa"/>
        <w:numPr>
          <w:ilvl w:val="1"/>
          <w:numId w:val="22"/>
        </w:numPr>
        <w:spacing w:line="240" w:lineRule="auto"/>
        <w:ind w:left="0" w:firstLine="567"/>
        <w:jc w:val="both"/>
        <w:rPr>
          <w:rFonts w:eastAsia="Times New Roman" w:cstheme="minorHAnsi"/>
          <w:sz w:val="22"/>
          <w:szCs w:val="22"/>
          <w:lang w:eastAsia="en-US"/>
        </w:rPr>
      </w:pPr>
      <w:r w:rsidRPr="000D6316">
        <w:rPr>
          <w:rFonts w:eastAsia="Times New Roman" w:cstheme="minorHAnsi"/>
          <w:kern w:val="3"/>
          <w:sz w:val="22"/>
          <w:szCs w:val="22"/>
          <w:lang w:eastAsia="en-US"/>
        </w:rPr>
        <w:t>Siūloma pirkimo objekto kaina (įkainiai) pateikiama (-i)</w:t>
      </w:r>
      <w:r w:rsidRPr="000D6316">
        <w:rPr>
          <w:rFonts w:eastAsia="Times New Roman" w:cstheme="minorHAnsi"/>
          <w:sz w:val="22"/>
          <w:szCs w:val="22"/>
          <w:lang w:eastAsia="en-US"/>
        </w:rPr>
        <w:t xml:space="preserve"> specialiųjų pirkimo sąlygų </w:t>
      </w:r>
      <w:r w:rsidR="005D79D0" w:rsidRPr="000D6316">
        <w:rPr>
          <w:rFonts w:eastAsia="Times New Roman" w:cstheme="minorHAnsi"/>
          <w:sz w:val="22"/>
          <w:szCs w:val="22"/>
          <w:lang w:eastAsia="en-US"/>
        </w:rPr>
        <w:t>2</w:t>
      </w:r>
      <w:r w:rsidR="000D6316" w:rsidRPr="000D6316">
        <w:rPr>
          <w:rFonts w:eastAsia="Times New Roman" w:cstheme="minorHAnsi"/>
          <w:sz w:val="22"/>
          <w:szCs w:val="22"/>
          <w:lang w:eastAsia="en-US"/>
        </w:rPr>
        <w:t>.2</w:t>
      </w:r>
      <w:r w:rsidRPr="000D6316">
        <w:rPr>
          <w:rFonts w:eastAsia="Times New Roman" w:cstheme="minorHAnsi"/>
          <w:sz w:val="22"/>
          <w:szCs w:val="22"/>
          <w:lang w:eastAsia="en-US"/>
        </w:rPr>
        <w:t xml:space="preserve"> priede „</w:t>
      </w:r>
      <w:r w:rsidR="008767D6">
        <w:rPr>
          <w:rFonts w:eastAsia="Times New Roman" w:cstheme="minorHAnsi"/>
          <w:sz w:val="22"/>
          <w:szCs w:val="22"/>
          <w:lang w:eastAsia="en-US"/>
        </w:rPr>
        <w:t>Tyrimų t</w:t>
      </w:r>
      <w:r w:rsidRPr="000D6316">
        <w:rPr>
          <w:rFonts w:eastAsia="Times New Roman" w:cstheme="minorHAnsi"/>
          <w:sz w:val="22"/>
          <w:szCs w:val="22"/>
          <w:lang w:eastAsia="en-US"/>
        </w:rPr>
        <w:t>echninė specifikacija</w:t>
      </w:r>
      <w:r w:rsidR="003B0D0E">
        <w:rPr>
          <w:rFonts w:eastAsia="Times New Roman" w:cstheme="minorHAnsi"/>
          <w:sz w:val="22"/>
          <w:szCs w:val="22"/>
          <w:lang w:eastAsia="en-US"/>
        </w:rPr>
        <w:t>“</w:t>
      </w:r>
      <w:r w:rsidR="000D6316" w:rsidRPr="000D6316">
        <w:rPr>
          <w:rFonts w:eastAsia="Times New Roman" w:cstheme="minorHAnsi"/>
          <w:sz w:val="22"/>
          <w:szCs w:val="22"/>
          <w:lang w:eastAsia="en-US"/>
        </w:rPr>
        <w:t>.</w:t>
      </w:r>
    </w:p>
    <w:p w14:paraId="38F620EE" w14:textId="2AA73EB4" w:rsidR="002E2126" w:rsidRPr="00CD122E" w:rsidRDefault="004431A2" w:rsidP="00B64026">
      <w:pPr>
        <w:pStyle w:val="Sraopastraipa"/>
        <w:numPr>
          <w:ilvl w:val="0"/>
          <w:numId w:val="22"/>
        </w:numPr>
        <w:spacing w:after="0" w:line="240" w:lineRule="auto"/>
        <w:ind w:left="0" w:firstLine="567"/>
        <w:jc w:val="both"/>
        <w:rPr>
          <w:rFonts w:eastAsia="Times New Roman" w:cstheme="minorHAnsi"/>
          <w:sz w:val="22"/>
          <w:szCs w:val="22"/>
          <w:lang w:eastAsia="en-US"/>
        </w:rPr>
      </w:pPr>
      <w:r w:rsidRPr="00CD122E">
        <w:rPr>
          <w:rFonts w:eastAsia="Times New Roman" w:cstheme="minorHAnsi"/>
          <w:sz w:val="22"/>
          <w:szCs w:val="22"/>
          <w:lang w:eastAsia="en-US"/>
        </w:rPr>
        <w:t>Siūlomas pirkimo objektas visiškai atitinka pirkimo dokumentuose nurodytus reikalavimus ir jo savybės nurodytos užpildytoje techninėje specifikacijoje (specialiųjų pirkimo sąlygų 2.1 priede „</w:t>
      </w:r>
      <w:r w:rsidR="008767D6" w:rsidRPr="00CD122E">
        <w:rPr>
          <w:rFonts w:eastAsia="Times New Roman" w:cstheme="minorHAnsi"/>
          <w:sz w:val="22"/>
          <w:szCs w:val="22"/>
          <w:lang w:eastAsia="en-US"/>
        </w:rPr>
        <w:t>Įrangos techninė specifikacija</w:t>
      </w:r>
      <w:r w:rsidRPr="00CD122E">
        <w:rPr>
          <w:rFonts w:eastAsia="Times New Roman" w:cstheme="minorHAnsi"/>
          <w:sz w:val="22"/>
          <w:szCs w:val="22"/>
          <w:lang w:eastAsia="en-US"/>
        </w:rPr>
        <w:t>“</w:t>
      </w:r>
      <w:r w:rsidR="003B0D0E">
        <w:rPr>
          <w:rFonts w:eastAsia="Times New Roman" w:cstheme="minorHAnsi"/>
          <w:sz w:val="22"/>
          <w:szCs w:val="22"/>
          <w:lang w:eastAsia="en-US"/>
        </w:rPr>
        <w:t xml:space="preserve"> ir </w:t>
      </w:r>
      <w:r w:rsidR="003B0D0E" w:rsidRPr="000D6316">
        <w:rPr>
          <w:rFonts w:eastAsia="Times New Roman" w:cstheme="minorHAnsi"/>
          <w:sz w:val="22"/>
          <w:szCs w:val="22"/>
          <w:lang w:eastAsia="en-US"/>
        </w:rPr>
        <w:t>2.2 priede „</w:t>
      </w:r>
      <w:r w:rsidR="003B0D0E">
        <w:rPr>
          <w:rFonts w:eastAsia="Times New Roman" w:cstheme="minorHAnsi"/>
          <w:sz w:val="22"/>
          <w:szCs w:val="22"/>
          <w:lang w:eastAsia="en-US"/>
        </w:rPr>
        <w:t>Tyrimų t</w:t>
      </w:r>
      <w:r w:rsidR="003B0D0E" w:rsidRPr="000D6316">
        <w:rPr>
          <w:rFonts w:eastAsia="Times New Roman" w:cstheme="minorHAnsi"/>
          <w:sz w:val="22"/>
          <w:szCs w:val="22"/>
          <w:lang w:eastAsia="en-US"/>
        </w:rPr>
        <w:t>echninė specifikacija</w:t>
      </w:r>
      <w:r w:rsidR="003B0D0E">
        <w:rPr>
          <w:rFonts w:eastAsia="Times New Roman" w:cstheme="minorHAnsi"/>
          <w:sz w:val="22"/>
          <w:szCs w:val="22"/>
          <w:lang w:eastAsia="en-US"/>
        </w:rPr>
        <w:t>“</w:t>
      </w:r>
      <w:r w:rsidRPr="00CD122E">
        <w:rPr>
          <w:rFonts w:eastAsia="Times New Roman" w:cstheme="minorHAnsi"/>
          <w:sz w:val="22"/>
          <w:szCs w:val="22"/>
          <w:lang w:eastAsia="en-US"/>
        </w:rPr>
        <w:t xml:space="preserve">.  </w:t>
      </w:r>
    </w:p>
    <w:p w14:paraId="791EC821" w14:textId="77777777" w:rsidR="004431A2" w:rsidRPr="00682B25" w:rsidRDefault="004431A2" w:rsidP="004431A2">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B64026">
      <w:pPr>
        <w:pStyle w:val="Sraopastraipa"/>
        <w:numPr>
          <w:ilvl w:val="0"/>
          <w:numId w:val="22"/>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84FF7" w:rsidRDefault="002E2126" w:rsidP="007C6C42">
            <w:pPr>
              <w:jc w:val="center"/>
              <w:rPr>
                <w:rFonts w:asciiTheme="minorHAnsi" w:cstheme="minorHAnsi"/>
                <w:b/>
                <w:bCs/>
              </w:rPr>
            </w:pPr>
            <w:r w:rsidRPr="00F84FF7">
              <w:rPr>
                <w:rFonts w:asciiTheme="minorHAnsi" w:cstheme="minorHAnsi"/>
                <w:b/>
                <w:bCs/>
              </w:rPr>
              <w:t>Eil.</w:t>
            </w:r>
          </w:p>
          <w:p w14:paraId="5BA1075F" w14:textId="77777777" w:rsidR="002E2126" w:rsidRPr="00F84FF7" w:rsidRDefault="002E2126" w:rsidP="007C6C42">
            <w:pPr>
              <w:jc w:val="center"/>
              <w:rPr>
                <w:rFonts w:asciiTheme="minorHAnsi" w:cstheme="minorHAnsi"/>
                <w:b/>
                <w:bCs/>
              </w:rPr>
            </w:pPr>
            <w:r w:rsidRPr="00F84FF7">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84FF7" w:rsidRDefault="002E2126" w:rsidP="007C6C42">
            <w:pPr>
              <w:jc w:val="center"/>
              <w:rPr>
                <w:rFonts w:asciiTheme="minorHAnsi" w:cstheme="minorHAnsi"/>
                <w:bCs/>
              </w:rPr>
            </w:pPr>
            <w:r w:rsidRPr="00F84FF7">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84FF7" w:rsidRDefault="002E2126" w:rsidP="007C6C42">
            <w:pPr>
              <w:jc w:val="center"/>
              <w:rPr>
                <w:rFonts w:asciiTheme="minorHAnsi" w:cstheme="minorHAnsi"/>
              </w:rPr>
            </w:pPr>
            <w:r w:rsidRPr="00F84FF7">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rsidP="00FD46E0">
            <w:pPr>
              <w:jc w:val="both"/>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84FF7" w:rsidRDefault="002E2126" w:rsidP="007C6C42">
            <w:pPr>
              <w:jc w:val="center"/>
              <w:rPr>
                <w:rFonts w:asciiTheme="minorHAnsi" w:eastAsia="Calibri" w:cstheme="minorHAnsi"/>
              </w:rPr>
            </w:pPr>
            <w:r w:rsidRPr="00F84FF7">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rsidP="00FD46E0">
            <w:pPr>
              <w:jc w:val="both"/>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63A2C8F8" w:rsidR="002E2126" w:rsidRPr="00F84FF7" w:rsidRDefault="00257D88" w:rsidP="007C6C42">
            <w:pPr>
              <w:jc w:val="center"/>
              <w:rPr>
                <w:rFonts w:asciiTheme="minorHAnsi" w:eastAsia="Calibri" w:cstheme="minorHAnsi"/>
                <w:bCs/>
              </w:rPr>
            </w:pPr>
            <w:r w:rsidRPr="00F84FF7">
              <w:rPr>
                <w:rFonts w:asciiTheme="minorHAnsi" w:eastAsia="Calibri" w:cstheme="minorHAnsi"/>
                <w:bCs/>
              </w:rPr>
              <w:t>3</w:t>
            </w:r>
            <w:r w:rsidR="002E2126" w:rsidRPr="00F84FF7">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rsidP="00FD46E0">
            <w:pPr>
              <w:jc w:val="both"/>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rsidP="00FD46E0">
            <w:pPr>
              <w:pStyle w:val="Betarp"/>
              <w:tabs>
                <w:tab w:val="left" w:pos="331"/>
              </w:tabs>
              <w:ind w:left="32" w:hanging="32"/>
              <w:jc w:val="both"/>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FD46E0">
            <w:pPr>
              <w:pStyle w:val="Betarp"/>
              <w:numPr>
                <w:ilvl w:val="0"/>
                <w:numId w:val="26"/>
              </w:numPr>
              <w:tabs>
                <w:tab w:val="left" w:pos="331"/>
              </w:tabs>
              <w:ind w:left="0" w:hanging="32"/>
              <w:jc w:val="both"/>
              <w:rPr>
                <w:rFonts w:asciiTheme="minorHAnsi" w:cstheme="minorHAnsi"/>
                <w:bCs/>
              </w:rPr>
            </w:pPr>
            <w:r w:rsidRPr="00695A7A">
              <w:rPr>
                <w:rFonts w:asciiTheme="minorHAnsi" w:cstheme="minorHAnsi"/>
                <w:bCs/>
              </w:rPr>
              <w:t>tiekėjas;</w:t>
            </w:r>
          </w:p>
          <w:p w14:paraId="4B8D4154" w14:textId="77777777" w:rsidR="002E2126" w:rsidRPr="00695A7A" w:rsidRDefault="002E2126" w:rsidP="00FD46E0">
            <w:pPr>
              <w:pStyle w:val="Betarp"/>
              <w:numPr>
                <w:ilvl w:val="0"/>
                <w:numId w:val="26"/>
              </w:numPr>
              <w:tabs>
                <w:tab w:val="left" w:pos="331"/>
              </w:tabs>
              <w:ind w:left="0" w:hanging="32"/>
              <w:jc w:val="both"/>
              <w:rPr>
                <w:rFonts w:asciiTheme="minorHAnsi" w:cstheme="minorHAnsi"/>
                <w:bCs/>
              </w:rPr>
            </w:pPr>
            <w:r w:rsidRPr="00695A7A">
              <w:rPr>
                <w:rFonts w:asciiTheme="minorHAnsi" w:cstheme="minorHAnsi"/>
                <w:bCs/>
              </w:rPr>
              <w:lastRenderedPageBreak/>
              <w:t>kiekvienas tiekėjų grupės narys (jeigu pasiūlymą teikia tiekėjų grupė);</w:t>
            </w:r>
          </w:p>
          <w:p w14:paraId="650B1A0B" w14:textId="6F3FFA80" w:rsidR="002E2126" w:rsidRPr="00695A7A" w:rsidRDefault="002E2126" w:rsidP="00FD46E0">
            <w:pPr>
              <w:pStyle w:val="Sraopastraipa"/>
              <w:numPr>
                <w:ilvl w:val="0"/>
                <w:numId w:val="26"/>
              </w:numPr>
              <w:tabs>
                <w:tab w:val="left" w:pos="0"/>
                <w:tab w:val="left" w:pos="331"/>
              </w:tabs>
              <w:spacing w:line="20" w:lineRule="atLeast"/>
              <w:ind w:left="0" w:hanging="32"/>
              <w:jc w:val="both"/>
              <w:rPr>
                <w:rFonts w:asciiTheme="minorHAnsi" w:cstheme="minorHAnsi"/>
                <w:bCs/>
                <w:iCs/>
              </w:rPr>
            </w:pPr>
            <w:r w:rsidRPr="00695A7A">
              <w:rPr>
                <w:rFonts w:asciiTheme="minorHAnsi" w:cstheme="minorHAnsi"/>
                <w:bCs/>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0C809C41" w:rsidR="002E2126" w:rsidRPr="00F84FF7" w:rsidRDefault="00257D88" w:rsidP="007C6C42">
            <w:pPr>
              <w:jc w:val="center"/>
              <w:rPr>
                <w:rFonts w:asciiTheme="minorHAnsi" w:eastAsia="Calibri" w:cstheme="minorHAnsi"/>
                <w:bCs/>
              </w:rPr>
            </w:pPr>
            <w:r w:rsidRPr="00F84FF7">
              <w:rPr>
                <w:rFonts w:asciiTheme="minorHAnsi" w:eastAsia="Calibri" w:cstheme="minorHAnsi"/>
                <w:bCs/>
              </w:rPr>
              <w:t>4</w:t>
            </w:r>
            <w:r w:rsidR="002E2126" w:rsidRPr="00F84FF7">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625F996D" w:rsidR="002E2126" w:rsidRPr="00695A7A" w:rsidRDefault="00FD46E0" w:rsidP="00FD46E0">
            <w:pPr>
              <w:pStyle w:val="Sraopastraipa"/>
              <w:tabs>
                <w:tab w:val="left" w:pos="1701"/>
              </w:tabs>
              <w:spacing w:line="20" w:lineRule="atLeast"/>
              <w:ind w:left="32"/>
              <w:jc w:val="both"/>
              <w:rPr>
                <w:rFonts w:asciiTheme="minorHAnsi" w:cstheme="minorHAnsi"/>
                <w:bCs/>
                <w:iCs/>
              </w:rPr>
            </w:pPr>
            <w:r w:rsidRPr="00FD46E0">
              <w:rPr>
                <w:rFonts w:asciiTheme="minorHAnsi" w:cstheme="minorHAnsi"/>
              </w:rPr>
              <w:t>Jei tiekėjas pasitelkia subtiekėjus, subtiekėjo deklaracija ar kitas dokumentas, patvirtinantis jo sutikimą būti subtiekėju pirkime (jeigu reikalaujama)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6C3F9D10"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6F744967" w:rsidR="002E2126" w:rsidRPr="00F84FF7" w:rsidRDefault="00257D88" w:rsidP="007C6C42">
            <w:pPr>
              <w:jc w:val="center"/>
              <w:rPr>
                <w:rFonts w:asciiTheme="minorHAnsi" w:cstheme="minorHAnsi"/>
              </w:rPr>
            </w:pPr>
            <w:r w:rsidRPr="00F84FF7">
              <w:rPr>
                <w:rFonts w:asciiTheme="minorHAnsi" w:cstheme="minorHAnsi"/>
              </w:rPr>
              <w:t>5</w:t>
            </w:r>
            <w:r w:rsidR="002E2126" w:rsidRPr="00F84FF7">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4829CAEA" w:rsidR="002E2126" w:rsidRPr="00695A7A" w:rsidRDefault="00FD46E0" w:rsidP="00FD46E0">
            <w:pPr>
              <w:jc w:val="both"/>
              <w:rPr>
                <w:rFonts w:asciiTheme="minorHAnsi" w:cstheme="minorHAnsi"/>
                <w:bCs/>
                <w:iCs/>
                <w:color w:val="00B050"/>
              </w:rPr>
            </w:pPr>
            <w:r w:rsidRPr="00FD46E0">
              <w:rPr>
                <w:rFonts w:ascii="Calibri" w:hAnsi="Calibri" w:cs="Calibri"/>
              </w:rPr>
              <w:t>Techninė specifikacija, užpildyta pagal specialiųjų pirkimo sąlygų 2.1 pried</w:t>
            </w:r>
            <w:r w:rsidR="005138BA">
              <w:rPr>
                <w:rFonts w:ascii="Calibri" w:hAnsi="Calibri" w:cs="Calibri"/>
              </w:rPr>
              <w:t>ą</w:t>
            </w:r>
            <w:r w:rsidR="00170956">
              <w:rPr>
                <w:rFonts w:ascii="Calibri" w:hAnsi="Calibri" w:cs="Calibri"/>
              </w:rPr>
              <w:t xml:space="preserve"> bei</w:t>
            </w:r>
            <w:r w:rsidR="00170956">
              <w:rPr>
                <w:rFonts w:asciiTheme="minorHAnsi" w:cs="Calibri"/>
              </w:rPr>
              <w:t xml:space="preserve"> j</w:t>
            </w:r>
            <w:r w:rsidR="00EC6343">
              <w:rPr>
                <w:rFonts w:asciiTheme="minorHAnsi" w:cs="Calibri"/>
              </w:rPr>
              <w:t>am</w:t>
            </w:r>
            <w:r w:rsidR="00170956">
              <w:rPr>
                <w:rFonts w:asciiTheme="minorHAnsi" w:cs="Calibri"/>
              </w:rPr>
              <w:t>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5138BA" w:rsidRPr="005138BA" w14:paraId="60B37674"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F96B9" w14:textId="6BA9EDAA" w:rsidR="005138BA" w:rsidRPr="005138BA" w:rsidRDefault="005138BA" w:rsidP="007C6C42">
            <w:pPr>
              <w:jc w:val="center"/>
              <w:rPr>
                <w:rFonts w:asciiTheme="minorHAnsi" w:cstheme="minorHAnsi"/>
              </w:rPr>
            </w:pPr>
            <w:r w:rsidRPr="005138BA">
              <w:rPr>
                <w:rFonts w:asciiTheme="minorHAnsi" w:cstheme="minorHAns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60164" w14:textId="298FC173" w:rsidR="005138BA" w:rsidRPr="005138BA" w:rsidRDefault="005138BA" w:rsidP="00FD46E0">
            <w:pPr>
              <w:jc w:val="both"/>
              <w:rPr>
                <w:rFonts w:asciiTheme="minorHAnsi" w:cstheme="minorHAnsi"/>
              </w:rPr>
            </w:pPr>
            <w:r w:rsidRPr="00FD46E0">
              <w:rPr>
                <w:rFonts w:ascii="Calibri" w:hAnsi="Calibri" w:cs="Calibri"/>
              </w:rPr>
              <w:t>Techninė specifikacija, užpildyta pagal specialiųjų pirkimo sąlygų 2.2 pried</w:t>
            </w:r>
            <w:r w:rsidR="00EC6343">
              <w:rPr>
                <w:rFonts w:ascii="Calibri" w:hAnsi="Calibri" w:cs="Calibri"/>
              </w:rPr>
              <w:t>ą</w:t>
            </w:r>
            <w:r>
              <w:rPr>
                <w:rFonts w:ascii="Calibri" w:hAnsi="Calibri" w:cs="Calibri"/>
              </w:rPr>
              <w:t xml:space="preserve"> bei</w:t>
            </w:r>
            <w:r>
              <w:rPr>
                <w:rFonts w:asciiTheme="minorHAnsi" w:cs="Calibri"/>
              </w:rPr>
              <w:t xml:space="preserve"> j</w:t>
            </w:r>
            <w:r w:rsidR="00EC6343">
              <w:rPr>
                <w:rFonts w:asciiTheme="minorHAnsi" w:cs="Calibri"/>
              </w:rPr>
              <w:t>am</w:t>
            </w:r>
            <w:r>
              <w:rPr>
                <w:rFonts w:asciiTheme="minorHAnsi" w:cs="Calibri"/>
              </w:rPr>
              <w:t>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0610" w14:textId="77777777" w:rsidR="005138BA" w:rsidRPr="005138BA" w:rsidRDefault="005138BA">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5826" w14:textId="77777777" w:rsidR="005138BA" w:rsidRPr="005138BA" w:rsidRDefault="005138BA">
            <w:pPr>
              <w:jc w:val="both"/>
              <w:rPr>
                <w:rFonts w:asciiTheme="minorHAnsi" w:cstheme="minorHAnsi"/>
              </w:rPr>
            </w:pPr>
          </w:p>
        </w:tc>
      </w:tr>
      <w:tr w:rsidR="002E2126" w:rsidRPr="001B11D7" w14:paraId="2C8A7ECD"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7038E" w14:textId="0A2476D4" w:rsidR="002E2126" w:rsidRPr="00F84FF7" w:rsidRDefault="00FD46E0" w:rsidP="007C6C42">
            <w:pPr>
              <w:jc w:val="center"/>
              <w:rPr>
                <w:rFonts w:asciiTheme="minorHAnsi" w:cstheme="minorHAnsi"/>
              </w:rPr>
            </w:pPr>
            <w:r w:rsidRPr="00F84FF7">
              <w:rPr>
                <w:rFonts w:asciiTheme="minorHAnsi" w:cstheme="minorHAnsi"/>
              </w:rPr>
              <w:t>7</w:t>
            </w:r>
            <w:r w:rsidR="002E2126" w:rsidRPr="00F84FF7">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5E9C2A3E" w:rsidR="002E2126" w:rsidRPr="006816A4" w:rsidRDefault="007C6C42" w:rsidP="00ED446A">
            <w:pPr>
              <w:jc w:val="both"/>
              <w:rPr>
                <w:rFonts w:asciiTheme="minorHAnsi" w:cstheme="minorHAnsi"/>
                <w:bCs/>
                <w:iCs/>
                <w:color w:val="00B050"/>
                <w:u w:val="single"/>
              </w:rPr>
            </w:pPr>
            <w:r w:rsidRPr="007C6C42">
              <w:rPr>
                <w:rFonts w:asciiTheme="minorHAnsi" w:cstheme="minorHAns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r w:rsidR="00842D5C" w:rsidRPr="001B11D7" w14:paraId="3890166C"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082737" w14:textId="01685F58" w:rsidR="00842D5C" w:rsidRPr="00F84FF7" w:rsidRDefault="00842D5C" w:rsidP="007C6C42">
            <w:pPr>
              <w:jc w:val="center"/>
              <w:rPr>
                <w:rFonts w:asciiTheme="minorHAnsi" w:cstheme="minorHAnsi"/>
              </w:rPr>
            </w:pPr>
            <w:r w:rsidRPr="00F84FF7">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44AE1E75" w:rsidR="00842D5C" w:rsidRPr="00ED446A" w:rsidRDefault="00842D5C" w:rsidP="00842D5C">
            <w:pPr>
              <w:jc w:val="both"/>
              <w:rPr>
                <w:rFonts w:ascii="Calibri" w:hAnsi="Calibri" w:cs="Calibri"/>
              </w:rPr>
            </w:pPr>
            <w:r w:rsidRPr="009F0675">
              <w:rPr>
                <w:rFonts w:asciiTheme="minorHAnsi" w:cstheme="minorHAnsi"/>
                <w:b/>
                <w:bCs/>
              </w:rPr>
              <w:t>Taikoma įrangai</w:t>
            </w:r>
            <w:r w:rsidRPr="009F0675">
              <w:rPr>
                <w:rFonts w:asciiTheme="minorHAnsi" w:cstheme="minorHAnsi"/>
                <w:bCs/>
              </w:rPr>
              <w:t xml:space="preserve">: </w:t>
            </w:r>
            <w:r w:rsidRPr="00D11848">
              <w:rPr>
                <w:rFonts w:asciiTheme="minorHAnsi" w:cstheme="minorHAnsi"/>
                <w:bCs/>
              </w:rPr>
              <w:t>įrangos naudojimosi instrukcijos / gamintojo parengti techniniai aprašai ar kiti dokumentai, patvirtinantys atitiktį techniniams reikalavimams, originalo ir lietuvių kalbomis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842D5C" w:rsidRPr="00A855F1" w:rsidRDefault="00842D5C" w:rsidP="00842D5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842D5C" w:rsidRPr="00A855F1" w:rsidRDefault="00842D5C" w:rsidP="00842D5C">
            <w:pPr>
              <w:jc w:val="both"/>
              <w:rPr>
                <w:rFonts w:cstheme="minorHAnsi"/>
              </w:rPr>
            </w:pPr>
          </w:p>
        </w:tc>
      </w:tr>
      <w:tr w:rsidR="00842D5C" w:rsidRPr="001B11D7" w14:paraId="138B20E6"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6A0CFD" w14:textId="5C2B8525" w:rsidR="00842D5C" w:rsidRPr="00F84FF7" w:rsidRDefault="00842D5C" w:rsidP="007C6C42">
            <w:pPr>
              <w:jc w:val="cente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1048D" w14:textId="5B8F3923" w:rsidR="00842D5C" w:rsidRPr="00EA2E68" w:rsidRDefault="00842D5C" w:rsidP="00842D5C">
            <w:pPr>
              <w:jc w:val="both"/>
              <w:rPr>
                <w:rFonts w:ascii="Calibri" w:hAnsi="Calibri" w:cs="Calibri"/>
                <w:b/>
                <w:color w:val="FF0000"/>
              </w:rPr>
            </w:pPr>
            <w:r w:rsidRPr="00F84FF7">
              <w:rPr>
                <w:rFonts w:ascii="Calibri" w:hAnsi="Calibri" w:cs="Calibri"/>
                <w:b/>
              </w:rPr>
              <w:t>Taikoma įrangai</w:t>
            </w:r>
            <w:r w:rsidRPr="00F84FF7">
              <w:rPr>
                <w:rFonts w:ascii="Calibri" w:hAnsi="Calibri" w:cs="Calibri"/>
                <w:b/>
                <w:bCs/>
              </w:rPr>
              <w:t xml:space="preserve">: </w:t>
            </w:r>
            <w:r w:rsidRPr="00F84FF7">
              <w:rPr>
                <w:rFonts w:ascii="Calibri" w:hAnsi="Calibri" w:cs="Calibri"/>
                <w:bCs/>
                <w:iCs/>
              </w:rPr>
              <w:t>CE-IVD ženklinimo ar lygiavertis sertifikatas originalo ir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8695D" w14:textId="77777777" w:rsidR="00842D5C" w:rsidRPr="00A855F1" w:rsidRDefault="00842D5C" w:rsidP="00842D5C">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F1451" w14:textId="77777777" w:rsidR="00842D5C" w:rsidRPr="00A855F1" w:rsidRDefault="00842D5C" w:rsidP="00842D5C">
            <w:pPr>
              <w:jc w:val="both"/>
              <w:rPr>
                <w:rFonts w:cstheme="minorHAnsi"/>
              </w:rPr>
            </w:pPr>
          </w:p>
        </w:tc>
      </w:tr>
      <w:tr w:rsidR="00842D5C" w:rsidRPr="001B11D7" w14:paraId="3FBF5ECA" w14:textId="77777777" w:rsidTr="007C6C42">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BF832" w14:textId="64631877" w:rsidR="00842D5C" w:rsidRPr="00F84FF7" w:rsidRDefault="00842D5C" w:rsidP="007C6C42">
            <w:pPr>
              <w:jc w:val="center"/>
              <w:rPr>
                <w:rFonts w:asciiTheme="minorHAnsi" w:cstheme="minorHAnsi"/>
              </w:rPr>
            </w:pPr>
            <w:r>
              <w:rPr>
                <w:rFonts w:asciiTheme="minorHAnsi"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275B13B5" w:rsidR="00842D5C" w:rsidRPr="00ED446A" w:rsidRDefault="00842D5C" w:rsidP="00842D5C">
            <w:pPr>
              <w:jc w:val="both"/>
              <w:rPr>
                <w:rFonts w:asciiTheme="minorHAnsi" w:cstheme="minorHAnsi"/>
              </w:rPr>
            </w:pPr>
            <w:r w:rsidRPr="000214F3">
              <w:rPr>
                <w:rFonts w:asciiTheme="minorHAnsi" w:cstheme="minorHAnsi"/>
              </w:rPr>
              <w:t xml:space="preserve">Kiti dokumentai, kuriuos būtina pateikti su pasiūlymu </w:t>
            </w:r>
            <w:r w:rsidRPr="000214F3">
              <w:rPr>
                <w:rFonts w:asciiTheme="minorHAnsi" w:cstheme="minorHAnsi"/>
                <w:i/>
                <w:iCs/>
              </w:rPr>
              <w:t>(pildo tiekėjas)</w:t>
            </w:r>
            <w:r w:rsidRPr="000214F3">
              <w:rPr>
                <w:rFonts w:asciiTheme="minorHAnsi" w:cstheme="minorHAnsi"/>
              </w:rPr>
              <w:t>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842D5C" w:rsidRPr="00A855F1" w:rsidRDefault="00842D5C" w:rsidP="00842D5C">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842D5C" w:rsidRPr="00A855F1" w:rsidRDefault="00842D5C" w:rsidP="00842D5C">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B64026">
      <w:pPr>
        <w:pStyle w:val="Sraopastraipa"/>
        <w:numPr>
          <w:ilvl w:val="0"/>
          <w:numId w:val="22"/>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B64026">
      <w:pPr>
        <w:pStyle w:val="Sraopastraipa"/>
        <w:numPr>
          <w:ilvl w:val="1"/>
          <w:numId w:val="22"/>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B64026">
      <w:pPr>
        <w:pStyle w:val="Sraopastraipa"/>
        <w:numPr>
          <w:ilvl w:val="1"/>
          <w:numId w:val="22"/>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B64026">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lastRenderedPageBreak/>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19460EA" w14:textId="001D3E70" w:rsidR="000874BC" w:rsidRPr="000874BC" w:rsidRDefault="000874BC" w:rsidP="00B64026">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6473AD2E"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3810ADC4" w14:textId="77777777" w:rsidR="000874BC"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72371C6B" w14:textId="24FCA98F" w:rsidR="00CE51CD" w:rsidRPr="00E77999" w:rsidRDefault="000874BC" w:rsidP="00E7799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EFCD7C8" w14:textId="77777777" w:rsidR="002E2126" w:rsidRPr="00827346" w:rsidRDefault="002E2126" w:rsidP="00B64026">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0E7DC951" w:rsidR="002E2126" w:rsidRPr="00827346" w:rsidRDefault="002E2126" w:rsidP="00B64026">
      <w:pPr>
        <w:pStyle w:val="Sraopastraipa"/>
        <w:numPr>
          <w:ilvl w:val="1"/>
          <w:numId w:val="22"/>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r w:rsidR="000214F3">
        <w:rPr>
          <w:rFonts w:eastAsia="Times New Roman" w:cstheme="minorHAnsi"/>
          <w:sz w:val="22"/>
          <w:szCs w:val="22"/>
          <w:lang w:eastAsia="en-US"/>
        </w:rPr>
        <w:t xml:space="preserve"> </w:t>
      </w:r>
      <w:r w:rsidR="000108CC">
        <w:rPr>
          <w:rFonts w:eastAsia="Times New Roman" w:cstheme="minorHAnsi"/>
          <w:sz w:val="22"/>
          <w:szCs w:val="22"/>
          <w:lang w:eastAsia="en-US"/>
        </w:rPr>
        <w:t>8</w:t>
      </w:r>
      <w:r w:rsidR="000214F3">
        <w:rPr>
          <w:rFonts w:eastAsia="Times New Roman" w:cstheme="minorHAnsi"/>
          <w:sz w:val="22"/>
          <w:szCs w:val="22"/>
          <w:lang w:eastAsia="en-US"/>
        </w:rPr>
        <w:t> 000,00 Eur bauda.</w:t>
      </w:r>
    </w:p>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054BBDB1" w14:textId="7FEDEFB4" w:rsidR="002F396F" w:rsidRPr="00682B25" w:rsidRDefault="002E2126" w:rsidP="00372C74">
      <w:pPr>
        <w:jc w:val="center"/>
        <w:rPr>
          <w:rFonts w:cstheme="minorHAnsi"/>
          <w:b/>
          <w:bCs/>
          <w:smallCaps/>
          <w:sz w:val="22"/>
          <w:szCs w:val="22"/>
        </w:rPr>
      </w:pPr>
      <w:r w:rsidRPr="00682B25">
        <w:rPr>
          <w:rFonts w:cstheme="minorHAnsi"/>
          <w:sz w:val="22"/>
          <w:szCs w:val="22"/>
        </w:rPr>
        <w:t>__________</w:t>
      </w:r>
    </w:p>
    <w:sectPr w:rsidR="002F396F" w:rsidRPr="00682B25" w:rsidSect="00372C74">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15CE" w14:textId="77777777" w:rsidR="006C4BB5" w:rsidRDefault="006C4BB5" w:rsidP="00D05666">
      <w:r>
        <w:separator/>
      </w:r>
    </w:p>
  </w:endnote>
  <w:endnote w:type="continuationSeparator" w:id="0">
    <w:p w14:paraId="2082CF11" w14:textId="77777777" w:rsidR="006C4BB5" w:rsidRDefault="006C4BB5" w:rsidP="00D05666">
      <w:r>
        <w:continuationSeparator/>
      </w:r>
    </w:p>
  </w:endnote>
  <w:endnote w:type="continuationNotice" w:id="1">
    <w:p w14:paraId="429068CA" w14:textId="77777777" w:rsidR="006C4BB5" w:rsidRDefault="006C4B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B5288" w14:textId="77777777" w:rsidR="006C4BB5" w:rsidRDefault="006C4BB5" w:rsidP="00D05666">
      <w:r>
        <w:separator/>
      </w:r>
    </w:p>
  </w:footnote>
  <w:footnote w:type="continuationSeparator" w:id="0">
    <w:p w14:paraId="32BA57D8" w14:textId="77777777" w:rsidR="006C4BB5" w:rsidRDefault="006C4BB5" w:rsidP="00D05666">
      <w:r>
        <w:continuationSeparator/>
      </w:r>
    </w:p>
  </w:footnote>
  <w:footnote w:type="continuationNotice" w:id="1">
    <w:p w14:paraId="7EB022C4" w14:textId="77777777" w:rsidR="006C4BB5" w:rsidRDefault="006C4BB5">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6" w:name="part_59ec321e391c494f84b320fbe598d9ee"/>
      <w:bookmarkEnd w:id="6"/>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7" w:name="part_1fc07d8744e64e18a56d6956d4a608bd"/>
      <w:bookmarkEnd w:id="7"/>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 w:name="part_9b8729a009b44b879be4bbdeffdfbc9d"/>
      <w:bookmarkEnd w:id="8"/>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5322"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3" w15:restartNumberingAfterBreak="0">
    <w:nsid w:val="47C631E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8"/>
  </w:num>
  <w:num w:numId="5" w16cid:durableId="607934237">
    <w:abstractNumId w:val="29"/>
  </w:num>
  <w:num w:numId="6" w16cid:durableId="408162091">
    <w:abstractNumId w:val="45"/>
  </w:num>
  <w:num w:numId="7" w16cid:durableId="12269543">
    <w:abstractNumId w:val="43"/>
  </w:num>
  <w:num w:numId="8" w16cid:durableId="749809940">
    <w:abstractNumId w:val="2"/>
  </w:num>
  <w:num w:numId="9" w16cid:durableId="412043720">
    <w:abstractNumId w:val="44"/>
  </w:num>
  <w:num w:numId="10" w16cid:durableId="1996449446">
    <w:abstractNumId w:val="40"/>
  </w:num>
  <w:num w:numId="11" w16cid:durableId="1482305889">
    <w:abstractNumId w:val="37"/>
  </w:num>
  <w:num w:numId="12" w16cid:durableId="32313854">
    <w:abstractNumId w:val="21"/>
  </w:num>
  <w:num w:numId="13" w16cid:durableId="1318921492">
    <w:abstractNumId w:val="28"/>
  </w:num>
  <w:num w:numId="14" w16cid:durableId="1864435576">
    <w:abstractNumId w:val="39"/>
  </w:num>
  <w:num w:numId="15" w16cid:durableId="1941065713">
    <w:abstractNumId w:val="6"/>
  </w:num>
  <w:num w:numId="16" w16cid:durableId="19859238">
    <w:abstractNumId w:val="9"/>
  </w:num>
  <w:num w:numId="17" w16cid:durableId="1297491117">
    <w:abstractNumId w:val="26"/>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6"/>
  </w:num>
  <w:num w:numId="23" w16cid:durableId="328021677">
    <w:abstractNumId w:val="31"/>
  </w:num>
  <w:num w:numId="24" w16cid:durableId="913508862">
    <w:abstractNumId w:val="42"/>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5"/>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30"/>
  </w:num>
  <w:num w:numId="37" w16cid:durableId="878519037">
    <w:abstractNumId w:val="3"/>
  </w:num>
  <w:num w:numId="38" w16cid:durableId="1032220187">
    <w:abstractNumId w:val="27"/>
  </w:num>
  <w:num w:numId="39" w16cid:durableId="752580688">
    <w:abstractNumId w:val="41"/>
  </w:num>
  <w:num w:numId="40" w16cid:durableId="1229463082">
    <w:abstractNumId w:val="8"/>
  </w:num>
  <w:num w:numId="41" w16cid:durableId="252469303">
    <w:abstractNumId w:val="10"/>
  </w:num>
  <w:num w:numId="42" w16cid:durableId="131945100">
    <w:abstractNumId w:val="36"/>
  </w:num>
  <w:num w:numId="43" w16cid:durableId="796070810">
    <w:abstractNumId w:val="24"/>
  </w:num>
  <w:num w:numId="44" w16cid:durableId="723064401">
    <w:abstractNumId w:val="22"/>
  </w:num>
  <w:num w:numId="45" w16cid:durableId="1767458866">
    <w:abstractNumId w:val="33"/>
  </w:num>
  <w:num w:numId="46" w16cid:durableId="807892817">
    <w:abstractNumId w:val="35"/>
  </w:num>
  <w:num w:numId="47" w16cid:durableId="701367099">
    <w:abstractNumId w:val="12"/>
  </w:num>
  <w:num w:numId="48" w16cid:durableId="1265184592">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8CC"/>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4F3"/>
    <w:rsid w:val="00021574"/>
    <w:rsid w:val="00021ECC"/>
    <w:rsid w:val="00021EFA"/>
    <w:rsid w:val="000221F4"/>
    <w:rsid w:val="00022DEB"/>
    <w:rsid w:val="00022E0C"/>
    <w:rsid w:val="00023641"/>
    <w:rsid w:val="00024A8A"/>
    <w:rsid w:val="00024DB9"/>
    <w:rsid w:val="0002541F"/>
    <w:rsid w:val="000259D6"/>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2EE4"/>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C7E27"/>
    <w:rsid w:val="000D0768"/>
    <w:rsid w:val="000D0C58"/>
    <w:rsid w:val="000D0F58"/>
    <w:rsid w:val="000D13D6"/>
    <w:rsid w:val="000D1890"/>
    <w:rsid w:val="000D18E9"/>
    <w:rsid w:val="000D2371"/>
    <w:rsid w:val="000D26D8"/>
    <w:rsid w:val="000D412D"/>
    <w:rsid w:val="000D4406"/>
    <w:rsid w:val="000D4B9C"/>
    <w:rsid w:val="000D4E2B"/>
    <w:rsid w:val="000D5C58"/>
    <w:rsid w:val="000D6316"/>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AF"/>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90C"/>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0F8"/>
    <w:rsid w:val="00167160"/>
    <w:rsid w:val="00167192"/>
    <w:rsid w:val="00167555"/>
    <w:rsid w:val="00167687"/>
    <w:rsid w:val="00167E09"/>
    <w:rsid w:val="00170676"/>
    <w:rsid w:val="0017095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AF8"/>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09ED"/>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593"/>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330"/>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5D9E"/>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5D90"/>
    <w:rsid w:val="00236FBF"/>
    <w:rsid w:val="00236FED"/>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49BE"/>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88"/>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BF"/>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8FD"/>
    <w:rsid w:val="00290E7C"/>
    <w:rsid w:val="00290F12"/>
    <w:rsid w:val="0029182B"/>
    <w:rsid w:val="00291DCB"/>
    <w:rsid w:val="0029216D"/>
    <w:rsid w:val="002926A1"/>
    <w:rsid w:val="002934A5"/>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4F5"/>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3E3"/>
    <w:rsid w:val="003354F0"/>
    <w:rsid w:val="00335A01"/>
    <w:rsid w:val="00335DA5"/>
    <w:rsid w:val="0033642E"/>
    <w:rsid w:val="003369D0"/>
    <w:rsid w:val="003406FD"/>
    <w:rsid w:val="00340E97"/>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4EE"/>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9D2"/>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C7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D0E"/>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715"/>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59F"/>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04F9"/>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1A2"/>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76"/>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B3A"/>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23B"/>
    <w:rsid w:val="004D57E9"/>
    <w:rsid w:val="004D7072"/>
    <w:rsid w:val="004D7B52"/>
    <w:rsid w:val="004D7DFA"/>
    <w:rsid w:val="004D7F53"/>
    <w:rsid w:val="004E0049"/>
    <w:rsid w:val="004E05A2"/>
    <w:rsid w:val="004E06BB"/>
    <w:rsid w:val="004E06D5"/>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314"/>
    <w:rsid w:val="005107DF"/>
    <w:rsid w:val="0051113D"/>
    <w:rsid w:val="0051148D"/>
    <w:rsid w:val="00511E57"/>
    <w:rsid w:val="005122FE"/>
    <w:rsid w:val="0051270F"/>
    <w:rsid w:val="00512760"/>
    <w:rsid w:val="005128B8"/>
    <w:rsid w:val="00512B1D"/>
    <w:rsid w:val="00512C9F"/>
    <w:rsid w:val="00512D6B"/>
    <w:rsid w:val="00512E53"/>
    <w:rsid w:val="0051329C"/>
    <w:rsid w:val="005138BA"/>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4FF"/>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A08"/>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4D3"/>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8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09F3"/>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63E"/>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6A4"/>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BB5"/>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46C"/>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128D"/>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A05"/>
    <w:rsid w:val="00751BDA"/>
    <w:rsid w:val="007520CD"/>
    <w:rsid w:val="0075257E"/>
    <w:rsid w:val="00752758"/>
    <w:rsid w:val="00752BFC"/>
    <w:rsid w:val="00752DE9"/>
    <w:rsid w:val="00752E01"/>
    <w:rsid w:val="00752E90"/>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1C2"/>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34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32B"/>
    <w:rsid w:val="007B7651"/>
    <w:rsid w:val="007B773D"/>
    <w:rsid w:val="007C00A2"/>
    <w:rsid w:val="007C017C"/>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6C42"/>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4D2E"/>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19F"/>
    <w:rsid w:val="00807B75"/>
    <w:rsid w:val="00810237"/>
    <w:rsid w:val="00810AF3"/>
    <w:rsid w:val="00810FC3"/>
    <w:rsid w:val="008122D9"/>
    <w:rsid w:val="008125DB"/>
    <w:rsid w:val="00813105"/>
    <w:rsid w:val="00814097"/>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2D5C"/>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40A"/>
    <w:rsid w:val="00874FDB"/>
    <w:rsid w:val="00875609"/>
    <w:rsid w:val="008756E3"/>
    <w:rsid w:val="00875E60"/>
    <w:rsid w:val="008767D6"/>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994"/>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8B0"/>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7AD"/>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0A2B"/>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75"/>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E0E"/>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80"/>
    <w:rsid w:val="00A436D2"/>
    <w:rsid w:val="00A4394E"/>
    <w:rsid w:val="00A43BC1"/>
    <w:rsid w:val="00A43C02"/>
    <w:rsid w:val="00A44166"/>
    <w:rsid w:val="00A44330"/>
    <w:rsid w:val="00A44C01"/>
    <w:rsid w:val="00A45433"/>
    <w:rsid w:val="00A4580A"/>
    <w:rsid w:val="00A45986"/>
    <w:rsid w:val="00A4599F"/>
    <w:rsid w:val="00A4619E"/>
    <w:rsid w:val="00A466F1"/>
    <w:rsid w:val="00A4762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4E81"/>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4D9"/>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7D3"/>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5B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026"/>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40E"/>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99A"/>
    <w:rsid w:val="00B83AF3"/>
    <w:rsid w:val="00B84D7D"/>
    <w:rsid w:val="00B852B7"/>
    <w:rsid w:val="00B856FF"/>
    <w:rsid w:val="00B85888"/>
    <w:rsid w:val="00B85ADF"/>
    <w:rsid w:val="00B85D0A"/>
    <w:rsid w:val="00B85D18"/>
    <w:rsid w:val="00B8671F"/>
    <w:rsid w:val="00B86CBC"/>
    <w:rsid w:val="00B878E2"/>
    <w:rsid w:val="00B87FE9"/>
    <w:rsid w:val="00B90ABC"/>
    <w:rsid w:val="00B90EFB"/>
    <w:rsid w:val="00B9137D"/>
    <w:rsid w:val="00B9167C"/>
    <w:rsid w:val="00B91A73"/>
    <w:rsid w:val="00B91D21"/>
    <w:rsid w:val="00B91FB8"/>
    <w:rsid w:val="00B920A5"/>
    <w:rsid w:val="00B92202"/>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C89"/>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E3"/>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45B"/>
    <w:rsid w:val="00C137BA"/>
    <w:rsid w:val="00C13AA7"/>
    <w:rsid w:val="00C13D69"/>
    <w:rsid w:val="00C13F9C"/>
    <w:rsid w:val="00C1441F"/>
    <w:rsid w:val="00C1458E"/>
    <w:rsid w:val="00C147E1"/>
    <w:rsid w:val="00C14E2C"/>
    <w:rsid w:val="00C158E9"/>
    <w:rsid w:val="00C15988"/>
    <w:rsid w:val="00C160A1"/>
    <w:rsid w:val="00C16987"/>
    <w:rsid w:val="00C16A6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56B"/>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6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22E"/>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5DC"/>
    <w:rsid w:val="00D068C1"/>
    <w:rsid w:val="00D07AEB"/>
    <w:rsid w:val="00D07D06"/>
    <w:rsid w:val="00D10344"/>
    <w:rsid w:val="00D1062D"/>
    <w:rsid w:val="00D10723"/>
    <w:rsid w:val="00D10EC9"/>
    <w:rsid w:val="00D10ED2"/>
    <w:rsid w:val="00D10FA6"/>
    <w:rsid w:val="00D11251"/>
    <w:rsid w:val="00D11848"/>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1F4"/>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C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2F93"/>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597F"/>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C1C"/>
    <w:rsid w:val="00E47270"/>
    <w:rsid w:val="00E47A0C"/>
    <w:rsid w:val="00E50D81"/>
    <w:rsid w:val="00E50F51"/>
    <w:rsid w:val="00E50F94"/>
    <w:rsid w:val="00E513E1"/>
    <w:rsid w:val="00E5154D"/>
    <w:rsid w:val="00E51D9E"/>
    <w:rsid w:val="00E52B67"/>
    <w:rsid w:val="00E5347E"/>
    <w:rsid w:val="00E53CA2"/>
    <w:rsid w:val="00E53E12"/>
    <w:rsid w:val="00E54362"/>
    <w:rsid w:val="00E54BE2"/>
    <w:rsid w:val="00E5549F"/>
    <w:rsid w:val="00E55E1A"/>
    <w:rsid w:val="00E56BA8"/>
    <w:rsid w:val="00E57702"/>
    <w:rsid w:val="00E577C7"/>
    <w:rsid w:val="00E5793E"/>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4C0C"/>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68"/>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2A19"/>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6343"/>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46A"/>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576"/>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3F02"/>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1C5"/>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48DD"/>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4FF7"/>
    <w:rsid w:val="00F85285"/>
    <w:rsid w:val="00F85649"/>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22"/>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DD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6E0"/>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C3E59B"/>
    <w:rsid w:val="15895DAF"/>
    <w:rsid w:val="176FE63E"/>
    <w:rsid w:val="178550F4"/>
    <w:rsid w:val="18B372B8"/>
    <w:rsid w:val="18BAED1E"/>
    <w:rsid w:val="1909C92D"/>
    <w:rsid w:val="19628E1A"/>
    <w:rsid w:val="19A2701F"/>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4367</TotalTime>
  <Pages>7</Pages>
  <Words>9103</Words>
  <Characters>5189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14264</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1628</cp:revision>
  <cp:lastPrinted>2025-03-01T05:45:00Z</cp:lastPrinted>
  <dcterms:created xsi:type="dcterms:W3CDTF">2024-11-29T23:07:00Z</dcterms:created>
  <dcterms:modified xsi:type="dcterms:W3CDTF">2025-07-25T04:59:00Z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