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8D28" w14:textId="585E31BC" w:rsidR="00D33821" w:rsidRPr="007C017C" w:rsidRDefault="00D33821" w:rsidP="00517774">
      <w:pPr>
        <w:spacing w:after="0" w:line="240" w:lineRule="auto"/>
        <w:jc w:val="right"/>
        <w:rPr>
          <w:rFonts w:eastAsia="Calibri" w:cstheme="minorHAnsi"/>
          <w:sz w:val="22"/>
          <w:szCs w:val="22"/>
        </w:rPr>
      </w:pPr>
      <w:bookmarkStart w:id="0" w:name="_Ref39484039"/>
      <w:bookmarkStart w:id="1" w:name="_Ref40278562"/>
      <w:bookmarkStart w:id="2" w:name="_Toc190416450"/>
      <w:bookmarkStart w:id="3" w:name="_Ref38285444"/>
      <w:bookmarkStart w:id="4" w:name="_Ref38291496"/>
      <w:bookmarkStart w:id="5" w:name="_Toc190416445"/>
      <w:r w:rsidRPr="007C017C">
        <w:rPr>
          <w:rFonts w:eastAsia="Calibri" w:cstheme="minorHAnsi"/>
          <w:sz w:val="22"/>
          <w:szCs w:val="22"/>
        </w:rPr>
        <w:t>Pirkimo sąlygų 4 priedas „Pasiūlymų vertinimo kriterijai ir sąlygos“</w:t>
      </w:r>
      <w:bookmarkEnd w:id="0"/>
      <w:bookmarkEnd w:id="1"/>
      <w:bookmarkEnd w:id="2"/>
    </w:p>
    <w:p w14:paraId="3F0A2DFE" w14:textId="77777777" w:rsidR="00D33821" w:rsidRPr="00682B25" w:rsidRDefault="00D33821" w:rsidP="00517774">
      <w:pPr>
        <w:spacing w:after="0" w:line="240" w:lineRule="auto"/>
        <w:jc w:val="center"/>
        <w:rPr>
          <w:rFonts w:cstheme="minorHAnsi"/>
          <w:b/>
          <w:sz w:val="22"/>
          <w:szCs w:val="22"/>
        </w:rPr>
      </w:pPr>
    </w:p>
    <w:p w14:paraId="049349DC" w14:textId="77777777" w:rsidR="00D33821" w:rsidRDefault="00D33821" w:rsidP="00517774">
      <w:pPr>
        <w:pStyle w:val="Paantrat"/>
        <w:spacing w:after="0" w:line="240" w:lineRule="auto"/>
        <w:jc w:val="center"/>
        <w:rPr>
          <w:rFonts w:cstheme="minorHAnsi"/>
          <w:sz w:val="22"/>
          <w:szCs w:val="22"/>
        </w:rPr>
      </w:pPr>
      <w:r w:rsidRPr="00682B25">
        <w:rPr>
          <w:rFonts w:cstheme="minorHAnsi"/>
          <w:sz w:val="22"/>
          <w:szCs w:val="22"/>
        </w:rPr>
        <w:t>PASIŪLYMŲ VERTINIMO KRITERIJAI ir Sąlygos</w:t>
      </w:r>
    </w:p>
    <w:p w14:paraId="5616CC8A" w14:textId="77777777" w:rsidR="00517774" w:rsidRPr="00517774" w:rsidRDefault="00517774" w:rsidP="00517774"/>
    <w:p w14:paraId="2361BEFE" w14:textId="6F80F076" w:rsidR="00AE7337" w:rsidRPr="00517774" w:rsidRDefault="00D33821" w:rsidP="00517774">
      <w:pPr>
        <w:pStyle w:val="Pagrindinistekstas"/>
        <w:numPr>
          <w:ilvl w:val="0"/>
          <w:numId w:val="40"/>
        </w:numPr>
        <w:spacing w:after="0" w:line="240" w:lineRule="auto"/>
        <w:rPr>
          <w:rFonts w:eastAsia="Times New Roman" w:cstheme="minorHAnsi"/>
          <w:lang w:eastAsia="en-US"/>
        </w:rPr>
      </w:pPr>
      <w:r w:rsidRPr="00F40A93">
        <w:rPr>
          <w:rFonts w:cstheme="minorHAnsi"/>
          <w:b/>
          <w:bCs/>
          <w:szCs w:val="21"/>
        </w:rPr>
        <w:t>Pasiūlymų vertinimo kriterijai</w:t>
      </w:r>
      <w:r w:rsidR="00517774">
        <w:rPr>
          <w:rFonts w:cstheme="minorHAnsi"/>
          <w:b/>
          <w:bCs/>
          <w:szCs w:val="21"/>
        </w:rPr>
        <w:t>:</w:t>
      </w:r>
    </w:p>
    <w:tbl>
      <w:tblPr>
        <w:tblStyle w:val="Lentelstinklelis"/>
        <w:tblW w:w="0" w:type="auto"/>
        <w:tblInd w:w="0" w:type="dxa"/>
        <w:tblLook w:val="04A0" w:firstRow="1" w:lastRow="0" w:firstColumn="1" w:lastColumn="0" w:noHBand="0" w:noVBand="1"/>
      </w:tblPr>
      <w:tblGrid>
        <w:gridCol w:w="486"/>
        <w:gridCol w:w="4193"/>
        <w:gridCol w:w="1270"/>
        <w:gridCol w:w="2188"/>
        <w:gridCol w:w="1825"/>
      </w:tblGrid>
      <w:tr w:rsidR="00104220" w:rsidRPr="00275FBB" w14:paraId="17FDF6CA" w14:textId="77777777" w:rsidTr="00F40530">
        <w:tc>
          <w:tcPr>
            <w:tcW w:w="5949" w:type="dxa"/>
            <w:gridSpan w:val="3"/>
            <w:shd w:val="clear" w:color="auto" w:fill="D9D9D9" w:themeFill="background1" w:themeFillShade="D9"/>
            <w:vAlign w:val="center"/>
          </w:tcPr>
          <w:p w14:paraId="23AC2D07" w14:textId="79A20A32" w:rsidR="00104220" w:rsidRPr="00275FBB" w:rsidRDefault="00104220" w:rsidP="00517774">
            <w:pPr>
              <w:suppressAutoHyphens/>
              <w:jc w:val="center"/>
              <w:rPr>
                <w:rFonts w:cstheme="minorHAnsi"/>
                <w:b/>
                <w:bCs/>
              </w:rPr>
            </w:pPr>
            <w:r w:rsidRPr="00275FBB">
              <w:rPr>
                <w:rFonts w:asciiTheme="minorHAnsi" w:cstheme="minorHAnsi"/>
                <w:b/>
                <w:bCs/>
                <w:sz w:val="21"/>
                <w:szCs w:val="21"/>
              </w:rPr>
              <w:t>Vertinimo kriterijai</w:t>
            </w:r>
          </w:p>
        </w:tc>
        <w:tc>
          <w:tcPr>
            <w:tcW w:w="2188" w:type="dxa"/>
            <w:shd w:val="clear" w:color="auto" w:fill="D9D9D9" w:themeFill="background1" w:themeFillShade="D9"/>
            <w:vAlign w:val="center"/>
          </w:tcPr>
          <w:p w14:paraId="36ED8145" w14:textId="496E3320" w:rsidR="00104220" w:rsidRPr="00275FBB" w:rsidRDefault="00104220" w:rsidP="00517774">
            <w:pPr>
              <w:suppressAutoHyphens/>
              <w:jc w:val="center"/>
              <w:rPr>
                <w:rFonts w:asciiTheme="minorHAnsi" w:cstheme="minorHAnsi"/>
                <w:b/>
                <w:bCs/>
                <w:sz w:val="21"/>
                <w:szCs w:val="21"/>
              </w:rPr>
            </w:pPr>
            <w:r w:rsidRPr="00275FBB">
              <w:rPr>
                <w:rFonts w:asciiTheme="minorHAnsi" w:cstheme="minorHAnsi"/>
                <w:b/>
                <w:bCs/>
                <w:sz w:val="21"/>
                <w:szCs w:val="21"/>
              </w:rPr>
              <w:t>Kriterijaus parametro lyginamasis svoris</w:t>
            </w:r>
          </w:p>
        </w:tc>
        <w:tc>
          <w:tcPr>
            <w:tcW w:w="1825" w:type="dxa"/>
            <w:shd w:val="clear" w:color="auto" w:fill="D9D9D9" w:themeFill="background1" w:themeFillShade="D9"/>
            <w:vAlign w:val="center"/>
          </w:tcPr>
          <w:p w14:paraId="5084F6D4" w14:textId="77777777" w:rsidR="00104220" w:rsidRPr="00275FBB" w:rsidRDefault="00104220" w:rsidP="00517774">
            <w:pPr>
              <w:suppressAutoHyphens/>
              <w:jc w:val="center"/>
              <w:rPr>
                <w:rFonts w:asciiTheme="minorHAnsi" w:cstheme="minorHAnsi"/>
                <w:b/>
                <w:bCs/>
                <w:sz w:val="21"/>
                <w:szCs w:val="21"/>
              </w:rPr>
            </w:pPr>
            <w:r w:rsidRPr="00275FBB">
              <w:rPr>
                <w:rFonts w:asciiTheme="minorHAnsi" w:cstheme="minorHAnsi"/>
                <w:b/>
                <w:bCs/>
                <w:sz w:val="21"/>
                <w:szCs w:val="21"/>
              </w:rPr>
              <w:t>Kriterijaus lyginamasis svoris</w:t>
            </w:r>
          </w:p>
        </w:tc>
      </w:tr>
      <w:tr w:rsidR="00104220" w:rsidRPr="00275FBB" w14:paraId="5F67B59A" w14:textId="77777777" w:rsidTr="00517774">
        <w:trPr>
          <w:trHeight w:val="173"/>
        </w:trPr>
        <w:tc>
          <w:tcPr>
            <w:tcW w:w="5949" w:type="dxa"/>
            <w:gridSpan w:val="3"/>
            <w:shd w:val="clear" w:color="auto" w:fill="D9D9D9" w:themeFill="background1" w:themeFillShade="D9"/>
            <w:vAlign w:val="center"/>
          </w:tcPr>
          <w:p w14:paraId="6B84F437" w14:textId="2F7618D1" w:rsidR="00104220" w:rsidRPr="0007173D" w:rsidRDefault="00104220" w:rsidP="00517774">
            <w:pPr>
              <w:suppressAutoHyphens/>
              <w:rPr>
                <w:rFonts w:cstheme="minorHAnsi"/>
                <w:b/>
                <w:bCs/>
              </w:rPr>
            </w:pPr>
            <w:r w:rsidRPr="0007173D">
              <w:rPr>
                <w:rFonts w:asciiTheme="minorHAnsi" w:cstheme="minorHAnsi"/>
                <w:b/>
                <w:bCs/>
                <w:sz w:val="21"/>
                <w:szCs w:val="21"/>
              </w:rPr>
              <w:t>Kaina</w:t>
            </w:r>
            <w:r>
              <w:rPr>
                <w:rFonts w:asciiTheme="minorHAnsi" w:cstheme="minorHAnsi"/>
                <w:b/>
                <w:bCs/>
                <w:sz w:val="21"/>
                <w:szCs w:val="21"/>
              </w:rPr>
              <w:t xml:space="preserve"> (C)</w:t>
            </w:r>
          </w:p>
        </w:tc>
        <w:tc>
          <w:tcPr>
            <w:tcW w:w="2188" w:type="dxa"/>
            <w:shd w:val="clear" w:color="auto" w:fill="D9D9D9" w:themeFill="background1" w:themeFillShade="D9"/>
          </w:tcPr>
          <w:p w14:paraId="3A0B42AE" w14:textId="553BA064" w:rsidR="00104220" w:rsidRPr="0007173D" w:rsidRDefault="00104220" w:rsidP="00517774">
            <w:pPr>
              <w:suppressAutoHyphens/>
              <w:jc w:val="both"/>
              <w:rPr>
                <w:rFonts w:asciiTheme="minorHAnsi" w:cstheme="minorHAnsi"/>
                <w:b/>
                <w:bCs/>
                <w:sz w:val="21"/>
                <w:szCs w:val="21"/>
              </w:rPr>
            </w:pPr>
          </w:p>
        </w:tc>
        <w:tc>
          <w:tcPr>
            <w:tcW w:w="1825" w:type="dxa"/>
            <w:shd w:val="clear" w:color="auto" w:fill="D9D9D9" w:themeFill="background1" w:themeFillShade="D9"/>
            <w:vAlign w:val="center"/>
          </w:tcPr>
          <w:p w14:paraId="5D09E374" w14:textId="3CACB4F7" w:rsidR="00104220" w:rsidRPr="0007173D" w:rsidRDefault="00104220" w:rsidP="00517774">
            <w:pPr>
              <w:suppressAutoHyphens/>
              <w:rPr>
                <w:rFonts w:asciiTheme="minorHAnsi" w:cstheme="minorHAnsi"/>
                <w:b/>
                <w:bCs/>
                <w:sz w:val="21"/>
                <w:szCs w:val="21"/>
              </w:rPr>
            </w:pPr>
            <w:r w:rsidRPr="0007173D">
              <w:rPr>
                <w:rFonts w:asciiTheme="minorHAnsi" w:cstheme="minorHAnsi"/>
                <w:b/>
                <w:bCs/>
                <w:sz w:val="21"/>
                <w:szCs w:val="21"/>
              </w:rPr>
              <w:t>X=80</w:t>
            </w:r>
          </w:p>
        </w:tc>
      </w:tr>
      <w:tr w:rsidR="00104220" w:rsidRPr="00275FBB" w14:paraId="09DDDC89" w14:textId="77777777" w:rsidTr="00F40530">
        <w:tc>
          <w:tcPr>
            <w:tcW w:w="5949" w:type="dxa"/>
            <w:gridSpan w:val="3"/>
            <w:shd w:val="clear" w:color="auto" w:fill="D9D9D9" w:themeFill="background1" w:themeFillShade="D9"/>
            <w:vAlign w:val="center"/>
          </w:tcPr>
          <w:p w14:paraId="1D76B536" w14:textId="0B3D54E3" w:rsidR="00104220" w:rsidRPr="0007173D" w:rsidRDefault="00517774" w:rsidP="00517774">
            <w:pPr>
              <w:suppressAutoHyphens/>
              <w:rPr>
                <w:rFonts w:cstheme="minorHAnsi"/>
                <w:b/>
                <w:bCs/>
              </w:rPr>
            </w:pPr>
            <w:r>
              <w:rPr>
                <w:rFonts w:asciiTheme="minorHAnsi" w:cstheme="minorHAnsi"/>
                <w:b/>
                <w:bCs/>
                <w:iCs/>
                <w:sz w:val="21"/>
                <w:szCs w:val="21"/>
              </w:rPr>
              <w:t>Techniniai pranašumai</w:t>
            </w:r>
            <w:r w:rsidR="00104220" w:rsidRPr="0007173D">
              <w:rPr>
                <w:rFonts w:asciiTheme="minorHAnsi" w:cstheme="minorHAnsi"/>
                <w:b/>
                <w:bCs/>
                <w:iCs/>
                <w:sz w:val="21"/>
                <w:szCs w:val="21"/>
              </w:rPr>
              <w:t xml:space="preserve"> (T)</w:t>
            </w:r>
          </w:p>
        </w:tc>
        <w:tc>
          <w:tcPr>
            <w:tcW w:w="2188" w:type="dxa"/>
            <w:shd w:val="clear" w:color="auto" w:fill="D9D9D9" w:themeFill="background1" w:themeFillShade="D9"/>
          </w:tcPr>
          <w:p w14:paraId="5148DD1F" w14:textId="63C87D2B" w:rsidR="00104220" w:rsidRPr="0007173D" w:rsidRDefault="00104220" w:rsidP="00517774">
            <w:pPr>
              <w:suppressAutoHyphens/>
              <w:jc w:val="both"/>
              <w:rPr>
                <w:rFonts w:asciiTheme="minorHAnsi" w:cstheme="minorHAnsi"/>
                <w:b/>
                <w:bCs/>
                <w:sz w:val="21"/>
                <w:szCs w:val="21"/>
              </w:rPr>
            </w:pPr>
          </w:p>
        </w:tc>
        <w:tc>
          <w:tcPr>
            <w:tcW w:w="1825" w:type="dxa"/>
            <w:shd w:val="clear" w:color="auto" w:fill="D9D9D9" w:themeFill="background1" w:themeFillShade="D9"/>
            <w:vAlign w:val="center"/>
          </w:tcPr>
          <w:p w14:paraId="7357C999" w14:textId="081BA59F" w:rsidR="00104220" w:rsidRPr="0007173D" w:rsidRDefault="00104220" w:rsidP="00517774">
            <w:pPr>
              <w:suppressAutoHyphens/>
              <w:rPr>
                <w:rFonts w:asciiTheme="minorHAnsi" w:cstheme="minorHAnsi"/>
                <w:b/>
                <w:bCs/>
                <w:sz w:val="21"/>
                <w:szCs w:val="21"/>
              </w:rPr>
            </w:pPr>
            <w:r w:rsidRPr="0007173D">
              <w:rPr>
                <w:rFonts w:asciiTheme="minorHAnsi" w:cstheme="minorHAnsi"/>
                <w:b/>
                <w:bCs/>
                <w:sz w:val="21"/>
                <w:szCs w:val="21"/>
              </w:rPr>
              <w:t>Y=20</w:t>
            </w:r>
          </w:p>
        </w:tc>
      </w:tr>
      <w:tr w:rsidR="00104220" w:rsidRPr="00104220" w14:paraId="1A5D649D" w14:textId="77777777" w:rsidTr="00F40530">
        <w:tc>
          <w:tcPr>
            <w:tcW w:w="486" w:type="dxa"/>
            <w:vAlign w:val="center"/>
          </w:tcPr>
          <w:p w14:paraId="1F622141" w14:textId="2742B361" w:rsidR="00104220" w:rsidRPr="00104220" w:rsidRDefault="00104220" w:rsidP="00517774">
            <w:pPr>
              <w:suppressAutoHyphens/>
              <w:jc w:val="center"/>
              <w:rPr>
                <w:rFonts w:asciiTheme="minorHAnsi" w:cstheme="minorHAnsi"/>
                <w:b/>
                <w:bCs/>
                <w:iCs/>
                <w:sz w:val="21"/>
                <w:szCs w:val="21"/>
              </w:rPr>
            </w:pPr>
            <w:r w:rsidRPr="00104220">
              <w:rPr>
                <w:rFonts w:asciiTheme="minorHAnsi" w:cstheme="minorHAnsi"/>
                <w:b/>
                <w:bCs/>
                <w:iCs/>
                <w:sz w:val="21"/>
                <w:szCs w:val="21"/>
              </w:rPr>
              <w:t>Nr.</w:t>
            </w:r>
          </w:p>
        </w:tc>
        <w:tc>
          <w:tcPr>
            <w:tcW w:w="4193" w:type="dxa"/>
            <w:vAlign w:val="center"/>
          </w:tcPr>
          <w:p w14:paraId="12A277E8" w14:textId="4731000C" w:rsidR="00104220" w:rsidRPr="00104220" w:rsidRDefault="00104220" w:rsidP="00517774">
            <w:pPr>
              <w:suppressAutoHyphens/>
              <w:jc w:val="center"/>
              <w:rPr>
                <w:rFonts w:asciiTheme="minorHAnsi" w:cstheme="minorHAnsi"/>
                <w:b/>
                <w:bCs/>
                <w:iCs/>
                <w:sz w:val="21"/>
                <w:szCs w:val="21"/>
              </w:rPr>
            </w:pPr>
            <w:r w:rsidRPr="00104220">
              <w:rPr>
                <w:rFonts w:asciiTheme="minorHAnsi" w:cstheme="minorHAnsi"/>
                <w:b/>
                <w:bCs/>
                <w:iCs/>
                <w:sz w:val="21"/>
                <w:szCs w:val="21"/>
              </w:rPr>
              <w:t>Parametrai</w:t>
            </w:r>
          </w:p>
        </w:tc>
        <w:tc>
          <w:tcPr>
            <w:tcW w:w="1270" w:type="dxa"/>
            <w:vAlign w:val="center"/>
          </w:tcPr>
          <w:p w14:paraId="0CE46699" w14:textId="2498E223" w:rsidR="00104220" w:rsidRPr="00F40530" w:rsidRDefault="00F40530" w:rsidP="00517774">
            <w:pPr>
              <w:suppressAutoHyphens/>
              <w:jc w:val="center"/>
              <w:rPr>
                <w:rFonts w:asciiTheme="minorHAnsi" w:cstheme="minorHAnsi"/>
                <w:b/>
                <w:bCs/>
                <w:iCs/>
                <w:sz w:val="21"/>
                <w:szCs w:val="21"/>
              </w:rPr>
            </w:pPr>
            <w:r w:rsidRPr="00F40530">
              <w:rPr>
                <w:rFonts w:asciiTheme="minorHAnsi" w:cstheme="minorHAnsi"/>
                <w:b/>
                <w:bCs/>
                <w:iCs/>
                <w:sz w:val="21"/>
                <w:szCs w:val="21"/>
              </w:rPr>
              <w:t>Vertinimo būdas</w:t>
            </w:r>
          </w:p>
        </w:tc>
        <w:tc>
          <w:tcPr>
            <w:tcW w:w="2188" w:type="dxa"/>
            <w:vAlign w:val="center"/>
          </w:tcPr>
          <w:p w14:paraId="7DDEC915" w14:textId="0CB81403" w:rsidR="00104220" w:rsidRPr="00104220" w:rsidRDefault="00104220" w:rsidP="00517774">
            <w:pPr>
              <w:suppressAutoHyphens/>
              <w:jc w:val="center"/>
              <w:rPr>
                <w:rFonts w:asciiTheme="minorHAnsi" w:cstheme="minorHAnsi"/>
                <w:b/>
                <w:bCs/>
                <w:iCs/>
                <w:sz w:val="21"/>
                <w:szCs w:val="21"/>
              </w:rPr>
            </w:pPr>
          </w:p>
        </w:tc>
        <w:tc>
          <w:tcPr>
            <w:tcW w:w="1825" w:type="dxa"/>
            <w:vAlign w:val="center"/>
          </w:tcPr>
          <w:p w14:paraId="66D5279B" w14:textId="77777777" w:rsidR="00104220" w:rsidRPr="00104220" w:rsidRDefault="00104220" w:rsidP="00517774">
            <w:pPr>
              <w:suppressAutoHyphens/>
              <w:jc w:val="center"/>
              <w:rPr>
                <w:rFonts w:asciiTheme="minorHAnsi" w:cstheme="minorHAnsi"/>
                <w:b/>
                <w:bCs/>
                <w:iCs/>
                <w:sz w:val="21"/>
                <w:szCs w:val="21"/>
              </w:rPr>
            </w:pPr>
          </w:p>
        </w:tc>
      </w:tr>
      <w:tr w:rsidR="00104220" w:rsidRPr="00275FBB" w14:paraId="4EA4FE54" w14:textId="77777777" w:rsidTr="00F40530">
        <w:tc>
          <w:tcPr>
            <w:tcW w:w="486" w:type="dxa"/>
            <w:vAlign w:val="center"/>
          </w:tcPr>
          <w:p w14:paraId="66E26C31" w14:textId="309296F2" w:rsidR="00104220" w:rsidRPr="00796D56" w:rsidRDefault="00796D56" w:rsidP="00517774">
            <w:pPr>
              <w:suppressAutoHyphens/>
              <w:jc w:val="center"/>
              <w:rPr>
                <w:rFonts w:cstheme="minorHAnsi"/>
                <w:iCs/>
              </w:rPr>
            </w:pPr>
            <w:r>
              <w:rPr>
                <w:rFonts w:asciiTheme="minorHAnsi" w:cstheme="minorHAnsi"/>
                <w:iCs/>
                <w:sz w:val="21"/>
                <w:szCs w:val="21"/>
              </w:rPr>
              <w:t>T</w:t>
            </w:r>
            <w:r w:rsidR="00104220" w:rsidRPr="00796D56">
              <w:rPr>
                <w:rFonts w:asciiTheme="minorHAnsi" w:cstheme="minorHAnsi"/>
                <w:iCs/>
                <w:sz w:val="21"/>
                <w:szCs w:val="21"/>
                <w:vertAlign w:val="subscript"/>
              </w:rPr>
              <w:t>1</w:t>
            </w:r>
          </w:p>
        </w:tc>
        <w:tc>
          <w:tcPr>
            <w:tcW w:w="4193" w:type="dxa"/>
          </w:tcPr>
          <w:p w14:paraId="175D84B8" w14:textId="547176D9" w:rsidR="00104220" w:rsidRPr="00796D56" w:rsidRDefault="00104220" w:rsidP="00517774">
            <w:pPr>
              <w:suppressAutoHyphens/>
              <w:jc w:val="both"/>
              <w:rPr>
                <w:rFonts w:cstheme="minorHAnsi"/>
                <w:iCs/>
              </w:rPr>
            </w:pPr>
            <w:r w:rsidRPr="00796D56">
              <w:rPr>
                <w:rFonts w:asciiTheme="minorHAnsi" w:cstheme="minorHAnsi"/>
                <w:iCs/>
                <w:sz w:val="21"/>
                <w:szCs w:val="21"/>
              </w:rPr>
              <w:t>Automatizuotas išskyrimo ir mėginių išpilstymo procesas. Pilnai automatizuotas procesas nuo pirminio mėginio išpilstymo iki nukleorūgščių (NR) išskyrimo, PGR reakcijų paruošimo.</w:t>
            </w:r>
          </w:p>
        </w:tc>
        <w:tc>
          <w:tcPr>
            <w:tcW w:w="1270" w:type="dxa"/>
            <w:vAlign w:val="center"/>
          </w:tcPr>
          <w:p w14:paraId="61030F85" w14:textId="373BF021" w:rsidR="00104220" w:rsidRPr="00D35F68" w:rsidRDefault="00D35F68" w:rsidP="00517774">
            <w:pPr>
              <w:suppressAutoHyphens/>
              <w:jc w:val="center"/>
              <w:rPr>
                <w:rFonts w:asciiTheme="minorHAnsi" w:cstheme="minorHAnsi"/>
                <w:sz w:val="21"/>
                <w:szCs w:val="21"/>
              </w:rPr>
            </w:pPr>
            <w:r w:rsidRPr="00D35F68">
              <w:rPr>
                <w:rFonts w:asciiTheme="minorHAnsi" w:cstheme="minorHAnsi"/>
                <w:sz w:val="21"/>
                <w:szCs w:val="21"/>
              </w:rPr>
              <w:t>Statinis: (taip</w:t>
            </w:r>
            <w:r>
              <w:rPr>
                <w:rFonts w:asciiTheme="minorHAnsi" w:cstheme="minorHAnsi"/>
                <w:sz w:val="21"/>
                <w:szCs w:val="21"/>
              </w:rPr>
              <w:t xml:space="preserve"> </w:t>
            </w:r>
            <w:r w:rsidRPr="00D35F68">
              <w:rPr>
                <w:rFonts w:asciiTheme="minorHAnsi" w:cstheme="minorHAnsi"/>
                <w:sz w:val="21"/>
                <w:szCs w:val="21"/>
              </w:rPr>
              <w:t>/</w:t>
            </w:r>
            <w:r>
              <w:rPr>
                <w:rFonts w:asciiTheme="minorHAnsi" w:cstheme="minorHAnsi"/>
                <w:sz w:val="21"/>
                <w:szCs w:val="21"/>
              </w:rPr>
              <w:t xml:space="preserve"> </w:t>
            </w:r>
            <w:r w:rsidRPr="00D35F68">
              <w:rPr>
                <w:rFonts w:asciiTheme="minorHAnsi" w:cstheme="minorHAnsi"/>
                <w:sz w:val="21"/>
                <w:szCs w:val="21"/>
              </w:rPr>
              <w:t>ne)</w:t>
            </w:r>
          </w:p>
        </w:tc>
        <w:tc>
          <w:tcPr>
            <w:tcW w:w="2188" w:type="dxa"/>
            <w:vAlign w:val="center"/>
          </w:tcPr>
          <w:p w14:paraId="79B9566A" w14:textId="7C9AFDAF" w:rsidR="00104220" w:rsidRPr="00275FBB" w:rsidRDefault="00104220" w:rsidP="00517774">
            <w:pPr>
              <w:suppressAutoHyphens/>
              <w:rPr>
                <w:rFonts w:cstheme="minorHAnsi"/>
              </w:rPr>
            </w:pPr>
            <w:r w:rsidRPr="00275FBB">
              <w:rPr>
                <w:rFonts w:asciiTheme="minorHAnsi" w:cstheme="minorHAnsi"/>
                <w:sz w:val="21"/>
                <w:szCs w:val="21"/>
              </w:rPr>
              <w:t>L</w:t>
            </w:r>
            <w:r w:rsidRPr="00275FBB">
              <w:rPr>
                <w:rFonts w:asciiTheme="minorHAnsi" w:cstheme="minorHAnsi"/>
                <w:sz w:val="21"/>
                <w:szCs w:val="21"/>
                <w:vertAlign w:val="subscript"/>
              </w:rPr>
              <w:t>1</w:t>
            </w:r>
            <w:r w:rsidRPr="00275FBB">
              <w:rPr>
                <w:rFonts w:asciiTheme="minorHAnsi" w:cstheme="minorHAnsi"/>
                <w:sz w:val="21"/>
                <w:szCs w:val="21"/>
              </w:rPr>
              <w:t>=</w:t>
            </w:r>
            <w:r>
              <w:rPr>
                <w:rFonts w:asciiTheme="minorHAnsi" w:cstheme="minorHAnsi"/>
                <w:sz w:val="21"/>
                <w:szCs w:val="21"/>
              </w:rPr>
              <w:t>4</w:t>
            </w:r>
          </w:p>
        </w:tc>
        <w:tc>
          <w:tcPr>
            <w:tcW w:w="1825" w:type="dxa"/>
          </w:tcPr>
          <w:p w14:paraId="56351CF6" w14:textId="77777777" w:rsidR="00104220" w:rsidRPr="00275FBB" w:rsidRDefault="00104220" w:rsidP="00517774">
            <w:pPr>
              <w:suppressAutoHyphens/>
              <w:jc w:val="both"/>
              <w:rPr>
                <w:rFonts w:cstheme="minorHAnsi"/>
              </w:rPr>
            </w:pPr>
          </w:p>
        </w:tc>
      </w:tr>
      <w:tr w:rsidR="00796D56" w:rsidRPr="00275FBB" w14:paraId="399E007B" w14:textId="77777777" w:rsidTr="00D35F68">
        <w:tc>
          <w:tcPr>
            <w:tcW w:w="486" w:type="dxa"/>
            <w:vAlign w:val="center"/>
          </w:tcPr>
          <w:p w14:paraId="0BE9A5D1" w14:textId="220CB7CF" w:rsidR="00796D56" w:rsidRPr="00796D56" w:rsidRDefault="00796D56" w:rsidP="00517774">
            <w:pPr>
              <w:suppressAutoHyphens/>
              <w:jc w:val="center"/>
              <w:rPr>
                <w:rFonts w:asciiTheme="minorHAnsi" w:cstheme="minorHAnsi"/>
                <w:iCs/>
                <w:sz w:val="21"/>
                <w:szCs w:val="21"/>
              </w:rPr>
            </w:pPr>
            <w:r>
              <w:rPr>
                <w:rFonts w:asciiTheme="minorHAnsi" w:cstheme="minorHAnsi"/>
                <w:iCs/>
                <w:sz w:val="21"/>
                <w:szCs w:val="21"/>
              </w:rPr>
              <w:t>T</w:t>
            </w:r>
            <w:r>
              <w:rPr>
                <w:rFonts w:asciiTheme="minorHAnsi" w:cstheme="minorHAnsi"/>
                <w:iCs/>
                <w:sz w:val="21"/>
                <w:szCs w:val="21"/>
                <w:vertAlign w:val="subscript"/>
              </w:rPr>
              <w:t>2</w:t>
            </w:r>
          </w:p>
        </w:tc>
        <w:tc>
          <w:tcPr>
            <w:tcW w:w="4193" w:type="dxa"/>
          </w:tcPr>
          <w:p w14:paraId="1D8B010B" w14:textId="46058FF6" w:rsidR="00796D56" w:rsidRPr="00796D56" w:rsidRDefault="00796D56" w:rsidP="00517774">
            <w:pPr>
              <w:suppressAutoHyphens/>
              <w:jc w:val="both"/>
              <w:rPr>
                <w:rFonts w:asciiTheme="minorHAnsi" w:cstheme="minorHAnsi"/>
                <w:iCs/>
                <w:sz w:val="21"/>
                <w:szCs w:val="21"/>
              </w:rPr>
            </w:pPr>
            <w:r w:rsidRPr="00796D56">
              <w:rPr>
                <w:rFonts w:asciiTheme="minorHAnsi" w:cstheme="minorHAnsi"/>
                <w:iCs/>
                <w:sz w:val="21"/>
                <w:szCs w:val="21"/>
              </w:rPr>
              <w:t>Skirtingi mėginių išskyrimo protokolai vieno paleidimo metu. Vienu metu gali būti išskiriamos nukleorūgštys (NR) iš skirtingų tipų tipų ėminių, pvz: šlapimo, lytinių takų ėminių, skystosios terpės ėminių ir kt.</w:t>
            </w:r>
          </w:p>
        </w:tc>
        <w:tc>
          <w:tcPr>
            <w:tcW w:w="1270" w:type="dxa"/>
            <w:vAlign w:val="center"/>
          </w:tcPr>
          <w:p w14:paraId="5A622ECF" w14:textId="407B22EA" w:rsidR="00796D56" w:rsidRPr="00275FBB" w:rsidRDefault="00796D56" w:rsidP="00517774">
            <w:pPr>
              <w:suppressAutoHyphens/>
              <w:jc w:val="center"/>
              <w:rPr>
                <w:rFonts w:cstheme="minorHAnsi"/>
              </w:rPr>
            </w:pPr>
            <w:r w:rsidRPr="00681108">
              <w:rPr>
                <w:rFonts w:asciiTheme="minorHAnsi" w:cstheme="minorHAnsi"/>
                <w:sz w:val="21"/>
                <w:szCs w:val="21"/>
              </w:rPr>
              <w:t>Statinis: (taip</w:t>
            </w:r>
            <w:r>
              <w:rPr>
                <w:rFonts w:asciiTheme="minorHAnsi" w:cstheme="minorHAnsi"/>
                <w:sz w:val="21"/>
                <w:szCs w:val="21"/>
              </w:rPr>
              <w:t xml:space="preserve"> </w:t>
            </w:r>
            <w:r w:rsidRPr="00681108">
              <w:rPr>
                <w:rFonts w:asciiTheme="minorHAnsi" w:cstheme="minorHAnsi"/>
                <w:sz w:val="21"/>
                <w:szCs w:val="21"/>
              </w:rPr>
              <w:t>/</w:t>
            </w:r>
            <w:r>
              <w:rPr>
                <w:rFonts w:asciiTheme="minorHAnsi" w:cstheme="minorHAnsi"/>
                <w:sz w:val="21"/>
                <w:szCs w:val="21"/>
              </w:rPr>
              <w:t xml:space="preserve"> </w:t>
            </w:r>
            <w:r w:rsidRPr="00681108">
              <w:rPr>
                <w:rFonts w:asciiTheme="minorHAnsi" w:cstheme="minorHAnsi"/>
                <w:sz w:val="21"/>
                <w:szCs w:val="21"/>
              </w:rPr>
              <w:t>ne)</w:t>
            </w:r>
          </w:p>
        </w:tc>
        <w:tc>
          <w:tcPr>
            <w:tcW w:w="2188" w:type="dxa"/>
            <w:vAlign w:val="center"/>
          </w:tcPr>
          <w:p w14:paraId="78B3CCB9" w14:textId="395DB128" w:rsidR="00796D56" w:rsidRPr="00275FBB" w:rsidRDefault="00796D56" w:rsidP="00517774">
            <w:pPr>
              <w:suppressAutoHyphens/>
              <w:rPr>
                <w:rFonts w:asciiTheme="minorHAnsi" w:cstheme="minorHAnsi"/>
                <w:sz w:val="21"/>
                <w:szCs w:val="21"/>
              </w:rPr>
            </w:pPr>
            <w:r w:rsidRPr="00275FBB">
              <w:rPr>
                <w:rFonts w:asciiTheme="minorHAnsi" w:cstheme="minorHAnsi"/>
                <w:sz w:val="21"/>
                <w:szCs w:val="21"/>
              </w:rPr>
              <w:t>L</w:t>
            </w:r>
            <w:r w:rsidRPr="00275FBB">
              <w:rPr>
                <w:rFonts w:asciiTheme="minorHAnsi" w:cstheme="minorHAnsi"/>
                <w:sz w:val="21"/>
                <w:szCs w:val="21"/>
                <w:vertAlign w:val="subscript"/>
              </w:rPr>
              <w:t>2</w:t>
            </w:r>
            <w:r w:rsidRPr="00275FBB">
              <w:rPr>
                <w:rFonts w:asciiTheme="minorHAnsi" w:cstheme="minorHAnsi"/>
                <w:sz w:val="21"/>
                <w:szCs w:val="21"/>
              </w:rPr>
              <w:t>=</w:t>
            </w:r>
            <w:r>
              <w:rPr>
                <w:rFonts w:asciiTheme="minorHAnsi" w:cstheme="minorHAnsi"/>
                <w:sz w:val="21"/>
                <w:szCs w:val="21"/>
              </w:rPr>
              <w:t>4</w:t>
            </w:r>
          </w:p>
        </w:tc>
        <w:tc>
          <w:tcPr>
            <w:tcW w:w="1825" w:type="dxa"/>
          </w:tcPr>
          <w:p w14:paraId="24C1CB39" w14:textId="77777777" w:rsidR="00796D56" w:rsidRPr="00275FBB" w:rsidRDefault="00796D56" w:rsidP="00517774">
            <w:pPr>
              <w:suppressAutoHyphens/>
              <w:jc w:val="both"/>
              <w:rPr>
                <w:rFonts w:asciiTheme="minorHAnsi" w:cstheme="minorHAnsi"/>
                <w:sz w:val="21"/>
                <w:szCs w:val="21"/>
              </w:rPr>
            </w:pPr>
          </w:p>
        </w:tc>
      </w:tr>
      <w:tr w:rsidR="00796D56" w:rsidRPr="00275FBB" w14:paraId="1F5CA72A" w14:textId="77777777" w:rsidTr="00D35F68">
        <w:tc>
          <w:tcPr>
            <w:tcW w:w="486" w:type="dxa"/>
            <w:vAlign w:val="center"/>
          </w:tcPr>
          <w:p w14:paraId="7D85400D" w14:textId="240F903D" w:rsidR="00796D56" w:rsidRPr="00796D56" w:rsidRDefault="00796D56" w:rsidP="00517774">
            <w:pPr>
              <w:suppressAutoHyphens/>
              <w:jc w:val="center"/>
              <w:rPr>
                <w:rFonts w:asciiTheme="minorHAnsi" w:cstheme="minorHAnsi"/>
                <w:iCs/>
                <w:sz w:val="21"/>
                <w:szCs w:val="21"/>
              </w:rPr>
            </w:pPr>
            <w:r>
              <w:rPr>
                <w:rFonts w:asciiTheme="minorHAnsi" w:cstheme="minorHAnsi"/>
                <w:iCs/>
                <w:sz w:val="21"/>
                <w:szCs w:val="21"/>
              </w:rPr>
              <w:t>T</w:t>
            </w:r>
            <w:r>
              <w:rPr>
                <w:rFonts w:asciiTheme="minorHAnsi" w:cstheme="minorHAnsi"/>
                <w:iCs/>
                <w:sz w:val="21"/>
                <w:szCs w:val="21"/>
                <w:vertAlign w:val="subscript"/>
              </w:rPr>
              <w:t>3</w:t>
            </w:r>
          </w:p>
        </w:tc>
        <w:tc>
          <w:tcPr>
            <w:tcW w:w="4193" w:type="dxa"/>
          </w:tcPr>
          <w:p w14:paraId="7BF73CF6" w14:textId="5AC73DA6" w:rsidR="00796D56" w:rsidRPr="00796D56" w:rsidRDefault="00796D56" w:rsidP="00517774">
            <w:pPr>
              <w:suppressAutoHyphens/>
              <w:jc w:val="both"/>
              <w:rPr>
                <w:rFonts w:asciiTheme="minorHAnsi" w:cstheme="minorHAnsi"/>
                <w:iCs/>
                <w:sz w:val="21"/>
                <w:szCs w:val="21"/>
              </w:rPr>
            </w:pPr>
            <w:r w:rsidRPr="00796D56">
              <w:rPr>
                <w:rFonts w:asciiTheme="minorHAnsi" w:cstheme="minorHAnsi"/>
                <w:iCs/>
                <w:sz w:val="21"/>
                <w:szCs w:val="21"/>
              </w:rPr>
              <w:t>Universalus išskyrimo rinkinys visiems mėginiams. Tas pats išskyrimo reagentų rinkinys yra skirtas bakterijų, virusų, genominės, parazitų, grybelių DNR ir/ar RNR išskyrimui iš įvairių ėminių tipų tokių kaip kraujas, serumas, plazma, ląstelių kultūros, šlapimas, skystos citologijos ėminiai, tepinėliai (nosiaryklės, vaginaliniai, gimdos kaklelio, uretros, rektaliniai ir kt.), nosiaryklės aspiratas, bronchoalveolinis lavažas, skrepliai, cerebrospinalinis skystis, išmatos, rektaliniai ėminiai Cary-Blair terpėje.</w:t>
            </w:r>
          </w:p>
        </w:tc>
        <w:tc>
          <w:tcPr>
            <w:tcW w:w="1270" w:type="dxa"/>
            <w:vAlign w:val="center"/>
          </w:tcPr>
          <w:p w14:paraId="6E080ABF" w14:textId="009FF8EB" w:rsidR="00796D56" w:rsidRPr="00275FBB" w:rsidRDefault="00796D56" w:rsidP="00517774">
            <w:pPr>
              <w:suppressAutoHyphens/>
              <w:jc w:val="center"/>
              <w:rPr>
                <w:rFonts w:cstheme="minorHAnsi"/>
              </w:rPr>
            </w:pPr>
            <w:r w:rsidRPr="00681108">
              <w:rPr>
                <w:rFonts w:asciiTheme="minorHAnsi" w:cstheme="minorHAnsi"/>
                <w:sz w:val="21"/>
                <w:szCs w:val="21"/>
              </w:rPr>
              <w:t>Statinis: (taip</w:t>
            </w:r>
            <w:r>
              <w:rPr>
                <w:rFonts w:asciiTheme="minorHAnsi" w:cstheme="minorHAnsi"/>
                <w:sz w:val="21"/>
                <w:szCs w:val="21"/>
              </w:rPr>
              <w:t xml:space="preserve"> </w:t>
            </w:r>
            <w:r w:rsidRPr="00681108">
              <w:rPr>
                <w:rFonts w:asciiTheme="minorHAnsi" w:cstheme="minorHAnsi"/>
                <w:sz w:val="21"/>
                <w:szCs w:val="21"/>
              </w:rPr>
              <w:t>/</w:t>
            </w:r>
            <w:r>
              <w:rPr>
                <w:rFonts w:asciiTheme="minorHAnsi" w:cstheme="minorHAnsi"/>
                <w:sz w:val="21"/>
                <w:szCs w:val="21"/>
              </w:rPr>
              <w:t xml:space="preserve"> </w:t>
            </w:r>
            <w:r w:rsidRPr="00681108">
              <w:rPr>
                <w:rFonts w:asciiTheme="minorHAnsi" w:cstheme="minorHAnsi"/>
                <w:sz w:val="21"/>
                <w:szCs w:val="21"/>
              </w:rPr>
              <w:t>ne)</w:t>
            </w:r>
          </w:p>
        </w:tc>
        <w:tc>
          <w:tcPr>
            <w:tcW w:w="2188" w:type="dxa"/>
            <w:vAlign w:val="center"/>
          </w:tcPr>
          <w:p w14:paraId="56EAAE84" w14:textId="2826A802" w:rsidR="00796D56" w:rsidRPr="00275FBB" w:rsidRDefault="00796D56" w:rsidP="00517774">
            <w:pPr>
              <w:suppressAutoHyphens/>
              <w:rPr>
                <w:rFonts w:asciiTheme="minorHAnsi" w:cstheme="minorHAnsi"/>
                <w:sz w:val="21"/>
                <w:szCs w:val="21"/>
              </w:rPr>
            </w:pPr>
            <w:r w:rsidRPr="00275FBB">
              <w:rPr>
                <w:rFonts w:asciiTheme="minorHAnsi" w:cstheme="minorHAnsi"/>
                <w:sz w:val="21"/>
                <w:szCs w:val="21"/>
              </w:rPr>
              <w:t>L</w:t>
            </w:r>
            <w:r>
              <w:rPr>
                <w:rFonts w:asciiTheme="minorHAnsi" w:cstheme="minorHAnsi"/>
                <w:sz w:val="21"/>
                <w:szCs w:val="21"/>
                <w:vertAlign w:val="subscript"/>
              </w:rPr>
              <w:t>3</w:t>
            </w:r>
            <w:r w:rsidRPr="00275FBB">
              <w:rPr>
                <w:rFonts w:asciiTheme="minorHAnsi" w:cstheme="minorHAnsi"/>
                <w:sz w:val="21"/>
                <w:szCs w:val="21"/>
              </w:rPr>
              <w:t>=</w:t>
            </w:r>
            <w:r>
              <w:rPr>
                <w:rFonts w:asciiTheme="minorHAnsi" w:cstheme="minorHAnsi"/>
                <w:sz w:val="21"/>
                <w:szCs w:val="21"/>
              </w:rPr>
              <w:t>4</w:t>
            </w:r>
          </w:p>
        </w:tc>
        <w:tc>
          <w:tcPr>
            <w:tcW w:w="1825" w:type="dxa"/>
          </w:tcPr>
          <w:p w14:paraId="0435CF41" w14:textId="77777777" w:rsidR="00796D56" w:rsidRPr="00275FBB" w:rsidRDefault="00796D56" w:rsidP="00517774">
            <w:pPr>
              <w:suppressAutoHyphens/>
              <w:jc w:val="both"/>
              <w:rPr>
                <w:rFonts w:asciiTheme="minorHAnsi" w:cstheme="minorHAnsi"/>
                <w:sz w:val="21"/>
                <w:szCs w:val="21"/>
              </w:rPr>
            </w:pPr>
          </w:p>
        </w:tc>
      </w:tr>
      <w:tr w:rsidR="00796D56" w:rsidRPr="00275FBB" w14:paraId="73374CB2" w14:textId="77777777" w:rsidTr="00D35F68">
        <w:tc>
          <w:tcPr>
            <w:tcW w:w="486" w:type="dxa"/>
            <w:vAlign w:val="center"/>
          </w:tcPr>
          <w:p w14:paraId="144C32B2" w14:textId="71B97984" w:rsidR="00796D56" w:rsidRPr="00796D56" w:rsidRDefault="00796D56" w:rsidP="00517774">
            <w:pPr>
              <w:suppressAutoHyphens/>
              <w:jc w:val="center"/>
              <w:rPr>
                <w:rFonts w:asciiTheme="minorHAnsi" w:cstheme="minorHAnsi"/>
                <w:iCs/>
                <w:sz w:val="21"/>
                <w:szCs w:val="21"/>
              </w:rPr>
            </w:pPr>
            <w:r>
              <w:rPr>
                <w:rFonts w:asciiTheme="minorHAnsi" w:cstheme="minorHAnsi"/>
                <w:iCs/>
                <w:sz w:val="21"/>
                <w:szCs w:val="21"/>
              </w:rPr>
              <w:t>T</w:t>
            </w:r>
            <w:r>
              <w:rPr>
                <w:rFonts w:asciiTheme="minorHAnsi" w:cstheme="minorHAnsi"/>
                <w:iCs/>
                <w:sz w:val="21"/>
                <w:szCs w:val="21"/>
                <w:vertAlign w:val="subscript"/>
              </w:rPr>
              <w:t>4</w:t>
            </w:r>
          </w:p>
        </w:tc>
        <w:tc>
          <w:tcPr>
            <w:tcW w:w="4193" w:type="dxa"/>
          </w:tcPr>
          <w:p w14:paraId="4A418F76" w14:textId="66A04C5A" w:rsidR="00796D56" w:rsidRPr="00796D56" w:rsidRDefault="00796D56" w:rsidP="00517774">
            <w:pPr>
              <w:suppressAutoHyphens/>
              <w:jc w:val="both"/>
              <w:rPr>
                <w:rFonts w:asciiTheme="minorHAnsi" w:cstheme="minorHAnsi"/>
                <w:iCs/>
                <w:sz w:val="21"/>
                <w:szCs w:val="21"/>
              </w:rPr>
            </w:pPr>
            <w:r w:rsidRPr="00796D56">
              <w:rPr>
                <w:rFonts w:asciiTheme="minorHAnsi" w:cstheme="minorHAnsi"/>
                <w:iCs/>
                <w:sz w:val="21"/>
                <w:szCs w:val="21"/>
              </w:rPr>
              <w:t>Skirtingų tyrimų atlikimas iš to paties mėginio. Galimybė sistemos pagalba vienu metu iš to paties mėginio paruošti ir atlikti skirtingus tyrimus. Pavyzdžiui – vienu metu iš to paties lytinių takų ėminio atlikti lytiškai plintančių infekcinių patogenų, bakterinės vaginozės, kandidozės ir lytinių takų opų sukėlėjų tyrimą.</w:t>
            </w:r>
          </w:p>
        </w:tc>
        <w:tc>
          <w:tcPr>
            <w:tcW w:w="1270" w:type="dxa"/>
            <w:vAlign w:val="center"/>
          </w:tcPr>
          <w:p w14:paraId="120C87DA" w14:textId="3A30B76B" w:rsidR="00796D56" w:rsidRPr="00275FBB" w:rsidRDefault="00796D56" w:rsidP="00517774">
            <w:pPr>
              <w:suppressAutoHyphens/>
              <w:jc w:val="center"/>
              <w:rPr>
                <w:rFonts w:cstheme="minorHAnsi"/>
              </w:rPr>
            </w:pPr>
            <w:r w:rsidRPr="00A063A8">
              <w:rPr>
                <w:rFonts w:asciiTheme="minorHAnsi" w:cstheme="minorHAnsi"/>
                <w:sz w:val="21"/>
                <w:szCs w:val="21"/>
              </w:rPr>
              <w:t>Statinis: (taip</w:t>
            </w:r>
            <w:r>
              <w:rPr>
                <w:rFonts w:asciiTheme="minorHAnsi" w:cstheme="minorHAnsi"/>
                <w:sz w:val="21"/>
                <w:szCs w:val="21"/>
              </w:rPr>
              <w:t xml:space="preserve"> </w:t>
            </w:r>
            <w:r w:rsidRPr="00A063A8">
              <w:rPr>
                <w:rFonts w:asciiTheme="minorHAnsi" w:cstheme="minorHAnsi"/>
                <w:sz w:val="21"/>
                <w:szCs w:val="21"/>
              </w:rPr>
              <w:t>/</w:t>
            </w:r>
            <w:r>
              <w:rPr>
                <w:rFonts w:asciiTheme="minorHAnsi" w:cstheme="minorHAnsi"/>
                <w:sz w:val="21"/>
                <w:szCs w:val="21"/>
              </w:rPr>
              <w:t xml:space="preserve"> </w:t>
            </w:r>
            <w:r w:rsidRPr="00A063A8">
              <w:rPr>
                <w:rFonts w:asciiTheme="minorHAnsi" w:cstheme="minorHAnsi"/>
                <w:sz w:val="21"/>
                <w:szCs w:val="21"/>
              </w:rPr>
              <w:t>ne)</w:t>
            </w:r>
          </w:p>
        </w:tc>
        <w:tc>
          <w:tcPr>
            <w:tcW w:w="2188" w:type="dxa"/>
            <w:vAlign w:val="center"/>
          </w:tcPr>
          <w:p w14:paraId="50296F91" w14:textId="65BCAB82" w:rsidR="00796D56" w:rsidRPr="00275FBB" w:rsidRDefault="00796D56" w:rsidP="00517774">
            <w:pPr>
              <w:suppressAutoHyphens/>
              <w:rPr>
                <w:rFonts w:asciiTheme="minorHAnsi" w:cstheme="minorHAnsi"/>
                <w:sz w:val="21"/>
                <w:szCs w:val="21"/>
              </w:rPr>
            </w:pPr>
            <w:r w:rsidRPr="00275FBB">
              <w:rPr>
                <w:rFonts w:asciiTheme="minorHAnsi" w:cstheme="minorHAnsi"/>
                <w:sz w:val="21"/>
                <w:szCs w:val="21"/>
              </w:rPr>
              <w:t>L</w:t>
            </w:r>
            <w:r>
              <w:rPr>
                <w:rFonts w:asciiTheme="minorHAnsi" w:cstheme="minorHAnsi"/>
                <w:sz w:val="21"/>
                <w:szCs w:val="21"/>
                <w:vertAlign w:val="subscript"/>
              </w:rPr>
              <w:t>4</w:t>
            </w:r>
            <w:r w:rsidRPr="00275FBB">
              <w:rPr>
                <w:rFonts w:asciiTheme="minorHAnsi" w:cstheme="minorHAnsi"/>
                <w:sz w:val="21"/>
                <w:szCs w:val="21"/>
              </w:rPr>
              <w:t>=</w:t>
            </w:r>
            <w:r>
              <w:rPr>
                <w:rFonts w:asciiTheme="minorHAnsi" w:cstheme="minorHAnsi"/>
                <w:sz w:val="21"/>
                <w:szCs w:val="21"/>
              </w:rPr>
              <w:t>4</w:t>
            </w:r>
          </w:p>
        </w:tc>
        <w:tc>
          <w:tcPr>
            <w:tcW w:w="1825" w:type="dxa"/>
          </w:tcPr>
          <w:p w14:paraId="60A9F560" w14:textId="77777777" w:rsidR="00796D56" w:rsidRPr="00275FBB" w:rsidRDefault="00796D56" w:rsidP="00517774">
            <w:pPr>
              <w:suppressAutoHyphens/>
              <w:jc w:val="both"/>
              <w:rPr>
                <w:rFonts w:asciiTheme="minorHAnsi" w:cstheme="minorHAnsi"/>
                <w:sz w:val="21"/>
                <w:szCs w:val="21"/>
              </w:rPr>
            </w:pPr>
          </w:p>
        </w:tc>
      </w:tr>
      <w:tr w:rsidR="00796D56" w:rsidRPr="00275FBB" w14:paraId="05B037F7" w14:textId="77777777" w:rsidTr="00D35F68">
        <w:tc>
          <w:tcPr>
            <w:tcW w:w="486" w:type="dxa"/>
            <w:vAlign w:val="center"/>
          </w:tcPr>
          <w:p w14:paraId="18B1611E" w14:textId="528C85B1" w:rsidR="00796D56" w:rsidRPr="00275FBB" w:rsidRDefault="00796D56" w:rsidP="00517774">
            <w:pPr>
              <w:suppressAutoHyphens/>
              <w:jc w:val="center"/>
              <w:rPr>
                <w:rFonts w:asciiTheme="minorHAnsi" w:cstheme="minorHAnsi"/>
                <w:i/>
                <w:sz w:val="21"/>
                <w:szCs w:val="21"/>
              </w:rPr>
            </w:pPr>
            <w:r>
              <w:rPr>
                <w:rFonts w:asciiTheme="minorHAnsi" w:cstheme="minorHAnsi"/>
                <w:iCs/>
                <w:sz w:val="21"/>
                <w:szCs w:val="21"/>
              </w:rPr>
              <w:t>T</w:t>
            </w:r>
            <w:r>
              <w:rPr>
                <w:rFonts w:asciiTheme="minorHAnsi" w:cstheme="minorHAnsi"/>
                <w:iCs/>
                <w:sz w:val="21"/>
                <w:szCs w:val="21"/>
                <w:vertAlign w:val="subscript"/>
              </w:rPr>
              <w:t>5</w:t>
            </w:r>
          </w:p>
        </w:tc>
        <w:tc>
          <w:tcPr>
            <w:tcW w:w="4193" w:type="dxa"/>
          </w:tcPr>
          <w:p w14:paraId="67E78CBE" w14:textId="181DB4AB" w:rsidR="00796D56" w:rsidRPr="008C3ACD" w:rsidRDefault="00796D56" w:rsidP="00517774">
            <w:pPr>
              <w:suppressAutoHyphens/>
              <w:jc w:val="both"/>
              <w:rPr>
                <w:rFonts w:asciiTheme="minorHAnsi" w:cstheme="minorHAnsi"/>
                <w:iCs/>
                <w:sz w:val="21"/>
                <w:szCs w:val="21"/>
              </w:rPr>
            </w:pPr>
            <w:r w:rsidRPr="008C3ACD">
              <w:rPr>
                <w:rFonts w:cstheme="minorHAnsi"/>
                <w:iCs/>
              </w:rPr>
              <w:t>Automatin</w:t>
            </w:r>
            <w:r w:rsidRPr="008C3ACD">
              <w:rPr>
                <w:rFonts w:cstheme="minorHAnsi"/>
                <w:iCs/>
              </w:rPr>
              <w:t>ė</w:t>
            </w:r>
            <w:r w:rsidRPr="008C3ACD">
              <w:rPr>
                <w:rFonts w:cstheme="minorHAnsi"/>
                <w:iCs/>
              </w:rPr>
              <w:t xml:space="preserve"> rezultat</w:t>
            </w:r>
            <w:r w:rsidRPr="008C3ACD">
              <w:rPr>
                <w:rFonts w:cstheme="minorHAnsi"/>
                <w:iCs/>
              </w:rPr>
              <w:t>ų</w:t>
            </w:r>
            <w:r w:rsidRPr="008C3ACD">
              <w:rPr>
                <w:rFonts w:cstheme="minorHAnsi"/>
                <w:iCs/>
              </w:rPr>
              <w:t xml:space="preserve"> analiz</w:t>
            </w:r>
            <w:r w:rsidRPr="008C3ACD">
              <w:rPr>
                <w:rFonts w:cstheme="minorHAnsi"/>
                <w:iCs/>
              </w:rPr>
              <w:t>ė</w:t>
            </w:r>
            <w:r w:rsidRPr="008C3ACD">
              <w:rPr>
                <w:rFonts w:cstheme="minorHAnsi"/>
                <w:iCs/>
              </w:rPr>
              <w:t>s programa. Automatin</w:t>
            </w:r>
            <w:r w:rsidRPr="008C3ACD">
              <w:rPr>
                <w:rFonts w:cstheme="minorHAnsi"/>
                <w:iCs/>
              </w:rPr>
              <w:t>ė</w:t>
            </w:r>
            <w:r w:rsidRPr="008C3ACD">
              <w:rPr>
                <w:rFonts w:cstheme="minorHAnsi"/>
                <w:iCs/>
              </w:rPr>
              <w:t xml:space="preserve"> realaus laiko PGR rezultat</w:t>
            </w:r>
            <w:r w:rsidRPr="008C3ACD">
              <w:rPr>
                <w:rFonts w:cstheme="minorHAnsi"/>
                <w:iCs/>
              </w:rPr>
              <w:t>ų</w:t>
            </w:r>
            <w:r w:rsidRPr="008C3ACD">
              <w:rPr>
                <w:rFonts w:cstheme="minorHAnsi"/>
                <w:iCs/>
              </w:rPr>
              <w:t xml:space="preserve"> analiz</w:t>
            </w:r>
            <w:r w:rsidRPr="008C3ACD">
              <w:rPr>
                <w:rFonts w:cstheme="minorHAnsi"/>
                <w:iCs/>
              </w:rPr>
              <w:t>ė</w:t>
            </w:r>
            <w:r w:rsidRPr="008C3ACD">
              <w:rPr>
                <w:rFonts w:cstheme="minorHAnsi"/>
                <w:iCs/>
              </w:rPr>
              <w:t>s programin</w:t>
            </w:r>
            <w:r w:rsidRPr="008C3ACD">
              <w:rPr>
                <w:rFonts w:cstheme="minorHAnsi"/>
                <w:iCs/>
              </w:rPr>
              <w:t>ė</w:t>
            </w:r>
            <w:r w:rsidRPr="008C3ACD">
              <w:rPr>
                <w:rFonts w:cstheme="minorHAnsi"/>
                <w:iCs/>
              </w:rPr>
              <w:t xml:space="preserve"> </w:t>
            </w:r>
            <w:r w:rsidRPr="008C3ACD">
              <w:rPr>
                <w:rFonts w:cstheme="minorHAnsi"/>
                <w:iCs/>
              </w:rPr>
              <w:t>į</w:t>
            </w:r>
            <w:r w:rsidRPr="008C3ACD">
              <w:rPr>
                <w:rFonts w:cstheme="minorHAnsi"/>
                <w:iCs/>
              </w:rPr>
              <w:t>ranga turi b</w:t>
            </w:r>
            <w:r w:rsidRPr="008C3ACD">
              <w:rPr>
                <w:rFonts w:cstheme="minorHAnsi"/>
                <w:iCs/>
              </w:rPr>
              <w:t>ū</w:t>
            </w:r>
            <w:r w:rsidRPr="008C3ACD">
              <w:rPr>
                <w:rFonts w:cstheme="minorHAnsi"/>
                <w:iCs/>
              </w:rPr>
              <w:t>ti skirta greitam ir tiksliam skirting</w:t>
            </w:r>
            <w:r w:rsidRPr="008C3ACD">
              <w:rPr>
                <w:rFonts w:cstheme="minorHAnsi"/>
                <w:iCs/>
              </w:rPr>
              <w:t>ų</w:t>
            </w:r>
            <w:r w:rsidRPr="008C3ACD">
              <w:rPr>
                <w:rFonts w:cstheme="minorHAnsi"/>
                <w:iCs/>
              </w:rPr>
              <w:t xml:space="preserve"> tyrim</w:t>
            </w:r>
            <w:r w:rsidRPr="008C3ACD">
              <w:rPr>
                <w:rFonts w:cstheme="minorHAnsi"/>
                <w:iCs/>
              </w:rPr>
              <w:t>ų</w:t>
            </w:r>
            <w:r w:rsidRPr="008C3ACD">
              <w:rPr>
                <w:rFonts w:cstheme="minorHAnsi"/>
                <w:iCs/>
              </w:rPr>
              <w:t xml:space="preserve"> rezultat</w:t>
            </w:r>
            <w:r w:rsidRPr="008C3ACD">
              <w:rPr>
                <w:rFonts w:cstheme="minorHAnsi"/>
                <w:iCs/>
              </w:rPr>
              <w:t>ų</w:t>
            </w:r>
            <w:r w:rsidRPr="008C3ACD">
              <w:rPr>
                <w:rFonts w:cstheme="minorHAnsi"/>
                <w:iCs/>
              </w:rPr>
              <w:t xml:space="preserve"> (kartu pateikiant Ct vertes ir Vidin</w:t>
            </w:r>
            <w:r w:rsidRPr="008C3ACD">
              <w:rPr>
                <w:rFonts w:cstheme="minorHAnsi"/>
                <w:iCs/>
              </w:rPr>
              <w:t>ė</w:t>
            </w:r>
            <w:r w:rsidRPr="008C3ACD">
              <w:rPr>
                <w:rFonts w:cstheme="minorHAnsi"/>
                <w:iCs/>
              </w:rPr>
              <w:t>s kontrol</w:t>
            </w:r>
            <w:r w:rsidRPr="008C3ACD">
              <w:rPr>
                <w:rFonts w:cstheme="minorHAnsi"/>
                <w:iCs/>
              </w:rPr>
              <w:t>ė</w:t>
            </w:r>
            <w:r w:rsidRPr="008C3ACD">
              <w:rPr>
                <w:rFonts w:cstheme="minorHAnsi"/>
                <w:iCs/>
              </w:rPr>
              <w:t>s rezultat</w:t>
            </w:r>
            <w:r w:rsidRPr="008C3ACD">
              <w:rPr>
                <w:rFonts w:cstheme="minorHAnsi"/>
                <w:iCs/>
              </w:rPr>
              <w:t>ą</w:t>
            </w:r>
            <w:r w:rsidRPr="008C3ACD">
              <w:rPr>
                <w:rFonts w:cstheme="minorHAnsi"/>
                <w:iCs/>
              </w:rPr>
              <w:t>) interpretavimui; Rezultat</w:t>
            </w:r>
            <w:r w:rsidRPr="008C3ACD">
              <w:rPr>
                <w:rFonts w:cstheme="minorHAnsi"/>
                <w:iCs/>
              </w:rPr>
              <w:t>ų</w:t>
            </w:r>
            <w:r w:rsidRPr="008C3ACD">
              <w:rPr>
                <w:rFonts w:cstheme="minorHAnsi"/>
                <w:iCs/>
              </w:rPr>
              <w:t xml:space="preserve"> ataskaitos privalo b</w:t>
            </w:r>
            <w:r w:rsidRPr="008C3ACD">
              <w:rPr>
                <w:rFonts w:cstheme="minorHAnsi"/>
                <w:iCs/>
              </w:rPr>
              <w:t>ū</w:t>
            </w:r>
            <w:r w:rsidRPr="008C3ACD">
              <w:rPr>
                <w:rFonts w:cstheme="minorHAnsi"/>
                <w:iCs/>
              </w:rPr>
              <w:t>ti kei</w:t>
            </w:r>
            <w:r w:rsidRPr="008C3ACD">
              <w:rPr>
                <w:rFonts w:cstheme="minorHAnsi"/>
                <w:iCs/>
              </w:rPr>
              <w:t>č</w:t>
            </w:r>
            <w:r w:rsidRPr="008C3ACD">
              <w:rPr>
                <w:rFonts w:cstheme="minorHAnsi"/>
                <w:iCs/>
              </w:rPr>
              <w:t xml:space="preserve">iamos ar pritaikomos pagal </w:t>
            </w:r>
            <w:r w:rsidRPr="008C3ACD">
              <w:rPr>
                <w:rFonts w:cstheme="minorHAnsi"/>
                <w:iCs/>
              </w:rPr>
              <w:t>į</w:t>
            </w:r>
            <w:r w:rsidRPr="008C3ACD">
              <w:rPr>
                <w:rFonts w:cstheme="minorHAnsi"/>
                <w:iCs/>
              </w:rPr>
              <w:t>staigos poreikius bei tur</w:t>
            </w:r>
            <w:r w:rsidRPr="008C3ACD">
              <w:rPr>
                <w:rFonts w:cstheme="minorHAnsi"/>
                <w:iCs/>
              </w:rPr>
              <w:t>ė</w:t>
            </w:r>
            <w:r w:rsidRPr="008C3ACD">
              <w:rPr>
                <w:rFonts w:cstheme="minorHAnsi"/>
                <w:iCs/>
              </w:rPr>
              <w:t>ti LIS integracijos galimyb</w:t>
            </w:r>
            <w:r w:rsidRPr="008C3ACD">
              <w:rPr>
                <w:rFonts w:cstheme="minorHAnsi"/>
                <w:iCs/>
              </w:rPr>
              <w:t>ę</w:t>
            </w:r>
            <w:r w:rsidRPr="008C3ACD">
              <w:rPr>
                <w:rFonts w:cstheme="minorHAnsi"/>
                <w:iCs/>
              </w:rPr>
              <w:t>.</w:t>
            </w:r>
          </w:p>
        </w:tc>
        <w:tc>
          <w:tcPr>
            <w:tcW w:w="1270" w:type="dxa"/>
            <w:vAlign w:val="center"/>
          </w:tcPr>
          <w:p w14:paraId="57B000FE" w14:textId="6B60D55C" w:rsidR="00796D56" w:rsidRPr="00275FBB" w:rsidRDefault="00796D56" w:rsidP="00517774">
            <w:pPr>
              <w:suppressAutoHyphens/>
              <w:jc w:val="center"/>
              <w:rPr>
                <w:rFonts w:cstheme="minorHAnsi"/>
              </w:rPr>
            </w:pPr>
            <w:r w:rsidRPr="00A063A8">
              <w:rPr>
                <w:rFonts w:asciiTheme="minorHAnsi" w:cstheme="minorHAnsi"/>
                <w:sz w:val="21"/>
                <w:szCs w:val="21"/>
              </w:rPr>
              <w:t>Statinis: (taip</w:t>
            </w:r>
            <w:r>
              <w:rPr>
                <w:rFonts w:asciiTheme="minorHAnsi" w:cstheme="minorHAnsi"/>
                <w:sz w:val="21"/>
                <w:szCs w:val="21"/>
              </w:rPr>
              <w:t xml:space="preserve"> </w:t>
            </w:r>
            <w:r w:rsidRPr="00A063A8">
              <w:rPr>
                <w:rFonts w:asciiTheme="minorHAnsi" w:cstheme="minorHAnsi"/>
                <w:sz w:val="21"/>
                <w:szCs w:val="21"/>
              </w:rPr>
              <w:t>/</w:t>
            </w:r>
            <w:r>
              <w:rPr>
                <w:rFonts w:asciiTheme="minorHAnsi" w:cstheme="minorHAnsi"/>
                <w:sz w:val="21"/>
                <w:szCs w:val="21"/>
              </w:rPr>
              <w:t xml:space="preserve"> </w:t>
            </w:r>
            <w:r w:rsidRPr="00A063A8">
              <w:rPr>
                <w:rFonts w:asciiTheme="minorHAnsi" w:cstheme="minorHAnsi"/>
                <w:sz w:val="21"/>
                <w:szCs w:val="21"/>
              </w:rPr>
              <w:t>ne)</w:t>
            </w:r>
          </w:p>
        </w:tc>
        <w:tc>
          <w:tcPr>
            <w:tcW w:w="2188" w:type="dxa"/>
            <w:vAlign w:val="center"/>
          </w:tcPr>
          <w:p w14:paraId="390F54DA" w14:textId="47CE7D76" w:rsidR="00796D56" w:rsidRPr="00275FBB" w:rsidRDefault="00796D56" w:rsidP="00517774">
            <w:pPr>
              <w:suppressAutoHyphens/>
              <w:rPr>
                <w:rFonts w:asciiTheme="minorHAnsi" w:cstheme="minorHAnsi"/>
                <w:sz w:val="21"/>
                <w:szCs w:val="21"/>
              </w:rPr>
            </w:pPr>
            <w:r w:rsidRPr="00275FBB">
              <w:rPr>
                <w:rFonts w:asciiTheme="minorHAnsi" w:cstheme="minorHAnsi"/>
                <w:sz w:val="21"/>
                <w:szCs w:val="21"/>
              </w:rPr>
              <w:t>L</w:t>
            </w:r>
            <w:r>
              <w:rPr>
                <w:rFonts w:asciiTheme="minorHAnsi" w:cstheme="minorHAnsi"/>
                <w:sz w:val="21"/>
                <w:szCs w:val="21"/>
                <w:vertAlign w:val="subscript"/>
              </w:rPr>
              <w:t>5</w:t>
            </w:r>
            <w:r w:rsidRPr="00275FBB">
              <w:rPr>
                <w:rFonts w:asciiTheme="minorHAnsi" w:cstheme="minorHAnsi"/>
                <w:sz w:val="21"/>
                <w:szCs w:val="21"/>
              </w:rPr>
              <w:t>=</w:t>
            </w:r>
            <w:r>
              <w:rPr>
                <w:rFonts w:asciiTheme="minorHAnsi" w:cstheme="minorHAnsi"/>
                <w:sz w:val="21"/>
                <w:szCs w:val="21"/>
              </w:rPr>
              <w:t>4</w:t>
            </w:r>
          </w:p>
        </w:tc>
        <w:tc>
          <w:tcPr>
            <w:tcW w:w="1825" w:type="dxa"/>
          </w:tcPr>
          <w:p w14:paraId="1C370464" w14:textId="77777777" w:rsidR="00796D56" w:rsidRPr="00275FBB" w:rsidRDefault="00796D56" w:rsidP="00517774">
            <w:pPr>
              <w:suppressAutoHyphens/>
              <w:jc w:val="both"/>
              <w:rPr>
                <w:rFonts w:asciiTheme="minorHAnsi" w:cstheme="minorHAnsi"/>
                <w:sz w:val="21"/>
                <w:szCs w:val="21"/>
              </w:rPr>
            </w:pPr>
          </w:p>
        </w:tc>
      </w:tr>
    </w:tbl>
    <w:p w14:paraId="6C4D95AD" w14:textId="77777777" w:rsidR="00AE7337" w:rsidRPr="00F40A93" w:rsidRDefault="00AE7337" w:rsidP="00517774">
      <w:pPr>
        <w:pStyle w:val="Pagrindinistekstas"/>
        <w:spacing w:after="0" w:line="240" w:lineRule="auto"/>
        <w:ind w:left="567" w:firstLine="0"/>
        <w:rPr>
          <w:rFonts w:eastAsia="Times New Roman" w:cstheme="minorHAnsi"/>
          <w:lang w:eastAsia="en-US"/>
        </w:rPr>
      </w:pPr>
    </w:p>
    <w:p w14:paraId="6521209D" w14:textId="77777777" w:rsidR="00EA536F" w:rsidRPr="00F40A93" w:rsidRDefault="00EA536F" w:rsidP="00517774">
      <w:pPr>
        <w:pStyle w:val="Pagrindinistekstas"/>
        <w:numPr>
          <w:ilvl w:val="0"/>
          <w:numId w:val="40"/>
        </w:numPr>
        <w:spacing w:after="0" w:line="240" w:lineRule="auto"/>
        <w:ind w:left="0" w:firstLine="567"/>
        <w:rPr>
          <w:rFonts w:cstheme="minorHAnsi"/>
          <w:b/>
          <w:bCs/>
          <w:szCs w:val="21"/>
        </w:rPr>
      </w:pPr>
      <w:r w:rsidRPr="00F40A93">
        <w:rPr>
          <w:rFonts w:cstheme="minorHAnsi"/>
          <w:b/>
          <w:bCs/>
          <w:szCs w:val="21"/>
        </w:rPr>
        <w:lastRenderedPageBreak/>
        <w:t>Ekonominis naudingumas (S) apskaičiuojamas sudedant tiekėjo pasiūlymo kainos C ir kitų kriterijų (T) balus:</w:t>
      </w:r>
    </w:p>
    <w:p w14:paraId="42ED0C0A" w14:textId="77777777" w:rsidR="00EA536F" w:rsidRPr="00F40A93" w:rsidRDefault="00EA536F" w:rsidP="00517774">
      <w:pPr>
        <w:suppressAutoHyphens/>
        <w:spacing w:after="0" w:line="240" w:lineRule="auto"/>
        <w:ind w:firstLine="567"/>
        <w:jc w:val="both"/>
        <w:rPr>
          <w:rFonts w:eastAsia="Times New Roman" w:cstheme="minorHAnsi"/>
          <w:lang w:eastAsia="en-US"/>
        </w:rPr>
      </w:pPr>
    </w:p>
    <w:p w14:paraId="1AF3AFC8" w14:textId="77777777" w:rsidR="00EA536F" w:rsidRPr="00F40A93" w:rsidRDefault="00EA536F" w:rsidP="00517774">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11AB3E76" w14:textId="77777777" w:rsidR="00EA536F" w:rsidRPr="00F40A93" w:rsidRDefault="00EA536F" w:rsidP="00517774">
      <w:pPr>
        <w:suppressAutoHyphens/>
        <w:spacing w:after="0" w:line="240" w:lineRule="auto"/>
        <w:ind w:firstLine="567"/>
        <w:jc w:val="both"/>
        <w:rPr>
          <w:rFonts w:eastAsia="Times New Roman" w:cstheme="minorHAnsi"/>
          <w:lang w:eastAsia="en-US"/>
        </w:rPr>
      </w:pPr>
    </w:p>
    <w:p w14:paraId="7187EE2F" w14:textId="77777777" w:rsidR="00EA536F" w:rsidRPr="00F40A93" w:rsidRDefault="00EA536F" w:rsidP="00517774">
      <w:pPr>
        <w:pStyle w:val="Pagrindinistekstas"/>
        <w:numPr>
          <w:ilvl w:val="1"/>
          <w:numId w:val="41"/>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(C) balai apskaičiuojami mažiausios pasiūlytos kainos (C</w:t>
      </w:r>
      <w:r w:rsidRPr="00F40A93">
        <w:rPr>
          <w:rFonts w:cstheme="minorHAnsi"/>
          <w:b/>
          <w:bCs/>
          <w:szCs w:val="21"/>
          <w:vertAlign w:val="subscript"/>
        </w:rPr>
        <w:t>min</w:t>
      </w:r>
      <w:r w:rsidRPr="00F40A93">
        <w:rPr>
          <w:rFonts w:cstheme="minorHAnsi"/>
          <w:b/>
          <w:bCs/>
          <w:szCs w:val="21"/>
        </w:rPr>
        <w:t>) ir vertinamo pasiūlymo kainos (C</w:t>
      </w:r>
      <w:r w:rsidRPr="00F40A93">
        <w:rPr>
          <w:rFonts w:cstheme="minorHAnsi"/>
          <w:b/>
          <w:bCs/>
          <w:szCs w:val="21"/>
          <w:vertAlign w:val="subscript"/>
        </w:rPr>
        <w:t>p</w:t>
      </w:r>
      <w:r w:rsidRPr="00F40A93">
        <w:rPr>
          <w:rFonts w:cstheme="minorHAnsi"/>
          <w:b/>
          <w:bCs/>
          <w:szCs w:val="21"/>
        </w:rPr>
        <w:t>) santykį padauginant iš kainos lyginamojo svorio (X):</w:t>
      </w:r>
    </w:p>
    <w:p w14:paraId="06C97F8F" w14:textId="77777777" w:rsidR="00EA536F" w:rsidRPr="00F40A93" w:rsidRDefault="00EA536F" w:rsidP="00517774">
      <w:pPr>
        <w:suppressAutoHyphens/>
        <w:spacing w:after="0" w:line="240" w:lineRule="auto"/>
        <w:ind w:firstLine="567"/>
        <w:jc w:val="both"/>
        <w:rPr>
          <w:rFonts w:eastAsia="Times New Roman" w:cstheme="minorHAnsi"/>
          <w:lang w:eastAsia="en-US"/>
        </w:rPr>
      </w:pPr>
    </w:p>
    <w:p w14:paraId="7B2F3570" w14:textId="77777777" w:rsidR="00EA536F" w:rsidRPr="008C672B" w:rsidRDefault="00EA536F" w:rsidP="00517774">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63DB2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5pt;height:36.3pt" o:ole="" fillcolor="window">
            <v:imagedata r:id="rId11" o:title=""/>
          </v:shape>
          <o:OLEObject Type="Embed" ProgID="Equation.3" ShapeID="_x0000_i1025" DrawAspect="Content" ObjectID="_1812806772" r:id="rId12"/>
        </w:object>
      </w:r>
      <w:r w:rsidRPr="00F40A93">
        <w:rPr>
          <w:rFonts w:eastAsia="Times New Roman" w:cstheme="minorHAnsi"/>
          <w:lang w:eastAsia="en-US"/>
        </w:rPr>
        <w:t>.</w:t>
      </w:r>
    </w:p>
    <w:p w14:paraId="5D21F522" w14:textId="77777777" w:rsidR="00EA536F" w:rsidRPr="00F40A93" w:rsidRDefault="00EA536F" w:rsidP="00517774">
      <w:pPr>
        <w:pStyle w:val="Pagrindinistekstas"/>
        <w:numPr>
          <w:ilvl w:val="1"/>
          <w:numId w:val="41"/>
        </w:numPr>
        <w:spacing w:after="0" w:line="240" w:lineRule="auto"/>
        <w:ind w:left="0" w:firstLine="567"/>
        <w:rPr>
          <w:rFonts w:cstheme="minorHAnsi"/>
          <w:b/>
          <w:bCs/>
          <w:szCs w:val="21"/>
        </w:rPr>
      </w:pPr>
      <w:r w:rsidRPr="00F40A93">
        <w:rPr>
          <w:rFonts w:cstheme="minorHAnsi"/>
          <w:b/>
          <w:bCs/>
          <w:szCs w:val="21"/>
        </w:rPr>
        <w:t>Kriterijų (T) balai apskaičiuojami sudedant atskirų kriterijų (T</w:t>
      </w:r>
      <w:r w:rsidRPr="00F40A93">
        <w:rPr>
          <w:rFonts w:cstheme="minorHAnsi"/>
          <w:b/>
          <w:bCs/>
          <w:szCs w:val="21"/>
          <w:vertAlign w:val="subscript"/>
        </w:rPr>
        <w:t>i</w:t>
      </w:r>
      <w:r w:rsidRPr="00F40A93">
        <w:rPr>
          <w:rFonts w:cstheme="minorHAnsi"/>
          <w:b/>
          <w:bCs/>
          <w:szCs w:val="21"/>
        </w:rPr>
        <w:t>) balus:</w:t>
      </w:r>
    </w:p>
    <w:p w14:paraId="7AC60578" w14:textId="77777777" w:rsidR="00EA536F" w:rsidRPr="00F40A93" w:rsidRDefault="00EA536F" w:rsidP="00517774">
      <w:pPr>
        <w:suppressAutoHyphens/>
        <w:spacing w:after="0" w:line="240" w:lineRule="auto"/>
        <w:ind w:firstLine="567"/>
        <w:jc w:val="both"/>
        <w:rPr>
          <w:rFonts w:eastAsia="Times New Roman" w:cstheme="minorHAnsi"/>
          <w:lang w:eastAsia="en-US"/>
        </w:rPr>
      </w:pPr>
    </w:p>
    <w:p w14:paraId="19CCD0EB" w14:textId="77777777" w:rsidR="00EA536F" w:rsidRPr="00F40A93" w:rsidRDefault="00EA536F" w:rsidP="00517774">
      <w:pPr>
        <w:suppressAutoHyphens/>
        <w:spacing w:after="0" w:line="240" w:lineRule="auto"/>
        <w:ind w:firstLine="567"/>
        <w:jc w:val="both"/>
        <w:rPr>
          <w:rFonts w:eastAsia="Times New Roman" w:cstheme="minorHAnsi"/>
          <w:lang w:eastAsia="en-US"/>
        </w:rPr>
      </w:pPr>
      <w:r w:rsidRPr="00F40A93">
        <w:rPr>
          <w:rFonts w:eastAsia="Times New Roman" w:cstheme="minorHAnsi"/>
          <w:position w:val="-28"/>
          <w:lang w:eastAsia="en-US"/>
        </w:rPr>
        <w:object w:dxaOrig="960" w:dyaOrig="540" w14:anchorId="690661C0">
          <v:shape id="_x0000_i1026" type="#_x0000_t75" style="width:45.5pt;height:28.8pt" o:ole="" fillcolor="window">
            <v:imagedata r:id="rId13" o:title=""/>
          </v:shape>
          <o:OLEObject Type="Embed" ProgID="Equation.3" ShapeID="_x0000_i1026" DrawAspect="Content" ObjectID="_1812806773" r:id="rId14"/>
        </w:object>
      </w:r>
      <w:r w:rsidRPr="00F40A93">
        <w:rPr>
          <w:rFonts w:eastAsia="Times New Roman" w:cstheme="minorHAnsi"/>
          <w:lang w:eastAsia="en-US"/>
        </w:rPr>
        <w:t>.</w:t>
      </w:r>
    </w:p>
    <w:p w14:paraId="617798D1" w14:textId="77777777" w:rsidR="00EA536F" w:rsidRPr="00F40A93" w:rsidRDefault="00EA536F" w:rsidP="00517774">
      <w:pPr>
        <w:suppressAutoHyphens/>
        <w:spacing w:after="0" w:line="240" w:lineRule="auto"/>
        <w:ind w:firstLine="567"/>
        <w:jc w:val="both"/>
        <w:rPr>
          <w:rFonts w:eastAsia="Times New Roman" w:cstheme="minorHAnsi"/>
          <w:lang w:eastAsia="en-US"/>
        </w:rPr>
      </w:pPr>
    </w:p>
    <w:p w14:paraId="7938638D" w14:textId="58669A73" w:rsidR="00B47357" w:rsidRPr="00BD000D" w:rsidRDefault="00B47357" w:rsidP="00517774">
      <w:pPr>
        <w:spacing w:after="0" w:line="240" w:lineRule="auto"/>
        <w:ind w:firstLine="567"/>
        <w:rPr>
          <w:rFonts w:cstheme="minorHAnsi"/>
          <w:b/>
          <w:bCs/>
          <w:sz w:val="22"/>
          <w:szCs w:val="22"/>
        </w:rPr>
      </w:pPr>
      <w:r w:rsidRPr="00C34519">
        <w:rPr>
          <w:rFonts w:cstheme="minorHAnsi"/>
          <w:b/>
          <w:bCs/>
          <w:sz w:val="22"/>
          <w:szCs w:val="22"/>
        </w:rPr>
        <w:t>2</w:t>
      </w:r>
      <w:r w:rsidRPr="00BD000D">
        <w:rPr>
          <w:rFonts w:cstheme="minorHAnsi"/>
          <w:b/>
          <w:bCs/>
          <w:sz w:val="22"/>
          <w:szCs w:val="22"/>
        </w:rPr>
        <w:t xml:space="preserve">.3. </w:t>
      </w:r>
      <w:r w:rsidRPr="00B47357">
        <w:rPr>
          <w:rFonts w:cstheme="minorHAnsi"/>
          <w:b/>
          <w:bCs/>
          <w:sz w:val="22"/>
          <w:szCs w:val="22"/>
        </w:rPr>
        <w:t>Siūlomo objekto T</w:t>
      </w:r>
      <w:r w:rsidRPr="00B47357">
        <w:rPr>
          <w:rFonts w:cstheme="minorHAnsi"/>
          <w:b/>
          <w:bCs/>
          <w:sz w:val="22"/>
          <w:szCs w:val="22"/>
          <w:vertAlign w:val="subscript"/>
        </w:rPr>
        <w:t>1,</w:t>
      </w:r>
      <w:r w:rsidRPr="00B47357">
        <w:rPr>
          <w:rFonts w:cstheme="minorHAnsi"/>
          <w:b/>
          <w:bCs/>
          <w:sz w:val="22"/>
          <w:szCs w:val="22"/>
        </w:rPr>
        <w:t xml:space="preserve"> T</w:t>
      </w:r>
      <w:r w:rsidRPr="00B47357">
        <w:rPr>
          <w:rFonts w:cstheme="minorHAnsi"/>
          <w:b/>
          <w:bCs/>
          <w:sz w:val="22"/>
          <w:szCs w:val="22"/>
          <w:vertAlign w:val="subscript"/>
        </w:rPr>
        <w:t xml:space="preserve">2, </w:t>
      </w:r>
      <w:r w:rsidRPr="00B47357">
        <w:rPr>
          <w:rFonts w:cstheme="minorHAnsi"/>
          <w:b/>
          <w:bCs/>
          <w:sz w:val="22"/>
          <w:szCs w:val="22"/>
        </w:rPr>
        <w:t>T</w:t>
      </w:r>
      <w:r w:rsidRPr="00B47357">
        <w:rPr>
          <w:rFonts w:cstheme="minorHAnsi"/>
          <w:b/>
          <w:bCs/>
          <w:sz w:val="22"/>
          <w:szCs w:val="22"/>
          <w:vertAlign w:val="subscript"/>
        </w:rPr>
        <w:t>3</w:t>
      </w:r>
      <w:r>
        <w:rPr>
          <w:rFonts w:cstheme="minorHAnsi"/>
          <w:b/>
          <w:bCs/>
          <w:sz w:val="22"/>
          <w:szCs w:val="22"/>
          <w:vertAlign w:val="subscript"/>
        </w:rPr>
        <w:t xml:space="preserve">, </w:t>
      </w:r>
      <w:r w:rsidRPr="00B47357">
        <w:rPr>
          <w:rFonts w:cstheme="minorHAnsi"/>
          <w:b/>
          <w:bCs/>
          <w:sz w:val="22"/>
          <w:szCs w:val="22"/>
        </w:rPr>
        <w:t>T</w:t>
      </w:r>
      <w:r>
        <w:rPr>
          <w:rFonts w:cstheme="minorHAnsi"/>
          <w:b/>
          <w:bCs/>
          <w:sz w:val="22"/>
          <w:szCs w:val="22"/>
          <w:vertAlign w:val="subscript"/>
        </w:rPr>
        <w:t>4,</w:t>
      </w:r>
      <w:r w:rsidRPr="00B47357">
        <w:rPr>
          <w:rFonts w:cstheme="minorHAnsi"/>
          <w:b/>
          <w:bCs/>
          <w:sz w:val="22"/>
          <w:szCs w:val="22"/>
        </w:rPr>
        <w:t xml:space="preserve"> T</w:t>
      </w:r>
      <w:r>
        <w:rPr>
          <w:rFonts w:cstheme="minorHAnsi"/>
          <w:b/>
          <w:bCs/>
          <w:sz w:val="22"/>
          <w:szCs w:val="22"/>
          <w:vertAlign w:val="subscript"/>
        </w:rPr>
        <w:t>5</w:t>
      </w:r>
      <w:r w:rsidRPr="00B47357">
        <w:rPr>
          <w:rFonts w:cstheme="minorHAnsi"/>
          <w:b/>
          <w:bCs/>
          <w:sz w:val="22"/>
          <w:szCs w:val="22"/>
        </w:rPr>
        <w:t xml:space="preserve"> techniniai parametrai vertinami statiniu vertinimo būdu ir neturi skaitinių išraiškų (taip arba ne), todėl parametro įvertinimas apskaičiuojamas pagal formulę:</w:t>
      </w:r>
    </w:p>
    <w:p w14:paraId="03501608" w14:textId="61A52CF7" w:rsidR="00B47357" w:rsidRPr="00BD000D" w:rsidRDefault="00B47357" w:rsidP="00517774">
      <w:pPr>
        <w:spacing w:after="0" w:line="240" w:lineRule="auto"/>
        <w:ind w:firstLine="567"/>
        <w:rPr>
          <w:rFonts w:cstheme="minorHAnsi"/>
          <w:sz w:val="22"/>
          <w:szCs w:val="22"/>
        </w:rPr>
      </w:pPr>
      <w:r w:rsidRPr="00BD000D">
        <w:rPr>
          <w:rFonts w:cstheme="minorHAnsi"/>
          <w:sz w:val="22"/>
          <w:szCs w:val="22"/>
        </w:rPr>
        <w:t xml:space="preserve">Jei siūlomas objektas turi nurodytą pranašumą: </w:t>
      </w:r>
      <w:r w:rsidRPr="00BD000D">
        <w:rPr>
          <w:rFonts w:cstheme="minorHAnsi"/>
          <w:i/>
          <w:sz w:val="22"/>
          <w:szCs w:val="22"/>
        </w:rPr>
        <w:t>T = L</w:t>
      </w:r>
      <w:r>
        <w:rPr>
          <w:rFonts w:cstheme="minorHAnsi"/>
          <w:i/>
          <w:sz w:val="22"/>
          <w:szCs w:val="22"/>
          <w:vertAlign w:val="subscript"/>
        </w:rPr>
        <w:t xml:space="preserve"> </w:t>
      </w:r>
      <w:r w:rsidRPr="00BD000D">
        <w:rPr>
          <w:rFonts w:cstheme="minorHAnsi"/>
          <w:i/>
          <w:sz w:val="22"/>
          <w:szCs w:val="22"/>
        </w:rPr>
        <w:t xml:space="preserve">= </w:t>
      </w:r>
      <w:r>
        <w:rPr>
          <w:rFonts w:cstheme="minorHAnsi"/>
          <w:i/>
          <w:sz w:val="22"/>
          <w:szCs w:val="22"/>
        </w:rPr>
        <w:t>4</w:t>
      </w:r>
      <w:r w:rsidRPr="00BD000D">
        <w:rPr>
          <w:rFonts w:cstheme="minorHAnsi"/>
          <w:i/>
          <w:sz w:val="22"/>
          <w:szCs w:val="22"/>
        </w:rPr>
        <w:t>.</w:t>
      </w:r>
    </w:p>
    <w:p w14:paraId="3269E37C" w14:textId="66CA0CBA" w:rsidR="00B47357" w:rsidRPr="00BD000D" w:rsidRDefault="00B47357" w:rsidP="00517774">
      <w:pPr>
        <w:spacing w:after="0" w:line="240" w:lineRule="auto"/>
        <w:ind w:firstLine="567"/>
        <w:rPr>
          <w:rFonts w:cstheme="minorHAnsi"/>
          <w:sz w:val="22"/>
          <w:szCs w:val="22"/>
        </w:rPr>
      </w:pPr>
      <w:r w:rsidRPr="00BD000D">
        <w:rPr>
          <w:rFonts w:cstheme="minorHAnsi"/>
          <w:sz w:val="22"/>
          <w:szCs w:val="22"/>
        </w:rPr>
        <w:t xml:space="preserve">Jei siūlomas objektas neturi nurodyto pranašumo: </w:t>
      </w:r>
      <w:r w:rsidRPr="00BD000D">
        <w:rPr>
          <w:rFonts w:cstheme="minorHAnsi"/>
          <w:i/>
          <w:sz w:val="22"/>
          <w:szCs w:val="22"/>
        </w:rPr>
        <w:t>T = L = 0.</w:t>
      </w:r>
    </w:p>
    <w:p w14:paraId="6202C2E3" w14:textId="77777777" w:rsidR="00EA536F" w:rsidRPr="00F40A93" w:rsidRDefault="00EA536F" w:rsidP="00517774">
      <w:pPr>
        <w:spacing w:after="0" w:line="240" w:lineRule="auto"/>
        <w:ind w:firstLine="567"/>
        <w:rPr>
          <w:rFonts w:eastAsia="Times New Roman" w:cstheme="minorHAnsi"/>
          <w:lang w:eastAsia="en-US"/>
        </w:rPr>
      </w:pPr>
    </w:p>
    <w:p w14:paraId="1EFB57EE" w14:textId="77777777" w:rsidR="00EA536F" w:rsidRPr="00F40A93" w:rsidRDefault="00EA536F" w:rsidP="00517774">
      <w:pPr>
        <w:pStyle w:val="Pagrindinistekstas"/>
        <w:numPr>
          <w:ilvl w:val="0"/>
          <w:numId w:val="41"/>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B691AA8" w14:textId="77777777" w:rsidR="00EA536F" w:rsidRPr="00F40A93" w:rsidRDefault="00EA536F" w:rsidP="00517774">
      <w:pPr>
        <w:pStyle w:val="Pagrindinistekstas"/>
        <w:numPr>
          <w:ilvl w:val="2"/>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7A3066A9" w14:textId="77777777" w:rsidR="00EA536F" w:rsidRPr="00F40A93" w:rsidRDefault="00EA536F" w:rsidP="00517774">
      <w:pPr>
        <w:pStyle w:val="Pagrindinistekstas"/>
        <w:numPr>
          <w:ilvl w:val="2"/>
          <w:numId w:val="41"/>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Pr>
          <w:rFonts w:cstheme="minorHAnsi"/>
          <w:szCs w:val="21"/>
        </w:rPr>
        <w:t>.</w:t>
      </w:r>
    </w:p>
    <w:p w14:paraId="2DDF541C" w14:textId="77777777" w:rsidR="00EA536F" w:rsidRPr="00F40A93" w:rsidRDefault="00EA536F" w:rsidP="00517774">
      <w:pPr>
        <w:pStyle w:val="Pagrindinistekstas"/>
        <w:numPr>
          <w:ilvl w:val="1"/>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6BAA939B" w14:textId="77777777" w:rsidR="00EA536F" w:rsidRPr="00F40A93" w:rsidRDefault="00EA536F" w:rsidP="00517774">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054BBDB1" w14:textId="7837874E" w:rsidR="002F396F" w:rsidRPr="00682B25" w:rsidRDefault="00D33821" w:rsidP="006E16ED">
      <w:pPr>
        <w:spacing w:after="0" w:line="240" w:lineRule="auto"/>
        <w:jc w:val="center"/>
        <w:rPr>
          <w:rFonts w:cstheme="minorHAnsi"/>
          <w:b/>
          <w:bCs/>
          <w:smallCaps/>
          <w:sz w:val="22"/>
          <w:szCs w:val="22"/>
        </w:rPr>
      </w:pPr>
      <w:r w:rsidRPr="00682B25">
        <w:rPr>
          <w:rFonts w:cstheme="minorHAnsi"/>
          <w:sz w:val="22"/>
          <w:szCs w:val="22"/>
        </w:rPr>
        <w:t>________</w:t>
      </w:r>
      <w:bookmarkEnd w:id="3"/>
      <w:bookmarkEnd w:id="4"/>
      <w:bookmarkEnd w:id="5"/>
    </w:p>
    <w:sectPr w:rsidR="002F396F" w:rsidRPr="00682B25" w:rsidSect="00AB3E93">
      <w:headerReference w:type="even" r:id="rId15"/>
      <w:headerReference w:type="default" r:id="rId16"/>
      <w:headerReference w:type="first" r:id="rId17"/>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735F" w14:textId="77777777" w:rsidR="00783A82" w:rsidRDefault="00783A82" w:rsidP="00D05666">
      <w:r>
        <w:separator/>
      </w:r>
    </w:p>
  </w:endnote>
  <w:endnote w:type="continuationSeparator" w:id="0">
    <w:p w14:paraId="1BCA34DB" w14:textId="77777777" w:rsidR="00783A82" w:rsidRDefault="00783A82" w:rsidP="00D05666">
      <w:r>
        <w:continuationSeparator/>
      </w:r>
    </w:p>
  </w:endnote>
  <w:endnote w:type="continuationNotice" w:id="1">
    <w:p w14:paraId="253F7021" w14:textId="77777777" w:rsidR="00783A82" w:rsidRDefault="00783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6CF0" w14:textId="77777777" w:rsidR="00783A82" w:rsidRDefault="00783A82" w:rsidP="00D05666">
      <w:r>
        <w:separator/>
      </w:r>
    </w:p>
  </w:footnote>
  <w:footnote w:type="continuationSeparator" w:id="0">
    <w:p w14:paraId="50F218D3" w14:textId="77777777" w:rsidR="00783A82" w:rsidRDefault="00783A82" w:rsidP="00D05666">
      <w:r>
        <w:continuationSeparator/>
      </w:r>
    </w:p>
  </w:footnote>
  <w:footnote w:type="continuationNotice" w:id="1">
    <w:p w14:paraId="446B9463" w14:textId="77777777" w:rsidR="00783A82" w:rsidRDefault="00783A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8F91" w14:textId="74835ACC" w:rsidR="00597678" w:rsidRDefault="005976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615A" w14:textId="6E3F45CF" w:rsidR="00597678" w:rsidRDefault="0059767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5752" w14:textId="77C24FFB" w:rsidR="00597678" w:rsidRDefault="005976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5322"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3"/>
  </w:num>
  <w:num w:numId="4" w16cid:durableId="1484615006">
    <w:abstractNumId w:val="37"/>
  </w:num>
  <w:num w:numId="5" w16cid:durableId="607934237">
    <w:abstractNumId w:val="28"/>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1"/>
  </w:num>
  <w:num w:numId="13" w16cid:durableId="1318921492">
    <w:abstractNumId w:val="27"/>
  </w:num>
  <w:num w:numId="14" w16cid:durableId="1864435576">
    <w:abstractNumId w:val="38"/>
  </w:num>
  <w:num w:numId="15" w16cid:durableId="1941065713">
    <w:abstractNumId w:val="6"/>
  </w:num>
  <w:num w:numId="16" w16cid:durableId="19859238">
    <w:abstractNumId w:val="9"/>
  </w:num>
  <w:num w:numId="17" w16cid:durableId="1297491117">
    <w:abstractNumId w:val="25"/>
  </w:num>
  <w:num w:numId="18" w16cid:durableId="1355115080">
    <w:abstractNumId w:val="11"/>
  </w:num>
  <w:num w:numId="19" w16cid:durableId="1151098297">
    <w:abstractNumId w:val="31"/>
  </w:num>
  <w:num w:numId="20" w16cid:durableId="1683705037">
    <w:abstractNumId w:val="7"/>
  </w:num>
  <w:num w:numId="21" w16cid:durableId="256863186">
    <w:abstractNumId w:val="4"/>
  </w:num>
  <w:num w:numId="22" w16cid:durableId="1419787664">
    <w:abstractNumId w:val="45"/>
  </w:num>
  <w:num w:numId="23" w16cid:durableId="328021677">
    <w:abstractNumId w:val="30"/>
  </w:num>
  <w:num w:numId="24" w16cid:durableId="913508862">
    <w:abstractNumId w:val="41"/>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4"/>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9"/>
  </w:num>
  <w:num w:numId="37" w16cid:durableId="878519037">
    <w:abstractNumId w:val="3"/>
  </w:num>
  <w:num w:numId="38" w16cid:durableId="1032220187">
    <w:abstractNumId w:val="26"/>
  </w:num>
  <w:num w:numId="39" w16cid:durableId="752580688">
    <w:abstractNumId w:val="40"/>
  </w:num>
  <w:num w:numId="40" w16cid:durableId="1229463082">
    <w:abstractNumId w:val="8"/>
  </w:num>
  <w:num w:numId="41" w16cid:durableId="252469303">
    <w:abstractNumId w:val="10"/>
  </w:num>
  <w:num w:numId="42" w16cid:durableId="131945100">
    <w:abstractNumId w:val="35"/>
  </w:num>
  <w:num w:numId="43" w16cid:durableId="796070810">
    <w:abstractNumId w:val="23"/>
  </w:num>
  <w:num w:numId="44" w16cid:durableId="723064401">
    <w:abstractNumId w:val="22"/>
  </w:num>
  <w:num w:numId="45" w16cid:durableId="1767458866">
    <w:abstractNumId w:val="32"/>
  </w:num>
  <w:num w:numId="46" w16cid:durableId="807892817">
    <w:abstractNumId w:val="34"/>
  </w:num>
  <w:num w:numId="47" w16cid:durableId="70136709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9D6"/>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0A43"/>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2F"/>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173D"/>
    <w:rsid w:val="0007282F"/>
    <w:rsid w:val="00072F31"/>
    <w:rsid w:val="00072FE6"/>
    <w:rsid w:val="000738C7"/>
    <w:rsid w:val="000741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EE4"/>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41F"/>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E3B"/>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220"/>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67FB1"/>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AC5"/>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AF8"/>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ED"/>
    <w:rsid w:val="001C1AD0"/>
    <w:rsid w:val="001C1CC5"/>
    <w:rsid w:val="001C21C0"/>
    <w:rsid w:val="001C21ED"/>
    <w:rsid w:val="001C24BC"/>
    <w:rsid w:val="001C305A"/>
    <w:rsid w:val="001C37BD"/>
    <w:rsid w:val="001C3B99"/>
    <w:rsid w:val="001C44C7"/>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330"/>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A82"/>
    <w:rsid w:val="00273F59"/>
    <w:rsid w:val="0027455B"/>
    <w:rsid w:val="002747E8"/>
    <w:rsid w:val="00274C8A"/>
    <w:rsid w:val="00274E50"/>
    <w:rsid w:val="0027567B"/>
    <w:rsid w:val="0027575B"/>
    <w:rsid w:val="00275B72"/>
    <w:rsid w:val="00275FBB"/>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8F5"/>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4A5"/>
    <w:rsid w:val="00293DC3"/>
    <w:rsid w:val="00293E0A"/>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4F5"/>
    <w:rsid w:val="002A6658"/>
    <w:rsid w:val="002A6663"/>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78F"/>
    <w:rsid w:val="002E115D"/>
    <w:rsid w:val="002E120E"/>
    <w:rsid w:val="002E1796"/>
    <w:rsid w:val="002E17F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D28"/>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6F7"/>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E97"/>
    <w:rsid w:val="00340F7A"/>
    <w:rsid w:val="00341929"/>
    <w:rsid w:val="00341D9A"/>
    <w:rsid w:val="00342044"/>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9D2"/>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BCB"/>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6BF"/>
    <w:rsid w:val="003D11CB"/>
    <w:rsid w:val="003D1293"/>
    <w:rsid w:val="003D1383"/>
    <w:rsid w:val="003D197F"/>
    <w:rsid w:val="003D22A6"/>
    <w:rsid w:val="003D254B"/>
    <w:rsid w:val="003D26D0"/>
    <w:rsid w:val="003D2E78"/>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ED4"/>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59F"/>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2BC2"/>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B3A"/>
    <w:rsid w:val="00497DF3"/>
    <w:rsid w:val="004A01F5"/>
    <w:rsid w:val="004A0401"/>
    <w:rsid w:val="004A052E"/>
    <w:rsid w:val="004A09D8"/>
    <w:rsid w:val="004A0D29"/>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23B"/>
    <w:rsid w:val="004D57E9"/>
    <w:rsid w:val="004D7072"/>
    <w:rsid w:val="004D7B52"/>
    <w:rsid w:val="004D7DFA"/>
    <w:rsid w:val="004D7F53"/>
    <w:rsid w:val="004E0049"/>
    <w:rsid w:val="004E05A2"/>
    <w:rsid w:val="004E06BB"/>
    <w:rsid w:val="004E06D5"/>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C52"/>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774"/>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4FF"/>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A94"/>
    <w:rsid w:val="00545C38"/>
    <w:rsid w:val="005464B7"/>
    <w:rsid w:val="005466FD"/>
    <w:rsid w:val="005470C2"/>
    <w:rsid w:val="00547265"/>
    <w:rsid w:val="00547443"/>
    <w:rsid w:val="00547FB2"/>
    <w:rsid w:val="0055014F"/>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18"/>
    <w:rsid w:val="00560AD2"/>
    <w:rsid w:val="00561265"/>
    <w:rsid w:val="00561351"/>
    <w:rsid w:val="00561B70"/>
    <w:rsid w:val="00561DBA"/>
    <w:rsid w:val="00562B41"/>
    <w:rsid w:val="00562F0D"/>
    <w:rsid w:val="0056365F"/>
    <w:rsid w:val="0056375F"/>
    <w:rsid w:val="00563A45"/>
    <w:rsid w:val="00563B8D"/>
    <w:rsid w:val="00563DE6"/>
    <w:rsid w:val="0056412E"/>
    <w:rsid w:val="00564362"/>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678"/>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4D3"/>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92D"/>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BB"/>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EE4"/>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45C"/>
    <w:rsid w:val="00623F37"/>
    <w:rsid w:val="00623F56"/>
    <w:rsid w:val="006242E9"/>
    <w:rsid w:val="00624880"/>
    <w:rsid w:val="006250F6"/>
    <w:rsid w:val="006258F1"/>
    <w:rsid w:val="00625F95"/>
    <w:rsid w:val="00626341"/>
    <w:rsid w:val="0062691F"/>
    <w:rsid w:val="00626BBC"/>
    <w:rsid w:val="00626BC1"/>
    <w:rsid w:val="00626F71"/>
    <w:rsid w:val="00627353"/>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0F"/>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4B35"/>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9D"/>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6ED"/>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949"/>
    <w:rsid w:val="00723BB5"/>
    <w:rsid w:val="00723FC5"/>
    <w:rsid w:val="00724386"/>
    <w:rsid w:val="007243EB"/>
    <w:rsid w:val="007245C1"/>
    <w:rsid w:val="0072470C"/>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A05"/>
    <w:rsid w:val="00751BDA"/>
    <w:rsid w:val="007520CD"/>
    <w:rsid w:val="0075257E"/>
    <w:rsid w:val="00752758"/>
    <w:rsid w:val="00752BFC"/>
    <w:rsid w:val="00752DE9"/>
    <w:rsid w:val="00752E01"/>
    <w:rsid w:val="00752E90"/>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A82"/>
    <w:rsid w:val="00783C19"/>
    <w:rsid w:val="007842F1"/>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34E"/>
    <w:rsid w:val="00791E5B"/>
    <w:rsid w:val="00791FC9"/>
    <w:rsid w:val="0079273F"/>
    <w:rsid w:val="0079284A"/>
    <w:rsid w:val="0079367F"/>
    <w:rsid w:val="00793A26"/>
    <w:rsid w:val="00793BEF"/>
    <w:rsid w:val="00793FF1"/>
    <w:rsid w:val="0079488E"/>
    <w:rsid w:val="007948D0"/>
    <w:rsid w:val="00794F1E"/>
    <w:rsid w:val="007951F8"/>
    <w:rsid w:val="00796861"/>
    <w:rsid w:val="00796D56"/>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227"/>
    <w:rsid w:val="007B6F6D"/>
    <w:rsid w:val="007B732B"/>
    <w:rsid w:val="007B7651"/>
    <w:rsid w:val="007B773D"/>
    <w:rsid w:val="007C00A2"/>
    <w:rsid w:val="007C017C"/>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53D"/>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D2E"/>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0F13"/>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19F"/>
    <w:rsid w:val="00807B75"/>
    <w:rsid w:val="00810237"/>
    <w:rsid w:val="00810AF3"/>
    <w:rsid w:val="00810B08"/>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400"/>
    <w:rsid w:val="00822FE2"/>
    <w:rsid w:val="00823B5F"/>
    <w:rsid w:val="00823BF2"/>
    <w:rsid w:val="00823EAC"/>
    <w:rsid w:val="00823FC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152"/>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394C"/>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8FD"/>
    <w:rsid w:val="0086727C"/>
    <w:rsid w:val="00867806"/>
    <w:rsid w:val="008678E4"/>
    <w:rsid w:val="00867A80"/>
    <w:rsid w:val="00867D33"/>
    <w:rsid w:val="00870F9D"/>
    <w:rsid w:val="0087158C"/>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AC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9E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819"/>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2D4"/>
    <w:rsid w:val="008E5C78"/>
    <w:rsid w:val="008E5F93"/>
    <w:rsid w:val="008E654F"/>
    <w:rsid w:val="008E656A"/>
    <w:rsid w:val="008E6D07"/>
    <w:rsid w:val="008E73B5"/>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A25"/>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2B32"/>
    <w:rsid w:val="00933FBD"/>
    <w:rsid w:val="00934017"/>
    <w:rsid w:val="00934599"/>
    <w:rsid w:val="00934CA3"/>
    <w:rsid w:val="00935371"/>
    <w:rsid w:val="00935826"/>
    <w:rsid w:val="00936567"/>
    <w:rsid w:val="0093767A"/>
    <w:rsid w:val="009400B9"/>
    <w:rsid w:val="00940D9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7AD"/>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652"/>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A2B"/>
    <w:rsid w:val="009B0E8D"/>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DF3"/>
    <w:rsid w:val="009D0EAE"/>
    <w:rsid w:val="009D1038"/>
    <w:rsid w:val="009D184C"/>
    <w:rsid w:val="009D18EE"/>
    <w:rsid w:val="009D2983"/>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98E"/>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07"/>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3DB0"/>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80"/>
    <w:rsid w:val="00A436D2"/>
    <w:rsid w:val="00A4394E"/>
    <w:rsid w:val="00A43BC1"/>
    <w:rsid w:val="00A43C02"/>
    <w:rsid w:val="00A44166"/>
    <w:rsid w:val="00A44330"/>
    <w:rsid w:val="00A44C01"/>
    <w:rsid w:val="00A45433"/>
    <w:rsid w:val="00A4580A"/>
    <w:rsid w:val="00A45986"/>
    <w:rsid w:val="00A4599F"/>
    <w:rsid w:val="00A4619E"/>
    <w:rsid w:val="00A466F1"/>
    <w:rsid w:val="00A4711F"/>
    <w:rsid w:val="00A47629"/>
    <w:rsid w:val="00A478DF"/>
    <w:rsid w:val="00A47A85"/>
    <w:rsid w:val="00A47B75"/>
    <w:rsid w:val="00A47BEE"/>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A30"/>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4D9"/>
    <w:rsid w:val="00AA78B2"/>
    <w:rsid w:val="00AA7C0D"/>
    <w:rsid w:val="00AA7DA8"/>
    <w:rsid w:val="00AA7DD1"/>
    <w:rsid w:val="00AB081A"/>
    <w:rsid w:val="00AB0EC6"/>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7D3"/>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71D"/>
    <w:rsid w:val="00AE6BCB"/>
    <w:rsid w:val="00AE7337"/>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647"/>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1DF6"/>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B0"/>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357"/>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5F4"/>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40E"/>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2C1"/>
    <w:rsid w:val="00BA5539"/>
    <w:rsid w:val="00BA5C6D"/>
    <w:rsid w:val="00BA5CF8"/>
    <w:rsid w:val="00BA5D95"/>
    <w:rsid w:val="00BA69FA"/>
    <w:rsid w:val="00BA6AB3"/>
    <w:rsid w:val="00BA6EE1"/>
    <w:rsid w:val="00BA6F63"/>
    <w:rsid w:val="00BA733E"/>
    <w:rsid w:val="00BA74BB"/>
    <w:rsid w:val="00BA74D7"/>
    <w:rsid w:val="00BA766B"/>
    <w:rsid w:val="00BB046D"/>
    <w:rsid w:val="00BB0514"/>
    <w:rsid w:val="00BB0FC8"/>
    <w:rsid w:val="00BB1211"/>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8E3"/>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4E6A"/>
    <w:rsid w:val="00C158E9"/>
    <w:rsid w:val="00C15988"/>
    <w:rsid w:val="00C160A1"/>
    <w:rsid w:val="00C16987"/>
    <w:rsid w:val="00C16A6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43B4"/>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62B"/>
    <w:rsid w:val="00C85708"/>
    <w:rsid w:val="00C85777"/>
    <w:rsid w:val="00C85D49"/>
    <w:rsid w:val="00C86519"/>
    <w:rsid w:val="00C865A4"/>
    <w:rsid w:val="00C8691A"/>
    <w:rsid w:val="00C87941"/>
    <w:rsid w:val="00C87AB8"/>
    <w:rsid w:val="00C87B0E"/>
    <w:rsid w:val="00C87CB2"/>
    <w:rsid w:val="00C87E49"/>
    <w:rsid w:val="00C901E9"/>
    <w:rsid w:val="00C906F5"/>
    <w:rsid w:val="00C90917"/>
    <w:rsid w:val="00C90E94"/>
    <w:rsid w:val="00C90F80"/>
    <w:rsid w:val="00C911E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3B9"/>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88D"/>
    <w:rsid w:val="00CD1C03"/>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CF7B7F"/>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F68"/>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E31"/>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C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BE0"/>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88"/>
    <w:rsid w:val="00DB3DC2"/>
    <w:rsid w:val="00DB48B9"/>
    <w:rsid w:val="00DB4B5C"/>
    <w:rsid w:val="00DB4CE3"/>
    <w:rsid w:val="00DB58DD"/>
    <w:rsid w:val="00DB597F"/>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8D6"/>
    <w:rsid w:val="00DD4C55"/>
    <w:rsid w:val="00DD561A"/>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C46"/>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3B6"/>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712"/>
    <w:rsid w:val="00E27A96"/>
    <w:rsid w:val="00E30122"/>
    <w:rsid w:val="00E30A51"/>
    <w:rsid w:val="00E30EE4"/>
    <w:rsid w:val="00E30F82"/>
    <w:rsid w:val="00E3136A"/>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C1C"/>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57DC"/>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296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656"/>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36F"/>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9F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152"/>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576"/>
    <w:rsid w:val="00ED697D"/>
    <w:rsid w:val="00ED6CEC"/>
    <w:rsid w:val="00ED70AD"/>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F02"/>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530"/>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DD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359"/>
    <w:rsid w:val="00FF3486"/>
    <w:rsid w:val="00FF3518"/>
    <w:rsid w:val="00FF4264"/>
    <w:rsid w:val="00FF451D"/>
    <w:rsid w:val="00FF465E"/>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4486</TotalTime>
  <Pages>2</Pages>
  <Words>2122</Words>
  <Characters>1211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3327</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1657</cp:revision>
  <cp:lastPrinted>2025-03-01T05:45:00Z</cp:lastPrinted>
  <dcterms:created xsi:type="dcterms:W3CDTF">2024-11-29T23:07:00Z</dcterms:created>
  <dcterms:modified xsi:type="dcterms:W3CDTF">2025-06-30T13:40:00Z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