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AD66" w14:textId="34CBC3EB" w:rsidR="00185FF8" w:rsidRDefault="00185FF8" w:rsidP="00185FF8">
      <w:pPr>
        <w:jc w:val="center"/>
        <w:rPr>
          <w:rFonts w:ascii="Times New Roman" w:hAnsi="Times New Roman"/>
          <w:b/>
          <w:bCs/>
          <w:sz w:val="24"/>
          <w:szCs w:val="24"/>
        </w:rPr>
      </w:pPr>
      <w:r w:rsidRPr="00185FF8">
        <w:rPr>
          <w:rFonts w:ascii="Times New Roman" w:hAnsi="Times New Roman"/>
          <w:b/>
          <w:bCs/>
          <w:sz w:val="24"/>
          <w:szCs w:val="24"/>
        </w:rPr>
        <w:t xml:space="preserve">(PU-1389125) [INTP25] </w:t>
      </w:r>
      <w:proofErr w:type="spellStart"/>
      <w:r w:rsidRPr="00185FF8">
        <w:rPr>
          <w:rFonts w:ascii="Times New Roman" w:hAnsi="Times New Roman"/>
          <w:b/>
          <w:bCs/>
          <w:sz w:val="24"/>
          <w:szCs w:val="24"/>
        </w:rPr>
        <w:t>Tentinių</w:t>
      </w:r>
      <w:proofErr w:type="spellEnd"/>
      <w:r w:rsidRPr="00185FF8">
        <w:rPr>
          <w:rFonts w:ascii="Times New Roman" w:hAnsi="Times New Roman"/>
          <w:b/>
          <w:bCs/>
          <w:sz w:val="24"/>
          <w:szCs w:val="24"/>
        </w:rPr>
        <w:t xml:space="preserve"> angarų įrengimo darbai</w:t>
      </w:r>
    </w:p>
    <w:p w14:paraId="6452F29B" w14:textId="490D5C60" w:rsidR="00185FF8" w:rsidRPr="00185FF8" w:rsidRDefault="00185FF8" w:rsidP="00185FF8">
      <w:pPr>
        <w:jc w:val="center"/>
        <w:rPr>
          <w:rFonts w:ascii="Times New Roman" w:hAnsi="Times New Roman"/>
          <w:b/>
          <w:bCs/>
          <w:sz w:val="24"/>
          <w:szCs w:val="24"/>
        </w:rPr>
      </w:pPr>
      <w:r>
        <w:rPr>
          <w:rFonts w:ascii="Times New Roman" w:hAnsi="Times New Roman"/>
          <w:b/>
          <w:bCs/>
          <w:sz w:val="24"/>
          <w:szCs w:val="24"/>
        </w:rPr>
        <w:t>Atsakymai tiekėjams į rinkos konsultacijos metu gautas pastabas/pasiūlymus</w:t>
      </w:r>
    </w:p>
    <w:p w14:paraId="6231E680" w14:textId="77777777" w:rsidR="00185FF8" w:rsidRDefault="00185FF8" w:rsidP="005B717B">
      <w:pPr>
        <w:jc w:val="both"/>
      </w:pPr>
    </w:p>
    <w:p w14:paraId="7CFA65A1" w14:textId="155B22CE" w:rsidR="00B44F07" w:rsidRDefault="00B44F07" w:rsidP="005B717B">
      <w:pPr>
        <w:jc w:val="both"/>
      </w:pPr>
      <w:r>
        <w:t xml:space="preserve">1. Klausimas: </w:t>
      </w:r>
    </w:p>
    <w:p w14:paraId="616C9EB5" w14:textId="1F118150" w:rsidR="005B717B" w:rsidRDefault="00192C9D" w:rsidP="005B717B">
      <w:pPr>
        <w:jc w:val="both"/>
      </w:pPr>
      <w:r w:rsidRPr="00192C9D">
        <w:t xml:space="preserve">Dėl konstrukcijos tipo apribojimų Techninėje specifikacijoje detaliai apibrėžiamas konstrukcijos tipas – ovalios arkos, 130 mm skersmuo, 1,5 m atstumas tarp arkų. Toks apibrėžimas riboja alternatyvius inžinerinius sprendimus, kurie gali būti lygiaverčiai ar net pranašesni. Siūlome: Atsisakyti konkrečių formuluočių dėl konstrukcijos formos ar arkų skersmens. Vietoj to nurodyti, kad konstrukcija turi būti suprojektuota ir paskaičiuota pagal LST EN 1990:2004 bei susijusius </w:t>
      </w:r>
      <w:proofErr w:type="spellStart"/>
      <w:r w:rsidRPr="00192C9D">
        <w:t>Eurokodus</w:t>
      </w:r>
      <w:proofErr w:type="spellEnd"/>
      <w:r w:rsidRPr="00192C9D">
        <w:t xml:space="preserve">, atsižvelgiant į visus keliamus saugos, stabilumo ir patvarumo reikalavimus. Leisti tiekėjams siūlyti alternatyvius konstrukcijų sprendimus, įskaitant </w:t>
      </w:r>
      <w:proofErr w:type="spellStart"/>
      <w:r w:rsidRPr="00192C9D">
        <w:t>santvarines</w:t>
      </w:r>
      <w:proofErr w:type="spellEnd"/>
      <w:r w:rsidRPr="00192C9D">
        <w:t xml:space="preserve"> arba mišrias karkaso sistemas, jei jos atitinka minėtus standartus.</w:t>
      </w:r>
    </w:p>
    <w:p w14:paraId="595EE184" w14:textId="77777777" w:rsidR="00B44F07" w:rsidRDefault="00B44F07" w:rsidP="005B717B">
      <w:pPr>
        <w:jc w:val="both"/>
        <w:rPr>
          <w:b/>
          <w:bCs/>
        </w:rPr>
      </w:pPr>
      <w:r>
        <w:rPr>
          <w:b/>
          <w:bCs/>
        </w:rPr>
        <w:t>Atsakymas:</w:t>
      </w:r>
    </w:p>
    <w:p w14:paraId="1DCAB04A" w14:textId="0922867D" w:rsidR="00192C9D" w:rsidRPr="00513E51" w:rsidRDefault="004B72D0" w:rsidP="005B717B">
      <w:pPr>
        <w:jc w:val="both"/>
        <w:rPr>
          <w:b/>
          <w:bCs/>
        </w:rPr>
      </w:pPr>
      <w:r w:rsidRPr="00513E51">
        <w:rPr>
          <w:b/>
          <w:bCs/>
        </w:rPr>
        <w:t xml:space="preserve">Konstrukcijos tipas – ovalios arkos, 90-130 mm skersmuo, </w:t>
      </w:r>
      <w:r w:rsidR="00A351C6">
        <w:rPr>
          <w:b/>
          <w:bCs/>
        </w:rPr>
        <w:t xml:space="preserve">preliminarus </w:t>
      </w:r>
      <w:r w:rsidRPr="00513E51">
        <w:rPr>
          <w:b/>
          <w:bCs/>
        </w:rPr>
        <w:t>1,5 m atstumas tarp arkų.</w:t>
      </w:r>
    </w:p>
    <w:p w14:paraId="6E49C28E" w14:textId="5363E122" w:rsidR="004B72D0" w:rsidRPr="00513E51" w:rsidRDefault="004B72D0" w:rsidP="005B717B">
      <w:pPr>
        <w:jc w:val="both"/>
        <w:rPr>
          <w:b/>
          <w:bCs/>
        </w:rPr>
      </w:pPr>
      <w:r w:rsidRPr="00513E51">
        <w:rPr>
          <w:b/>
          <w:bCs/>
        </w:rPr>
        <w:t>Forma turi reikšmingą įtaką konstrukcijos atsparumui, ypač kai jis statomas ant 3 m aukščio LEGO blokų (masyvių betoninių blokų) sienos. Tai ne tik architektūrinis pasirinkimas – forma lemia, kaip apkrovos (ypač vėjas ir sniegas) paskirstomos konstrukcijai ir atramoms, o šiuo atveju – ir LEGO sienoms.</w:t>
      </w:r>
    </w:p>
    <w:p w14:paraId="503EE096" w14:textId="7C93E1BC" w:rsidR="004B72D0" w:rsidRPr="00513E51" w:rsidRDefault="004B72D0" w:rsidP="005B717B">
      <w:pPr>
        <w:jc w:val="both"/>
        <w:rPr>
          <w:b/>
          <w:bCs/>
        </w:rPr>
      </w:pPr>
      <w:r w:rsidRPr="00513E51">
        <w:rPr>
          <w:b/>
          <w:bCs/>
        </w:rPr>
        <w:t>Kadangi LEGO blokai nėra suklijuoti, o pastatyti vienas ant kito (savaime laikantys), jie:</w:t>
      </w:r>
    </w:p>
    <w:p w14:paraId="046A0F9C" w14:textId="77777777" w:rsidR="004B72D0" w:rsidRPr="00513E51" w:rsidRDefault="004B72D0" w:rsidP="005B717B">
      <w:pPr>
        <w:jc w:val="both"/>
        <w:rPr>
          <w:b/>
          <w:bCs/>
        </w:rPr>
      </w:pPr>
      <w:r w:rsidRPr="00513E51">
        <w:rPr>
          <w:b/>
          <w:bCs/>
        </w:rPr>
        <w:t>Yra jautrūs horizontalioms apkrovoms (pvz., vėjo spaudimas į sienas, stogo stūma).</w:t>
      </w:r>
    </w:p>
    <w:p w14:paraId="7BEAF223" w14:textId="2FF2A6DF" w:rsidR="006B12C8" w:rsidRDefault="00513E51" w:rsidP="005B717B">
      <w:pPr>
        <w:jc w:val="both"/>
        <w:rPr>
          <w:b/>
          <w:bCs/>
        </w:rPr>
      </w:pPr>
      <w:r w:rsidRPr="00513E51">
        <w:rPr>
          <w:b/>
          <w:bCs/>
        </w:rPr>
        <w:t>Prioritetas ilgaamžiškumas ir atsparumas vėjui/sniegui ir LEGO sienų saugumas.</w:t>
      </w:r>
    </w:p>
    <w:p w14:paraId="78A01AFB" w14:textId="77777777" w:rsidR="005B717B" w:rsidRDefault="005B717B" w:rsidP="005B717B">
      <w:pPr>
        <w:jc w:val="both"/>
        <w:rPr>
          <w:b/>
          <w:bCs/>
        </w:rPr>
      </w:pPr>
    </w:p>
    <w:p w14:paraId="320D3FCE" w14:textId="7EC72E82" w:rsidR="00B44F07" w:rsidRDefault="00B44F07" w:rsidP="005B717B">
      <w:pPr>
        <w:jc w:val="both"/>
      </w:pPr>
      <w:r>
        <w:t>2. Klausimas:</w:t>
      </w:r>
    </w:p>
    <w:p w14:paraId="726BE508" w14:textId="34A4D1B1" w:rsidR="006B12C8" w:rsidRDefault="006B12C8" w:rsidP="005B717B">
      <w:pPr>
        <w:jc w:val="both"/>
      </w:pPr>
      <w:r>
        <w:t>Dėl tarpo tarp konstrukcinių elementų (arkų) Techninėje specifikacijoje fiksuojamas tarpas tarp arkų – 1,5 m. Tokie apribojimai gali būti nereikalingi, jei konstrukcija apskaičiuota pagal reikiamus apkrovos standartus.</w:t>
      </w:r>
    </w:p>
    <w:p w14:paraId="51E40568" w14:textId="38F421BD" w:rsidR="00B44F07" w:rsidRPr="00B44F07" w:rsidRDefault="00B44F07" w:rsidP="005B717B">
      <w:pPr>
        <w:jc w:val="both"/>
        <w:rPr>
          <w:b/>
          <w:bCs/>
        </w:rPr>
      </w:pPr>
      <w:r w:rsidRPr="00B44F07">
        <w:rPr>
          <w:b/>
          <w:bCs/>
        </w:rPr>
        <w:t>Atsakymas:</w:t>
      </w:r>
    </w:p>
    <w:p w14:paraId="526A919F" w14:textId="4BCA6E34" w:rsidR="00192C9D" w:rsidRDefault="006B12C8" w:rsidP="005B717B">
      <w:pPr>
        <w:jc w:val="both"/>
        <w:rPr>
          <w:b/>
          <w:bCs/>
        </w:rPr>
      </w:pPr>
      <w:r>
        <w:rPr>
          <w:b/>
          <w:bCs/>
        </w:rPr>
        <w:t xml:space="preserve">Atsižvelgdami į siūlymą ir įvertinę savo poreikį patiksliname, kad tarpas tarp arkų preliminarus 1,5 m, tačiau tarpai turi būti įrengiami, kad būtų </w:t>
      </w:r>
      <w:r w:rsidRPr="006B12C8">
        <w:rPr>
          <w:b/>
          <w:bCs/>
        </w:rPr>
        <w:t xml:space="preserve">užtikrinamas reikalavimų atitikimas pagal LST EN 1990:2004 ir aktualius </w:t>
      </w:r>
      <w:proofErr w:type="spellStart"/>
      <w:r w:rsidRPr="006B12C8">
        <w:rPr>
          <w:b/>
          <w:bCs/>
        </w:rPr>
        <w:t>Eurokodus</w:t>
      </w:r>
      <w:proofErr w:type="spellEnd"/>
      <w:r w:rsidRPr="006B12C8">
        <w:rPr>
          <w:b/>
          <w:bCs/>
        </w:rPr>
        <w:t xml:space="preserve"> (pvz., sniego ir vėjo apkrovos pagal LST EN 1991-1-3 ir -1-4).</w:t>
      </w:r>
    </w:p>
    <w:p w14:paraId="3039F604" w14:textId="77777777" w:rsidR="005B717B" w:rsidRPr="005B717B" w:rsidRDefault="005B717B" w:rsidP="005B717B">
      <w:pPr>
        <w:jc w:val="both"/>
        <w:rPr>
          <w:b/>
          <w:bCs/>
        </w:rPr>
      </w:pPr>
    </w:p>
    <w:p w14:paraId="7FC2F0AC" w14:textId="30F85F7D" w:rsidR="00B44F07" w:rsidRDefault="00192C9D" w:rsidP="005B717B">
      <w:pPr>
        <w:jc w:val="both"/>
      </w:pPr>
      <w:r>
        <w:t>3</w:t>
      </w:r>
      <w:r w:rsidR="00B44F07">
        <w:t>. Klausimas:</w:t>
      </w:r>
    </w:p>
    <w:p w14:paraId="0E88D2BF" w14:textId="404A5C47" w:rsidR="00192C9D" w:rsidRDefault="00192C9D" w:rsidP="005B717B">
      <w:pPr>
        <w:jc w:val="both"/>
      </w:pPr>
      <w:r w:rsidRPr="00192C9D">
        <w:t xml:space="preserve">Dėl plieno markės (S420) Specifikacijoje reikalaujama naudoti konstrukcinį plieną S420. Tai riboja tiekėjus, kurie naudoja kitų klasių sertifikuotą plieną (pvz., S355), kuris taip pat gali būti saugiai pritaikytas. Siūlome: Leisti naudoti ir kitas konstrukcines plieno markes (pvz., S275, S355), jei konstrukcija projektuojama ir pagrįsta pagal LST EN 1990:2004 bei tenkina visus konstrukcinius ir saugos reikalavimus. Toks lankstumas </w:t>
      </w:r>
      <w:r w:rsidRPr="00192C9D">
        <w:lastRenderedPageBreak/>
        <w:t>nesumažintų statinio kokybės ar ilgaamžiškumo, tačiau leistų dalyvauti platesniam kvalifikuotų gamintojų ratui.</w:t>
      </w:r>
    </w:p>
    <w:p w14:paraId="20B6F5B6" w14:textId="77777777" w:rsidR="005B717B" w:rsidRDefault="005B717B" w:rsidP="005B717B">
      <w:pPr>
        <w:jc w:val="both"/>
        <w:rPr>
          <w:b/>
          <w:bCs/>
        </w:rPr>
      </w:pPr>
    </w:p>
    <w:p w14:paraId="79EEF3CB" w14:textId="77777777" w:rsidR="005B717B" w:rsidRDefault="005B717B" w:rsidP="005B717B">
      <w:pPr>
        <w:jc w:val="both"/>
        <w:rPr>
          <w:b/>
          <w:bCs/>
        </w:rPr>
      </w:pPr>
    </w:p>
    <w:p w14:paraId="5592771D" w14:textId="25FD1A84" w:rsidR="00605F7D" w:rsidRPr="00B44F07" w:rsidRDefault="00B44F07" w:rsidP="005B717B">
      <w:pPr>
        <w:jc w:val="both"/>
        <w:rPr>
          <w:b/>
          <w:bCs/>
        </w:rPr>
      </w:pPr>
      <w:r w:rsidRPr="00B44F07">
        <w:rPr>
          <w:b/>
          <w:bCs/>
        </w:rPr>
        <w:t>Atsakymas:</w:t>
      </w:r>
    </w:p>
    <w:p w14:paraId="4EC40773" w14:textId="43A39C2B" w:rsidR="00605F7D" w:rsidRPr="004B72D0" w:rsidRDefault="00605F7D" w:rsidP="005B717B">
      <w:pPr>
        <w:jc w:val="both"/>
        <w:rPr>
          <w:b/>
          <w:bCs/>
        </w:rPr>
      </w:pPr>
      <w:r w:rsidRPr="004B72D0">
        <w:rPr>
          <w:b/>
          <w:bCs/>
        </w:rPr>
        <w:t>Kadangi tai yra lengvosios konstrukcijos statinys, kuris visą išorinį apkrovų poveikį – tiek nuo vėjo, tiek nuo sniego ar kritulių – perkelia konstrukcijai. Konstrukcija turi būti pritaikyta atlaikyti itin dideles horizontalias ir vertikalias apkrovas. Tentas kaip danga nesuteikia struktūrinio standumo, todėl visa laikančioji funkcija tenka plieninei konstrukcijai. Todėl S420 plieno pasirinkimas yra techniškai pagrįstas</w:t>
      </w:r>
      <w:r w:rsidR="00FF68E6">
        <w:rPr>
          <w:b/>
          <w:bCs/>
        </w:rPr>
        <w:t xml:space="preserve"> įsivertinus poreikį.</w:t>
      </w:r>
      <w:r w:rsidR="00F53F28">
        <w:rPr>
          <w:b/>
          <w:bCs/>
        </w:rPr>
        <w:t xml:space="preserve"> Taip pat norime paminėti, kad lokacijos gali būti bet kurioje LR vietoje ir įsivertinę didelius skirtumus tarp vyraujančių skirtingų vėjų, bei kritulių kiekių, norime gaminio kuris atitiktų aukščiausius standartus.</w:t>
      </w:r>
    </w:p>
    <w:p w14:paraId="4B427066" w14:textId="77777777" w:rsidR="00791794" w:rsidRDefault="00791794" w:rsidP="005B717B">
      <w:pPr>
        <w:jc w:val="both"/>
        <w:rPr>
          <w:b/>
          <w:bCs/>
          <w:color w:val="EE0000"/>
        </w:rPr>
      </w:pPr>
    </w:p>
    <w:p w14:paraId="003ED671" w14:textId="77777777" w:rsidR="00B44F07" w:rsidRDefault="00791794" w:rsidP="005B717B">
      <w:pPr>
        <w:jc w:val="both"/>
      </w:pPr>
      <w:r w:rsidRPr="00791794">
        <w:t xml:space="preserve">4. </w:t>
      </w:r>
      <w:r w:rsidR="00B44F07">
        <w:t>Klausimas:</w:t>
      </w:r>
    </w:p>
    <w:p w14:paraId="56D45B46" w14:textId="66986A9C" w:rsidR="00791794" w:rsidRDefault="00791794" w:rsidP="005B717B">
      <w:pPr>
        <w:jc w:val="both"/>
      </w:pPr>
      <w:r w:rsidRPr="00791794">
        <w:t>Dėl karšto cinkavimo standarto Specifikacijoje nurodytas tik EN 10346 standartas, kuris taikomas plieniniams lakštams, bet ne visada tinka suvirintoms ir po gamybos cinkuojamoms konstrukcijoms.</w:t>
      </w:r>
    </w:p>
    <w:p w14:paraId="43EAB5A6" w14:textId="77777777" w:rsidR="00B44F07" w:rsidRDefault="00B44F07" w:rsidP="005B717B">
      <w:pPr>
        <w:jc w:val="both"/>
        <w:rPr>
          <w:b/>
          <w:bCs/>
        </w:rPr>
      </w:pPr>
      <w:r>
        <w:rPr>
          <w:b/>
          <w:bCs/>
        </w:rPr>
        <w:t>Atsakymas:</w:t>
      </w:r>
    </w:p>
    <w:p w14:paraId="07B1133F" w14:textId="642D9645" w:rsidR="00791794" w:rsidRDefault="00791794" w:rsidP="005B717B">
      <w:pPr>
        <w:jc w:val="both"/>
        <w:rPr>
          <w:b/>
          <w:bCs/>
        </w:rPr>
      </w:pPr>
      <w:r>
        <w:rPr>
          <w:b/>
          <w:bCs/>
        </w:rPr>
        <w:t>Atsižvelgdami į siūlymą ir įvertinę cinkavimo technologiją, įtraukiame galimybę, kad konstrukcijos dalys gali būti padengtos ir pagal standartą EN ISO 1461.</w:t>
      </w:r>
    </w:p>
    <w:p w14:paraId="25FD2E45" w14:textId="77777777" w:rsidR="00715EDA" w:rsidRDefault="00715EDA" w:rsidP="005B717B">
      <w:pPr>
        <w:jc w:val="both"/>
        <w:rPr>
          <w:b/>
          <w:bCs/>
        </w:rPr>
      </w:pPr>
    </w:p>
    <w:p w14:paraId="28F4E854" w14:textId="77777777" w:rsidR="00B44F07" w:rsidRDefault="000F1AE9" w:rsidP="005B717B">
      <w:pPr>
        <w:jc w:val="both"/>
      </w:pPr>
      <w:r w:rsidRPr="000F1AE9">
        <w:t>5.</w:t>
      </w:r>
      <w:r>
        <w:t xml:space="preserve"> </w:t>
      </w:r>
      <w:r w:rsidR="00B44F07">
        <w:t>Klausimas:</w:t>
      </w:r>
    </w:p>
    <w:p w14:paraId="0B96D376" w14:textId="4A4089D7" w:rsidR="000F1AE9" w:rsidRDefault="000F1AE9" w:rsidP="005B717B">
      <w:pPr>
        <w:jc w:val="both"/>
      </w:pPr>
      <w:r>
        <w:t>Dėl tento spalvos. Šiuo metu reikalaujama, kad tento išorė būtų pilka, o vidus – baltas. Toks reikalavimas riboja pasirinkimą ir gali padidinti kaštus, jei tiekėjas neturi standartizuoto dviejų spalvų tento.</w:t>
      </w:r>
    </w:p>
    <w:p w14:paraId="0AA388C5" w14:textId="77777777" w:rsidR="00B44F07" w:rsidRDefault="00B44F07" w:rsidP="005B717B">
      <w:pPr>
        <w:jc w:val="both"/>
        <w:rPr>
          <w:b/>
          <w:bCs/>
        </w:rPr>
      </w:pPr>
      <w:r>
        <w:rPr>
          <w:b/>
          <w:bCs/>
        </w:rPr>
        <w:t>Atsakymas:</w:t>
      </w:r>
    </w:p>
    <w:p w14:paraId="5E55F1FB" w14:textId="52726BEF" w:rsidR="000F1AE9" w:rsidRPr="000F1AE9" w:rsidRDefault="00FE7F6D" w:rsidP="005B717B">
      <w:pPr>
        <w:jc w:val="both"/>
        <w:rPr>
          <w:b/>
          <w:bCs/>
        </w:rPr>
      </w:pPr>
      <w:r>
        <w:rPr>
          <w:b/>
          <w:bCs/>
        </w:rPr>
        <w:t>Tiksliname, kad tento spalva gali būti ir vientisos pilkos spalvos (pilka išorė, vidus taip pat pilkas).</w:t>
      </w:r>
    </w:p>
    <w:p w14:paraId="6013B54D" w14:textId="77777777" w:rsidR="00192C9D" w:rsidRDefault="00192C9D" w:rsidP="005B717B">
      <w:pPr>
        <w:jc w:val="both"/>
      </w:pPr>
    </w:p>
    <w:p w14:paraId="4B2E222B" w14:textId="77777777" w:rsidR="00B44F07" w:rsidRDefault="00192C9D" w:rsidP="005B717B">
      <w:pPr>
        <w:jc w:val="both"/>
      </w:pPr>
      <w:r>
        <w:t xml:space="preserve">6. </w:t>
      </w:r>
      <w:r w:rsidR="00B44F07">
        <w:t>Klausimas:</w:t>
      </w:r>
    </w:p>
    <w:p w14:paraId="3AA630BC" w14:textId="5F0BBBA3" w:rsidR="00192C9D" w:rsidRDefault="00192C9D" w:rsidP="005B717B">
      <w:pPr>
        <w:jc w:val="both"/>
      </w:pPr>
      <w:r w:rsidRPr="00192C9D">
        <w:t xml:space="preserve">Dėl EN 1090-1 standarto taikymo gamyboje Šiuo metu techninėje specifikacijoje akcentuojamas projektavimas pagal LST EN 1990:2004, tačiau nėra paminėtas plieninių konstrukcijų gamybos standartas, kuris ES kontekste yra ypač svarbus. Siūlome: Numatyti, kad </w:t>
      </w:r>
      <w:proofErr w:type="spellStart"/>
      <w:r w:rsidRPr="00192C9D">
        <w:t>tentinių</w:t>
      </w:r>
      <w:proofErr w:type="spellEnd"/>
      <w:r w:rsidRPr="00192C9D">
        <w:t xml:space="preserve"> angarų plieninės konstrukcijos, kurios bus naudojamos kaip statiniai, turi būti gaminamos pagal EN 1090-1:2009 + A1:2011 standartą, o gamintojas – turėti sertifikuotą gamybos proceso kontrolės sistemą (FPC) bei CE ženklinimo teisę. Tokia nuostata užtikrintų, kad statinio konstrukcijos ne tik būtų projektuojamos pagal LST EN 1990, bet ir gaminamos laikantis Europos Sąjungos statybos produktų reglamento (CPR) reikalavimų. Šis pasiūlymas </w:t>
      </w:r>
      <w:r w:rsidRPr="00192C9D">
        <w:lastRenderedPageBreak/>
        <w:t>neapriboja tiekėjų, bet padeda aiškiai atskirti atsakomybes tarp projektavimo ir gamybos etapų bei užtikrina konstrukcijų atsekamumą, kokybę ir teisėtą patekimą į rinką.</w:t>
      </w:r>
    </w:p>
    <w:p w14:paraId="0337139A" w14:textId="77777777" w:rsidR="00B44F07" w:rsidRDefault="00B44F07" w:rsidP="005B717B">
      <w:pPr>
        <w:jc w:val="both"/>
        <w:rPr>
          <w:b/>
          <w:bCs/>
        </w:rPr>
      </w:pPr>
      <w:r>
        <w:rPr>
          <w:b/>
          <w:bCs/>
        </w:rPr>
        <w:t>Atsakymas:</w:t>
      </w:r>
    </w:p>
    <w:p w14:paraId="210964AE" w14:textId="0A1282F8" w:rsidR="00192C9D" w:rsidRPr="00192C9D" w:rsidRDefault="00192C9D" w:rsidP="005B717B">
      <w:pPr>
        <w:jc w:val="both"/>
        <w:rPr>
          <w:b/>
          <w:bCs/>
        </w:rPr>
      </w:pPr>
      <w:r w:rsidRPr="00192C9D">
        <w:rPr>
          <w:b/>
          <w:bCs/>
        </w:rPr>
        <w:t>LST EN 1990 – būtinas projektavimui, bet nepakankamas teisėtam plieninių konstrukcijų tiekimui rinkai. EN 1090-1:</w:t>
      </w:r>
    </w:p>
    <w:p w14:paraId="384CDBA6" w14:textId="77777777" w:rsidR="00192C9D" w:rsidRPr="00192C9D" w:rsidRDefault="00192C9D" w:rsidP="005B717B">
      <w:pPr>
        <w:jc w:val="both"/>
        <w:rPr>
          <w:b/>
          <w:bCs/>
        </w:rPr>
      </w:pPr>
      <w:r w:rsidRPr="00192C9D">
        <w:rPr>
          <w:b/>
          <w:bCs/>
        </w:rPr>
        <w:t>Užtikrina, kad konstrukcijos būtų gaminamos laikantis kokybės kontrolės sistemos (FPC).</w:t>
      </w:r>
    </w:p>
    <w:p w14:paraId="673C1E14" w14:textId="77777777" w:rsidR="00192C9D" w:rsidRPr="00192C9D" w:rsidRDefault="00192C9D" w:rsidP="005B717B">
      <w:pPr>
        <w:jc w:val="both"/>
        <w:rPr>
          <w:b/>
          <w:bCs/>
        </w:rPr>
      </w:pPr>
      <w:r w:rsidRPr="00192C9D">
        <w:rPr>
          <w:b/>
          <w:bCs/>
        </w:rPr>
        <w:t>Leidžia gamintojui suteikti CE ženklinimą, kuris būtinas ES rinkoje.</w:t>
      </w:r>
    </w:p>
    <w:p w14:paraId="1D36F6EA" w14:textId="77777777" w:rsidR="00192C9D" w:rsidRPr="00192C9D" w:rsidRDefault="00192C9D" w:rsidP="005B717B">
      <w:pPr>
        <w:jc w:val="both"/>
        <w:rPr>
          <w:b/>
          <w:bCs/>
        </w:rPr>
      </w:pPr>
      <w:r w:rsidRPr="00192C9D">
        <w:rPr>
          <w:b/>
          <w:bCs/>
        </w:rPr>
        <w:t>Padeda aiškiai atskirti atsakomybę tarp projektuotojo ir gamintojo.</w:t>
      </w:r>
    </w:p>
    <w:p w14:paraId="1B8CE820" w14:textId="20903E22" w:rsidR="00192C9D" w:rsidRDefault="00192C9D" w:rsidP="005B717B">
      <w:pPr>
        <w:jc w:val="both"/>
        <w:rPr>
          <w:b/>
          <w:bCs/>
        </w:rPr>
      </w:pPr>
      <w:r w:rsidRPr="00192C9D">
        <w:rPr>
          <w:b/>
          <w:bCs/>
        </w:rPr>
        <w:t>Suteikia galimybę patikrinti konstrukcijų kilmę, kokybę ir atitikimą teisiniams reikalavimams.</w:t>
      </w:r>
    </w:p>
    <w:p w14:paraId="3998E435" w14:textId="77777777" w:rsidR="00E66AA9" w:rsidRDefault="00E66AA9" w:rsidP="005B717B">
      <w:pPr>
        <w:jc w:val="both"/>
        <w:rPr>
          <w:b/>
          <w:bCs/>
        </w:rPr>
      </w:pPr>
    </w:p>
    <w:p w14:paraId="3D7B2941" w14:textId="1D7B4E9A" w:rsidR="00E66AA9" w:rsidRPr="00E66AA9" w:rsidRDefault="00E66AA9" w:rsidP="005B717B">
      <w:pPr>
        <w:jc w:val="both"/>
        <w:rPr>
          <w:u w:val="single"/>
        </w:rPr>
      </w:pPr>
      <w:r w:rsidRPr="00E66AA9">
        <w:rPr>
          <w:u w:val="single"/>
        </w:rPr>
        <w:t>DĖL ISO</w:t>
      </w:r>
    </w:p>
    <w:p w14:paraId="366D5134" w14:textId="77777777" w:rsidR="00B44F07" w:rsidRDefault="00B44F07" w:rsidP="005B717B">
      <w:pPr>
        <w:jc w:val="both"/>
      </w:pPr>
      <w:r>
        <w:t>7. Klausimas:</w:t>
      </w:r>
    </w:p>
    <w:p w14:paraId="2B7916F4" w14:textId="5792D11E" w:rsidR="00E66AA9" w:rsidRDefault="00E66AA9" w:rsidP="005B717B">
      <w:pPr>
        <w:jc w:val="both"/>
      </w:pPr>
      <w:r w:rsidRPr="00E66AA9">
        <w:t>Ar būtų laikoma tinkama, jeigu pagrindinis tiekėjas (pvz.,</w:t>
      </w:r>
      <w:r>
        <w:t xml:space="preserve"> </w:t>
      </w:r>
      <w:r w:rsidRPr="00E66AA9">
        <w:t>rangovas, atsakingas už montavimą ir sutarties vykdymą)</w:t>
      </w:r>
      <w:r>
        <w:t xml:space="preserve"> </w:t>
      </w:r>
      <w:r w:rsidRPr="00E66AA9">
        <w:t xml:space="preserve">neturi ISO 14001 sertifikato, tačiau </w:t>
      </w:r>
      <w:proofErr w:type="spellStart"/>
      <w:r w:rsidRPr="00E66AA9">
        <w:t>tentinių</w:t>
      </w:r>
      <w:proofErr w:type="spellEnd"/>
      <w:r w:rsidRPr="00E66AA9">
        <w:t xml:space="preserve"> angarų</w:t>
      </w:r>
      <w:r>
        <w:t xml:space="preserve"> </w:t>
      </w:r>
      <w:r w:rsidRPr="00E66AA9">
        <w:t>gamintojas, kurio produkcija yra tiekiama ir montuojama, yra</w:t>
      </w:r>
      <w:r>
        <w:t xml:space="preserve"> </w:t>
      </w:r>
      <w:r w:rsidRPr="00E66AA9">
        <w:t>sertifikuotas pagal LST EN ISO 14001:2015?</w:t>
      </w:r>
      <w:r>
        <w:t xml:space="preserve"> </w:t>
      </w:r>
      <w:r w:rsidRPr="00E66AA9">
        <w:t>Kadangi didžioji poveikio aplinkai dalis kyla būtent gamybos</w:t>
      </w:r>
      <w:r>
        <w:t xml:space="preserve"> </w:t>
      </w:r>
      <w:r w:rsidRPr="00E66AA9">
        <w:t>etape, siūlome aiškiai apibrėžti, ar toks atvejis būtų laikomas</w:t>
      </w:r>
      <w:r>
        <w:t xml:space="preserve"> </w:t>
      </w:r>
      <w:r w:rsidRPr="00E66AA9">
        <w:t>tinkamu. Tai suteiktų daugiau aiškumo tiekėjams,</w:t>
      </w:r>
      <w:r>
        <w:t xml:space="preserve"> </w:t>
      </w:r>
      <w:r w:rsidRPr="00E66AA9">
        <w:t>dirbantiems su sertifikuotais partneriais, bet neturintiems</w:t>
      </w:r>
      <w:r>
        <w:t xml:space="preserve"> </w:t>
      </w:r>
      <w:r w:rsidRPr="00E66AA9">
        <w:t>savos sertifikuotos aplinkosaugos vadybos sistemos.</w:t>
      </w:r>
    </w:p>
    <w:p w14:paraId="4E00B797" w14:textId="77777777" w:rsidR="00B44F07" w:rsidRDefault="00B44F07" w:rsidP="005B717B">
      <w:pPr>
        <w:jc w:val="both"/>
        <w:rPr>
          <w:b/>
          <w:bCs/>
        </w:rPr>
      </w:pPr>
      <w:r>
        <w:rPr>
          <w:b/>
          <w:bCs/>
        </w:rPr>
        <w:t>Atsakymas:</w:t>
      </w:r>
    </w:p>
    <w:p w14:paraId="623FF1A3" w14:textId="70ECF85B" w:rsidR="00E66AA9" w:rsidRPr="00E66AA9" w:rsidRDefault="00E66AA9" w:rsidP="005B717B">
      <w:pPr>
        <w:jc w:val="both"/>
        <w:rPr>
          <w:b/>
          <w:bCs/>
        </w:rPr>
      </w:pPr>
      <w:r>
        <w:rPr>
          <w:b/>
          <w:bCs/>
        </w:rPr>
        <w:t xml:space="preserve">Būtų laikoma netinkama, reikalavimas yra, kad ISO 14001 sertifikatą arba lygiavertį dokumentą turėtų Rangovas, ne gamintojas. </w:t>
      </w:r>
    </w:p>
    <w:p w14:paraId="4C4989EF" w14:textId="77777777" w:rsidR="00192C9D" w:rsidRDefault="00192C9D" w:rsidP="005B717B">
      <w:pPr>
        <w:jc w:val="both"/>
      </w:pPr>
    </w:p>
    <w:p w14:paraId="1B5F0507" w14:textId="77777777" w:rsidR="00192C9D" w:rsidRDefault="00192C9D" w:rsidP="005B717B">
      <w:pPr>
        <w:jc w:val="both"/>
      </w:pPr>
    </w:p>
    <w:sectPr w:rsidR="00192C9D" w:rsidSect="0084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229C"/>
    <w:multiLevelType w:val="hybridMultilevel"/>
    <w:tmpl w:val="9662A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11179F"/>
    <w:multiLevelType w:val="hybridMultilevel"/>
    <w:tmpl w:val="3B080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197267">
    <w:abstractNumId w:val="0"/>
  </w:num>
  <w:num w:numId="2" w16cid:durableId="133996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16"/>
    <w:rsid w:val="000B0A66"/>
    <w:rsid w:val="000F1AE9"/>
    <w:rsid w:val="00185FF8"/>
    <w:rsid w:val="00192C9D"/>
    <w:rsid w:val="001C608D"/>
    <w:rsid w:val="002A18AA"/>
    <w:rsid w:val="004B72D0"/>
    <w:rsid w:val="00513E51"/>
    <w:rsid w:val="005B717B"/>
    <w:rsid w:val="00605F7D"/>
    <w:rsid w:val="0066477C"/>
    <w:rsid w:val="006B12C8"/>
    <w:rsid w:val="00715EDA"/>
    <w:rsid w:val="00791794"/>
    <w:rsid w:val="0084692C"/>
    <w:rsid w:val="009667E8"/>
    <w:rsid w:val="00A351C6"/>
    <w:rsid w:val="00B44F07"/>
    <w:rsid w:val="00B93216"/>
    <w:rsid w:val="00E24307"/>
    <w:rsid w:val="00E66AA9"/>
    <w:rsid w:val="00EB52A7"/>
    <w:rsid w:val="00F53F28"/>
    <w:rsid w:val="00FE7F6D"/>
    <w:rsid w:val="00FF6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EB13"/>
  <w15:chartTrackingRefBased/>
  <w15:docId w15:val="{C22A427D-4F92-4961-A7BD-4C9EFCE4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3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93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932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932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932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932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32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32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32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32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932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932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932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932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932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32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32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32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3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32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32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32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32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3216"/>
    <w:rPr>
      <w:i/>
      <w:iCs/>
      <w:color w:val="404040" w:themeColor="text1" w:themeTint="BF"/>
    </w:rPr>
  </w:style>
  <w:style w:type="paragraph" w:styleId="Sraopastraipa">
    <w:name w:val="List Paragraph"/>
    <w:basedOn w:val="prastasis"/>
    <w:uiPriority w:val="34"/>
    <w:qFormat/>
    <w:rsid w:val="00B93216"/>
    <w:pPr>
      <w:ind w:left="720"/>
      <w:contextualSpacing/>
    </w:pPr>
  </w:style>
  <w:style w:type="character" w:styleId="Rykuspabraukimas">
    <w:name w:val="Intense Emphasis"/>
    <w:basedOn w:val="Numatytasispastraiposriftas"/>
    <w:uiPriority w:val="21"/>
    <w:qFormat/>
    <w:rsid w:val="00B93216"/>
    <w:rPr>
      <w:i/>
      <w:iCs/>
      <w:color w:val="2F5496" w:themeColor="accent1" w:themeShade="BF"/>
    </w:rPr>
  </w:style>
  <w:style w:type="paragraph" w:styleId="Iskirtacitata">
    <w:name w:val="Intense Quote"/>
    <w:basedOn w:val="prastasis"/>
    <w:next w:val="prastasis"/>
    <w:link w:val="IskirtacitataDiagrama"/>
    <w:uiPriority w:val="30"/>
    <w:qFormat/>
    <w:rsid w:val="00B93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93216"/>
    <w:rPr>
      <w:i/>
      <w:iCs/>
      <w:color w:val="2F5496" w:themeColor="accent1" w:themeShade="BF"/>
    </w:rPr>
  </w:style>
  <w:style w:type="character" w:styleId="Rykinuoroda">
    <w:name w:val="Intense Reference"/>
    <w:basedOn w:val="Numatytasispastraiposriftas"/>
    <w:uiPriority w:val="32"/>
    <w:qFormat/>
    <w:rsid w:val="00B93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3864</Words>
  <Characters>2203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Sarunas Sarunas</dc:creator>
  <cp:keywords/>
  <dc:description/>
  <cp:lastModifiedBy>Kristina Kairytė</cp:lastModifiedBy>
  <cp:revision>17</cp:revision>
  <dcterms:created xsi:type="dcterms:W3CDTF">2025-07-25T09:15:00Z</dcterms:created>
  <dcterms:modified xsi:type="dcterms:W3CDTF">2025-07-25T11:13:00Z</dcterms:modified>
</cp:coreProperties>
</file>