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6E2C8EEB" w:rsidR="00B767F3" w:rsidRDefault="00EA6D7C" w:rsidP="00EA6D7C">
      <w:pPr>
        <w:tabs>
          <w:tab w:val="center" w:pos="4680"/>
          <w:tab w:val="right" w:pos="9360"/>
        </w:tabs>
        <w:jc w:val="center"/>
      </w:pPr>
      <w:r w:rsidRPr="0038450B">
        <w:rPr>
          <w:rFonts w:cstheme="minorHAnsi"/>
          <w:noProof/>
          <w:sz w:val="22"/>
          <w:szCs w:val="22"/>
          <w:lang w:eastAsia="lt-LT"/>
        </w:rPr>
        <w:drawing>
          <wp:inline distT="0" distB="0" distL="0" distR="0" wp14:anchorId="3E73C914" wp14:editId="7AF5D9E8">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17123" cy="857926"/>
                    </a:xfrm>
                    <a:prstGeom prst="rect">
                      <a:avLst/>
                    </a:prstGeom>
                    <a:noFill/>
                    <a:ln>
                      <a:noFill/>
                      <a:prstDash/>
                    </a:ln>
                  </pic:spPr>
                </pic:pic>
              </a:graphicData>
            </a:graphic>
          </wp:inline>
        </w:drawing>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7D4B453" w14:textId="77777777" w:rsidR="00590CB3" w:rsidRPr="006950BD" w:rsidRDefault="00590CB3" w:rsidP="00590CB3">
            <w:pPr>
              <w:widowControl w:val="0"/>
              <w:tabs>
                <w:tab w:val="left" w:pos="1440"/>
                <w:tab w:val="left" w:pos="1620"/>
                <w:tab w:val="left" w:pos="2880"/>
                <w:tab w:val="left" w:pos="3240"/>
              </w:tabs>
              <w:jc w:val="center"/>
              <w:rPr>
                <w:b/>
                <w:bCs/>
              </w:rPr>
            </w:pPr>
            <w:r w:rsidRPr="006950BD">
              <w:rPr>
                <w:b/>
              </w:rPr>
              <w:t xml:space="preserve">ATVIRAM KONKURSUI (SUPAPRASTINTAM PIRKIMUI) </w:t>
            </w:r>
            <w:r w:rsidRPr="006950BD">
              <w:rPr>
                <w:b/>
              </w:rPr>
              <w:br/>
              <w:t>„</w:t>
            </w:r>
            <w:r w:rsidRPr="006950BD">
              <w:rPr>
                <w:b/>
                <w:bCs/>
              </w:rPr>
              <w:t>DEGUONIES GENERATORIUS</w:t>
            </w:r>
            <w:r w:rsidRPr="006950BD">
              <w:rPr>
                <w:b/>
              </w:rPr>
              <w:t>”</w:t>
            </w:r>
          </w:p>
          <w:p w14:paraId="249F1FE3" w14:textId="43CAD6A1" w:rsidR="00B767F3" w:rsidRPr="00590CB3" w:rsidRDefault="00590CB3" w:rsidP="00EA6D7C">
            <w:pPr>
              <w:tabs>
                <w:tab w:val="center" w:pos="4513"/>
                <w:tab w:val="right" w:pos="9026"/>
              </w:tabs>
              <w:jc w:val="center"/>
              <w:rPr>
                <w:b/>
                <w:lang w:eastAsia="lt-LT"/>
              </w:rPr>
            </w:pPr>
            <w:r w:rsidRPr="006950BD">
              <w:rPr>
                <w:b/>
                <w:bCs/>
              </w:rPr>
              <w:t xml:space="preserve"> (PIRKIMO NUMERIS CVP IS – 3</w:t>
            </w:r>
            <w:r w:rsidR="00EA6D7C">
              <w:rPr>
                <w:b/>
                <w:bCs/>
              </w:rPr>
              <w:t>834129</w:t>
            </w:r>
            <w:r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B767F3" w14:paraId="3EFEA890" w14:textId="77777777" w:rsidTr="005E1AA7">
        <w:trPr>
          <w:gridAfter w:val="1"/>
          <w:wAfter w:w="7" w:type="dxa"/>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gridAfter w:val="1"/>
          <w:wAfter w:w="7" w:type="dxa"/>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B72840" w14:textId="49954587" w:rsidR="00590CB3" w:rsidRPr="006950BD" w:rsidRDefault="00590CB3" w:rsidP="00590CB3">
            <w:pPr>
              <w:widowControl w:val="0"/>
              <w:tabs>
                <w:tab w:val="left" w:pos="1440"/>
                <w:tab w:val="left" w:pos="1620"/>
                <w:tab w:val="left" w:pos="2880"/>
                <w:tab w:val="left" w:pos="3240"/>
              </w:tabs>
              <w:jc w:val="center"/>
              <w:rPr>
                <w:b/>
                <w:bCs/>
              </w:rPr>
            </w:pPr>
            <w:r w:rsidRPr="006950BD">
              <w:rPr>
                <w:b/>
              </w:rPr>
              <w:t>ATVIRA</w:t>
            </w:r>
            <w:r>
              <w:rPr>
                <w:b/>
              </w:rPr>
              <w:t>S</w:t>
            </w:r>
            <w:r w:rsidRPr="006950BD">
              <w:rPr>
                <w:b/>
              </w:rPr>
              <w:t xml:space="preserve"> KONKURS</w:t>
            </w:r>
            <w:r>
              <w:rPr>
                <w:b/>
              </w:rPr>
              <w:t>AS</w:t>
            </w:r>
            <w:r w:rsidRPr="006950BD">
              <w:rPr>
                <w:b/>
              </w:rPr>
              <w:t xml:space="preserve"> (SUPAPRASTINTA</w:t>
            </w:r>
            <w:r>
              <w:rPr>
                <w:b/>
              </w:rPr>
              <w:t>S</w:t>
            </w:r>
            <w:r w:rsidRPr="006950BD">
              <w:rPr>
                <w:b/>
              </w:rPr>
              <w:t xml:space="preserve"> PIRKIM</w:t>
            </w:r>
            <w:r>
              <w:rPr>
                <w:b/>
              </w:rPr>
              <w:t>AS</w:t>
            </w:r>
            <w:r w:rsidRPr="006950BD">
              <w:rPr>
                <w:b/>
              </w:rPr>
              <w:t xml:space="preserve">) </w:t>
            </w:r>
            <w:r w:rsidRPr="006950BD">
              <w:rPr>
                <w:b/>
              </w:rPr>
              <w:br/>
              <w:t>„</w:t>
            </w:r>
            <w:r w:rsidRPr="006950BD">
              <w:rPr>
                <w:b/>
                <w:bCs/>
              </w:rPr>
              <w:t>DEGUONIES GENERATORIUS</w:t>
            </w:r>
            <w:r w:rsidRPr="006950BD">
              <w:rPr>
                <w:b/>
              </w:rPr>
              <w:t>”</w:t>
            </w:r>
          </w:p>
          <w:p w14:paraId="1E986A9B" w14:textId="2B5B6757" w:rsidR="00B767F3" w:rsidRDefault="00590CB3" w:rsidP="00EA6D7C">
            <w:pPr>
              <w:tabs>
                <w:tab w:val="center" w:pos="4513"/>
                <w:tab w:val="right" w:pos="9026"/>
              </w:tabs>
              <w:jc w:val="center"/>
              <w:rPr>
                <w:kern w:val="2"/>
                <w:szCs w:val="24"/>
              </w:rPr>
            </w:pPr>
            <w:r w:rsidRPr="006950BD">
              <w:rPr>
                <w:b/>
                <w:bCs/>
              </w:rPr>
              <w:t xml:space="preserve"> (PIRKIMO NUMERIS CVP IS – 3</w:t>
            </w:r>
            <w:r w:rsidR="00EA6D7C">
              <w:rPr>
                <w:b/>
                <w:bCs/>
              </w:rPr>
              <w:t>834129</w:t>
            </w:r>
            <w:r w:rsidRPr="006950BD">
              <w:rPr>
                <w:b/>
                <w:bCs/>
              </w:rPr>
              <w:t>)</w:t>
            </w:r>
          </w:p>
        </w:tc>
      </w:tr>
      <w:tr w:rsidR="00B767F3" w14:paraId="44A6369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330F5821" w:rsidR="00B767F3" w:rsidRDefault="00EA6D7C" w:rsidP="00590CB3">
            <w:pPr>
              <w:rPr>
                <w:kern w:val="2"/>
                <w:szCs w:val="24"/>
              </w:rPr>
            </w:pPr>
            <w:r>
              <w:rPr>
                <w:kern w:val="2"/>
                <w:szCs w:val="24"/>
              </w:rPr>
              <w:t xml:space="preserve">Europos Sąjungos lėšomis bendrai finansuojamo projekto Nr. </w:t>
            </w:r>
            <w:r w:rsidRPr="00255F31">
              <w:rPr>
                <w:kern w:val="2"/>
                <w:szCs w:val="24"/>
              </w:rPr>
              <w:t>09-022-P-0013</w:t>
            </w:r>
            <w:r>
              <w:rPr>
                <w:kern w:val="2"/>
                <w:szCs w:val="24"/>
              </w:rPr>
              <w:t>,</w:t>
            </w:r>
            <w:r>
              <w:rPr>
                <w:color w:val="4472C4"/>
                <w:kern w:val="2"/>
                <w:szCs w:val="24"/>
              </w:rPr>
              <w:t xml:space="preserve"> </w:t>
            </w:r>
            <w:r>
              <w:rPr>
                <w:kern w:val="2"/>
                <w:szCs w:val="24"/>
              </w:rPr>
              <w:t xml:space="preserve">pavadinimas </w:t>
            </w:r>
            <w:r w:rsidRPr="00255F31">
              <w:rPr>
                <w:kern w:val="2"/>
                <w:szCs w:val="24"/>
              </w:rPr>
              <w:t>„Jonavos sveikatos centro sudėtyje teikiamų sveikatos priežiūros paslaugų infrastruktūros modernizavimas“</w:t>
            </w:r>
            <w:r>
              <w:rPr>
                <w:kern w:val="2"/>
                <w:szCs w:val="24"/>
              </w:rPr>
              <w:t>.</w:t>
            </w:r>
          </w:p>
        </w:tc>
      </w:tr>
      <w:tr w:rsidR="00B767F3" w14:paraId="7A8EB718" w14:textId="77777777" w:rsidTr="005E1AA7">
        <w:trPr>
          <w:gridAfter w:val="1"/>
          <w:wAfter w:w="7" w:type="dxa"/>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2757F151" w:rsidR="00B767F3" w:rsidRPr="00BC1FA6" w:rsidRDefault="00DD7479" w:rsidP="00BC1FA6">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BC1FA6" w:rsidRPr="00BC1FA6">
              <w:rPr>
                <w:kern w:val="2"/>
                <w:szCs w:val="24"/>
              </w:rPr>
              <w:t xml:space="preserve">4 (keturis)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E18D4C4" w:rsidR="00B767F3" w:rsidRPr="0078247C" w:rsidRDefault="00DD7479" w:rsidP="00BC1FA6">
            <w:pPr>
              <w:jc w:val="both"/>
              <w:rPr>
                <w:kern w:val="2"/>
                <w:szCs w:val="24"/>
              </w:rPr>
            </w:pPr>
            <w:r w:rsidRPr="0078247C">
              <w:rPr>
                <w:kern w:val="2"/>
                <w:szCs w:val="24"/>
              </w:rPr>
              <w:t xml:space="preserve">Tiekėjas turi teisę į Prekių pristatymo </w:t>
            </w:r>
            <w:r w:rsidR="00F804DB">
              <w:rPr>
                <w:kern w:val="2"/>
                <w:szCs w:val="24"/>
              </w:rPr>
              <w:t xml:space="preserve">ir sumontavimo </w:t>
            </w:r>
            <w:r w:rsidRPr="0078247C">
              <w:rPr>
                <w:kern w:val="2"/>
                <w:szCs w:val="24"/>
              </w:rPr>
              <w:t xml:space="preserve">termino pratęsimą, tačiau tik tuo atveju, jei atsiranda </w:t>
            </w:r>
            <w:proofErr w:type="spellStart"/>
            <w:r w:rsidRPr="0078247C">
              <w:rPr>
                <w:kern w:val="2"/>
                <w:szCs w:val="24"/>
              </w:rPr>
              <w:t>įrodymais</w:t>
            </w:r>
            <w:proofErr w:type="spellEnd"/>
            <w:r w:rsidRPr="0078247C">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8247C" w:rsidRPr="0078247C">
              <w:rPr>
                <w:kern w:val="2"/>
                <w:szCs w:val="24"/>
              </w:rPr>
              <w:t xml:space="preserve"> 3</w:t>
            </w:r>
            <w:r w:rsidRPr="0078247C">
              <w:rPr>
                <w:kern w:val="2"/>
                <w:szCs w:val="24"/>
              </w:rPr>
              <w:t xml:space="preserve"> (</w:t>
            </w:r>
            <w:r w:rsidR="0078247C" w:rsidRPr="0078247C">
              <w:rPr>
                <w:kern w:val="2"/>
                <w:szCs w:val="24"/>
              </w:rPr>
              <w:t>tris) dienas</w:t>
            </w:r>
            <w:r w:rsidRPr="0078247C">
              <w:rPr>
                <w:kern w:val="2"/>
                <w:szCs w:val="24"/>
              </w:rPr>
              <w:t xml:space="preserve">, apie tai praneša Pirkėjui, pateikdamas minėtų aplinkybių egzistavimo </w:t>
            </w:r>
            <w:proofErr w:type="spellStart"/>
            <w:r w:rsidRPr="0078247C">
              <w:rPr>
                <w:kern w:val="2"/>
                <w:szCs w:val="24"/>
              </w:rPr>
              <w:t>įrodymus</w:t>
            </w:r>
            <w:proofErr w:type="spellEnd"/>
            <w:r w:rsidRPr="0078247C">
              <w:rPr>
                <w:kern w:val="2"/>
                <w:szCs w:val="24"/>
              </w:rPr>
              <w:t xml:space="preserve">. Nurodytas aplinkybes vertina Pirkėjas. Pirkėjui sutikus, Prekių pristatymo </w:t>
            </w:r>
            <w:r w:rsidR="00F804DB">
              <w:rPr>
                <w:kern w:val="2"/>
                <w:szCs w:val="24"/>
              </w:rPr>
              <w:t xml:space="preserve">ir sumontavimo </w:t>
            </w:r>
            <w:r w:rsidRPr="0078247C">
              <w:rPr>
                <w:kern w:val="2"/>
                <w:szCs w:val="24"/>
              </w:rPr>
              <w:t xml:space="preserve">terminas gali būti pratęsiamas tik minėtų aplinkybių egzistavimo laikotarpiui, bet ne ilgiau nei </w:t>
            </w:r>
            <w:r w:rsidR="0078247C" w:rsidRPr="0078247C">
              <w:rPr>
                <w:kern w:val="2"/>
                <w:szCs w:val="24"/>
              </w:rPr>
              <w:t xml:space="preserve">1 (vieno) </w:t>
            </w:r>
            <w:r w:rsidRPr="0078247C">
              <w:rPr>
                <w:kern w:val="2"/>
                <w:szCs w:val="24"/>
              </w:rPr>
              <w:t>mėnesi</w:t>
            </w:r>
            <w:r w:rsidR="0078247C" w:rsidRPr="0078247C">
              <w:rPr>
                <w:kern w:val="2"/>
                <w:szCs w:val="24"/>
              </w:rPr>
              <w:t>o</w:t>
            </w:r>
            <w:r w:rsidRPr="0078247C">
              <w:rPr>
                <w:kern w:val="2"/>
                <w:szCs w:val="24"/>
              </w:rPr>
              <w:t xml:space="preserve"> laikotarpiui.</w:t>
            </w:r>
          </w:p>
        </w:tc>
      </w:tr>
      <w:tr w:rsidR="00B767F3" w14:paraId="23D0B5E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3A2B943" w14:textId="77777777" w:rsidR="00EA6D7C" w:rsidRDefault="00DD7479" w:rsidP="0078247C">
            <w:pPr>
              <w:rPr>
                <w:kern w:val="2"/>
                <w:szCs w:val="24"/>
              </w:rPr>
            </w:pPr>
            <w:r w:rsidRPr="0078247C">
              <w:rPr>
                <w:kern w:val="2"/>
                <w:szCs w:val="24"/>
              </w:rPr>
              <w:t xml:space="preserve">Kartu su Prekėmis pateikiami šie dokumentai: </w:t>
            </w:r>
          </w:p>
          <w:p w14:paraId="6AA381C1" w14:textId="1AEC89FB" w:rsidR="00EA6D7C" w:rsidRPr="00EA6D7C" w:rsidRDefault="00DD7479" w:rsidP="00EA6D7C">
            <w:pPr>
              <w:pStyle w:val="Sraopastraipa"/>
              <w:numPr>
                <w:ilvl w:val="0"/>
                <w:numId w:val="3"/>
              </w:numPr>
              <w:rPr>
                <w:kern w:val="2"/>
                <w:szCs w:val="24"/>
              </w:rPr>
            </w:pPr>
            <w:r w:rsidRPr="00EA6D7C">
              <w:rPr>
                <w:kern w:val="2"/>
                <w:szCs w:val="24"/>
              </w:rPr>
              <w:t>Prekių perdavimo-priėmimo aktas</w:t>
            </w:r>
            <w:r w:rsidR="00EA6D7C" w:rsidRPr="00EA6D7C">
              <w:rPr>
                <w:kern w:val="2"/>
                <w:szCs w:val="24"/>
              </w:rPr>
              <w:t>;</w:t>
            </w:r>
          </w:p>
          <w:p w14:paraId="14B11506" w14:textId="7F762517" w:rsidR="00EA6D7C" w:rsidRPr="00EA6D7C" w:rsidRDefault="00EA6D7C" w:rsidP="00EA6D7C">
            <w:pPr>
              <w:pStyle w:val="Sraopastraipa"/>
              <w:numPr>
                <w:ilvl w:val="0"/>
                <w:numId w:val="3"/>
              </w:numPr>
              <w:rPr>
                <w:kern w:val="2"/>
                <w:szCs w:val="24"/>
              </w:rPr>
            </w:pPr>
            <w:r w:rsidRPr="00EA6D7C">
              <w:rPr>
                <w:kern w:val="2"/>
                <w:szCs w:val="24"/>
              </w:rPr>
              <w:t>K</w:t>
            </w:r>
            <w:r w:rsidR="00DD7479" w:rsidRPr="00EA6D7C">
              <w:rPr>
                <w:kern w:val="2"/>
                <w:szCs w:val="24"/>
              </w:rPr>
              <w:t xml:space="preserve">iti </w:t>
            </w:r>
            <w:r w:rsidRPr="00EA6D7C">
              <w:rPr>
                <w:kern w:val="2"/>
                <w:szCs w:val="24"/>
              </w:rPr>
              <w:t>d</w:t>
            </w:r>
            <w:r w:rsidR="00DD7479" w:rsidRPr="00EA6D7C">
              <w:rPr>
                <w:kern w:val="2"/>
                <w:szCs w:val="24"/>
              </w:rPr>
              <w:t xml:space="preserve">okumentai </w:t>
            </w:r>
            <w:r w:rsidRPr="00EA6D7C">
              <w:rPr>
                <w:kern w:val="2"/>
                <w:szCs w:val="24"/>
              </w:rPr>
              <w:t>nurodyti Techninėje specifikacijoje</w:t>
            </w:r>
            <w:r w:rsidRPr="00EA6D7C">
              <w:rPr>
                <w:kern w:val="2"/>
                <w:szCs w:val="24"/>
              </w:rPr>
              <w:t xml:space="preserve">; </w:t>
            </w:r>
          </w:p>
          <w:p w14:paraId="021B39C0" w14:textId="2940C125" w:rsidR="00EA6D7C" w:rsidRPr="00EA6D7C" w:rsidRDefault="00EA6D7C" w:rsidP="00EA6D7C">
            <w:pPr>
              <w:pStyle w:val="Sraopastraipa"/>
              <w:numPr>
                <w:ilvl w:val="0"/>
                <w:numId w:val="3"/>
              </w:numPr>
              <w:rPr>
                <w:kern w:val="2"/>
                <w:szCs w:val="24"/>
              </w:rPr>
            </w:pPr>
            <w:r w:rsidRPr="00EA6D7C">
              <w:rPr>
                <w:kern w:val="2"/>
                <w:szCs w:val="24"/>
              </w:rPr>
              <w:t>G</w:t>
            </w:r>
            <w:r w:rsidRPr="00EA6D7C">
              <w:rPr>
                <w:kern w:val="2"/>
                <w:szCs w:val="24"/>
              </w:rPr>
              <w:t>arantinio aptarnavimo sąlygos</w:t>
            </w:r>
            <w:r w:rsidRPr="00EA6D7C">
              <w:rPr>
                <w:kern w:val="2"/>
                <w:szCs w:val="24"/>
              </w:rPr>
              <w:t>.</w:t>
            </w:r>
          </w:p>
          <w:p w14:paraId="73FFA04B" w14:textId="0E7FF3EC" w:rsidR="00EA6D7C" w:rsidRPr="0078247C" w:rsidRDefault="00DD7479" w:rsidP="00EA6D7C">
            <w:pPr>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gridAfter w:val="1"/>
          <w:wAfter w:w="7" w:type="dxa"/>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w:t>
            </w:r>
            <w:proofErr w:type="spellStart"/>
            <w:r w:rsidRPr="00515FFD">
              <w:rPr>
                <w:kern w:val="2"/>
                <w:szCs w:val="24"/>
              </w:rPr>
              <w:t>Eur</w:t>
            </w:r>
            <w:proofErr w:type="spellEnd"/>
            <w:r w:rsidRPr="00515FFD">
              <w:rPr>
                <w:kern w:val="2"/>
                <w:szCs w:val="24"/>
              </w:rPr>
              <w:t xml:space="preserve">, (nurodyti sumą žodžiais) be pridėtinės vertės mokesčio (toliau – PVM). </w:t>
            </w:r>
          </w:p>
          <w:p w14:paraId="56F2874B" w14:textId="77777777" w:rsidR="00B767F3" w:rsidRPr="00515FFD" w:rsidRDefault="00DD7479">
            <w:pPr>
              <w:rPr>
                <w:kern w:val="2"/>
                <w:szCs w:val="24"/>
              </w:rPr>
            </w:pPr>
            <w:r w:rsidRPr="00515FFD">
              <w:rPr>
                <w:kern w:val="2"/>
                <w:szCs w:val="24"/>
              </w:rPr>
              <w:t xml:space="preserve">Sutarties kaina yra (nurodyti sumą skaičiais) </w:t>
            </w:r>
            <w:proofErr w:type="spellStart"/>
            <w:r w:rsidRPr="00515FFD">
              <w:rPr>
                <w:kern w:val="2"/>
                <w:szCs w:val="24"/>
              </w:rPr>
              <w:t>Eur</w:t>
            </w:r>
            <w:proofErr w:type="spellEnd"/>
            <w:r w:rsidRPr="00515FFD">
              <w:rPr>
                <w:kern w:val="2"/>
                <w:szCs w:val="24"/>
              </w:rPr>
              <w:t xml:space="preserve">, (nurodyti sumą žodžiais) </w:t>
            </w:r>
            <w:proofErr w:type="spellStart"/>
            <w:r w:rsidRPr="00515FFD">
              <w:rPr>
                <w:kern w:val="2"/>
                <w:szCs w:val="24"/>
              </w:rPr>
              <w:t>Eur</w:t>
            </w:r>
            <w:proofErr w:type="spellEnd"/>
            <w:r w:rsidRPr="00515FFD">
              <w:rPr>
                <w:kern w:val="2"/>
                <w:szCs w:val="24"/>
              </w:rPr>
              <w:t xml:space="preserve"> su PVM.</w:t>
            </w:r>
          </w:p>
          <w:p w14:paraId="313D1D71" w14:textId="77777777" w:rsidR="00B767F3" w:rsidRPr="00515FFD" w:rsidRDefault="00DD7479" w:rsidP="00EA6D7C">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515FFD" w:rsidRDefault="00DD7479">
            <w:pPr>
              <w:rPr>
                <w:b/>
                <w:bCs/>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p w14:paraId="65CC9715" w14:textId="77777777" w:rsidR="00B767F3" w:rsidRPr="00515FFD" w:rsidRDefault="00B767F3">
            <w:pPr>
              <w:rPr>
                <w:b/>
                <w:bCs/>
                <w:kern w:val="2"/>
                <w:szCs w:val="24"/>
              </w:rPr>
            </w:pPr>
          </w:p>
          <w:p w14:paraId="74CCE03C" w14:textId="77777777" w:rsidR="00B767F3" w:rsidRPr="00515FF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4590884" w:rsidR="00B767F3" w:rsidRPr="00515FFD" w:rsidRDefault="00B767F3">
            <w:pPr>
              <w:rPr>
                <w:kern w:val="2"/>
              </w:rPr>
            </w:pPr>
          </w:p>
        </w:tc>
      </w:tr>
      <w:tr w:rsidR="00B767F3" w14:paraId="5FAF554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pPr>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073A490" w:rsidR="00B767F3" w:rsidRDefault="00B767F3">
            <w:pPr>
              <w:spacing w:line="259" w:lineRule="auto"/>
              <w:rPr>
                <w:color w:val="000000"/>
                <w:kern w:val="2"/>
                <w:szCs w:val="24"/>
                <w:shd w:val="clear" w:color="auto" w:fill="FFFFFF"/>
              </w:rPr>
            </w:pPr>
          </w:p>
        </w:tc>
      </w:tr>
      <w:tr w:rsidR="00B767F3" w14:paraId="0986FD7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9EFA836" w:rsidR="00B767F3" w:rsidRDefault="00B767F3">
            <w:pPr>
              <w:rPr>
                <w:kern w:val="2"/>
                <w:szCs w:val="24"/>
              </w:rPr>
            </w:pPr>
          </w:p>
        </w:tc>
      </w:tr>
      <w:tr w:rsidR="00B767F3" w14:paraId="397E6A62" w14:textId="77777777" w:rsidTr="005E1AA7">
        <w:trPr>
          <w:gridAfter w:val="1"/>
          <w:wAfter w:w="7" w:type="dxa"/>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3B9D5968" w:rsidR="00A318D2" w:rsidRDefault="00A318D2" w:rsidP="00A318D2">
            <w:pPr>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(jeigu bus gautas balas už pasiūlytą ilgesnį nei privaloma 2</w:t>
            </w:r>
            <w:r>
              <w:rPr>
                <w:color w:val="4472C4" w:themeColor="accent5"/>
                <w:kern w:val="2"/>
                <w:szCs w:val="24"/>
              </w:rPr>
              <w:t>4 mėnesių</w:t>
            </w:r>
            <w:r w:rsidRPr="00A44ACF">
              <w:rPr>
                <w:color w:val="4472C4" w:themeColor="accent5"/>
                <w:kern w:val="2"/>
                <w:szCs w:val="24"/>
              </w:rPr>
              <w:t xml:space="preserve"> garantinį terminą)</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3B639E8A"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(jeigu tiekėjas įsipareigos teikti garantiją tik privalomu 2</w:t>
            </w:r>
            <w:r>
              <w:rPr>
                <w:color w:val="4472C4" w:themeColor="accent5"/>
                <w:kern w:val="2"/>
                <w:szCs w:val="24"/>
              </w:rPr>
              <w:t>4 mėnesių</w:t>
            </w:r>
            <w:r w:rsidRPr="00A44ACF">
              <w:rPr>
                <w:color w:val="4472C4" w:themeColor="accent5"/>
                <w:kern w:val="2"/>
                <w:szCs w:val="24"/>
              </w:rPr>
              <w:t xml:space="preserve"> terminu)</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2E5C0222" w14:textId="77777777" w:rsidR="00A318D2" w:rsidRDefault="00A318D2" w:rsidP="00A318D2">
            <w:pPr>
              <w:rPr>
                <w:kern w:val="2"/>
                <w:szCs w:val="24"/>
              </w:rPr>
            </w:pPr>
          </w:p>
          <w:p w14:paraId="5290D4C5" w14:textId="564EF6B9" w:rsidR="00A318D2" w:rsidRPr="00D1557F" w:rsidRDefault="00A318D2" w:rsidP="00A318D2">
            <w:pPr>
              <w:rPr>
                <w:kern w:val="2"/>
                <w:szCs w:val="24"/>
              </w:rPr>
            </w:pPr>
            <w:r w:rsidRPr="00A318D2">
              <w:rPr>
                <w:kern w:val="2"/>
                <w:szCs w:val="24"/>
              </w:rPr>
              <w:t xml:space="preserve">Garantinis terminas, skaičiuojamas nuo Prekių pristatymo (sumontavimo ir paleidimo dirbti) </w:t>
            </w:r>
            <w:r w:rsidRPr="00A318D2">
              <w:rPr>
                <w:kern w:val="2"/>
                <w:szCs w:val="24"/>
              </w:rPr>
              <w:t xml:space="preserve">ir </w:t>
            </w:r>
            <w:r w:rsidRPr="00A318D2">
              <w:rPr>
                <w:kern w:val="2"/>
                <w:szCs w:val="24"/>
              </w:rPr>
              <w:t>perdavimo–priėmimo akto pasirašymo dienos</w:t>
            </w:r>
          </w:p>
        </w:tc>
      </w:tr>
      <w:tr w:rsidR="00B767F3" w14:paraId="7C487E9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3D1AC5" w:rsidRDefault="00DD7479">
            <w:pPr>
              <w:rPr>
                <w:kern w:val="2"/>
                <w:szCs w:val="24"/>
              </w:rPr>
            </w:pPr>
            <w:r w:rsidRPr="003D1AC5">
              <w:rPr>
                <w:kern w:val="2"/>
                <w:szCs w:val="24"/>
              </w:rPr>
              <w:t>Prekių trūkumų nustatymo bei šalinimo tvarka nustatyta Bendrųjų sąlygų 7 skyriuje.</w:t>
            </w:r>
          </w:p>
        </w:tc>
      </w:tr>
      <w:tr w:rsidR="00B767F3" w14:paraId="459ADC5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253D905" w14:textId="77777777" w:rsidR="005E1AA7" w:rsidRDefault="005E1AA7" w:rsidP="005E1AA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5B95CE6" w14:textId="77777777" w:rsidR="005E1AA7" w:rsidRDefault="005E1AA7" w:rsidP="005E1AA7">
            <w:pPr>
              <w:rPr>
                <w:kern w:val="2"/>
                <w:szCs w:val="24"/>
              </w:rPr>
            </w:pPr>
          </w:p>
          <w:p w14:paraId="232DB35B" w14:textId="77777777" w:rsidR="005E1AA7" w:rsidRDefault="005E1AA7" w:rsidP="005E1AA7">
            <w:pPr>
              <w:rPr>
                <w:color w:val="FF0000"/>
                <w:kern w:val="2"/>
                <w:szCs w:val="24"/>
              </w:rPr>
            </w:pPr>
            <w:r>
              <w:rPr>
                <w:color w:val="FF0000"/>
                <w:kern w:val="2"/>
                <w:szCs w:val="24"/>
              </w:rPr>
              <w:t>arba</w:t>
            </w:r>
          </w:p>
          <w:p w14:paraId="4D580A95" w14:textId="2B466EB2" w:rsidR="00B767F3" w:rsidRPr="00EA6D7C" w:rsidRDefault="005E1AA7" w:rsidP="005E1AA7">
            <w:pPr>
              <w:jc w:val="both"/>
              <w:rPr>
                <w:color w:val="FF0000"/>
                <w:kern w:val="2"/>
                <w:szCs w:val="24"/>
              </w:rPr>
            </w:pPr>
            <w:r w:rsidRPr="003D1AC5">
              <w:rPr>
                <w:color w:val="00B050"/>
                <w:kern w:val="2"/>
                <w:szCs w:val="24"/>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B767F3" w14:paraId="5D562E8D" w14:textId="77777777" w:rsidTr="005E1AA7">
        <w:trPr>
          <w:gridAfter w:val="1"/>
          <w:wAfter w:w="7" w:type="dxa"/>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gridAfter w:val="1"/>
          <w:wAfter w:w="7" w:type="dxa"/>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Default="00DD7479">
            <w:pPr>
              <w:rPr>
                <w:kern w:val="2"/>
                <w:szCs w:val="24"/>
              </w:rPr>
            </w:pPr>
            <w:r>
              <w:rPr>
                <w:kern w:val="2"/>
                <w:szCs w:val="24"/>
              </w:rPr>
              <w:t>Netaikoma</w:t>
            </w:r>
          </w:p>
        </w:tc>
      </w:tr>
      <w:tr w:rsidR="00B767F3" w14:paraId="198AFEE0" w14:textId="77777777" w:rsidTr="005E1AA7">
        <w:trPr>
          <w:gridAfter w:val="1"/>
          <w:wAfter w:w="7" w:type="dxa"/>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BE7B89" w:rsidRDefault="00DD7479" w:rsidP="003D1AC5">
            <w:pPr>
              <w:jc w:val="both"/>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3D1AC5">
            <w:pPr>
              <w:jc w:val="both"/>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 xml:space="preserve">00,00 </w:t>
            </w:r>
            <w:proofErr w:type="spellStart"/>
            <w:r w:rsidR="003E263F" w:rsidRPr="00202125">
              <w:rPr>
                <w:color w:val="333333"/>
                <w:sz w:val="21"/>
                <w:szCs w:val="21"/>
              </w:rPr>
              <w:t>Eur</w:t>
            </w:r>
            <w:proofErr w:type="spellEnd"/>
            <w:r w:rsidR="003E263F" w:rsidRPr="00202125">
              <w:rPr>
                <w:color w:val="333333"/>
                <w:sz w:val="21"/>
                <w:szCs w:val="21"/>
              </w:rPr>
              <w:t xml:space="preserve">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gridAfter w:val="1"/>
          <w:wAfter w:w="7" w:type="dxa"/>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095989" w:rsidRPr="00095989" w14:paraId="4D59E15A" w14:textId="77777777" w:rsidTr="005E1AA7">
        <w:trPr>
          <w:gridAfter w:val="1"/>
          <w:wAfter w:w="7" w:type="dxa"/>
          <w:trHeight w:val="300"/>
        </w:trPr>
        <w:tc>
          <w:tcPr>
            <w:tcW w:w="3114" w:type="dxa"/>
            <w:gridSpan w:val="2"/>
          </w:tcPr>
          <w:p w14:paraId="345EFFE5" w14:textId="77777777" w:rsidR="005E1AA7" w:rsidRPr="00095989" w:rsidRDefault="005E1AA7" w:rsidP="005E1AA7">
            <w:pPr>
              <w:rPr>
                <w:b/>
                <w:bCs/>
                <w:kern w:val="2"/>
              </w:rPr>
            </w:pPr>
            <w:r w:rsidRPr="00095989">
              <w:rPr>
                <w:b/>
                <w:bCs/>
              </w:rPr>
              <w:t>10.1. Esminės Sutarties sąlygos</w:t>
            </w:r>
          </w:p>
        </w:tc>
        <w:tc>
          <w:tcPr>
            <w:tcW w:w="6828" w:type="dxa"/>
            <w:gridSpan w:val="2"/>
            <w:shd w:val="clear" w:color="auto" w:fill="auto"/>
          </w:tcPr>
          <w:p w14:paraId="227FA1B3" w14:textId="21C712BC" w:rsidR="005E1AA7" w:rsidRPr="003D1AC5" w:rsidRDefault="005E1AA7" w:rsidP="005E1AA7">
            <w:pPr>
              <w:rPr>
                <w:kern w:val="2"/>
                <w:szCs w:val="24"/>
              </w:rPr>
            </w:pPr>
            <w:r w:rsidRPr="003D1AC5">
              <w:rPr>
                <w:kern w:val="2"/>
                <w:szCs w:val="24"/>
              </w:rPr>
              <w:t>10.1.1. jeigu Tiekėjas nevykdo prisiimtų įsipareigojimų už Sutartyje nustatytą Sutarties kainą;</w:t>
            </w:r>
          </w:p>
          <w:p w14:paraId="486311A5" w14:textId="1D43C94A" w:rsidR="005E1AA7" w:rsidRPr="003D1AC5" w:rsidRDefault="005E1AA7" w:rsidP="005E1AA7">
            <w:pPr>
              <w:jc w:val="both"/>
              <w:rPr>
                <w:kern w:val="2"/>
                <w:szCs w:val="24"/>
              </w:rPr>
            </w:pPr>
            <w:r w:rsidRPr="003D1AC5">
              <w:rPr>
                <w:szCs w:val="24"/>
              </w:rPr>
              <w:t xml:space="preserve">10.1.2. </w:t>
            </w:r>
            <w:r w:rsidRPr="003D1AC5">
              <w:rPr>
                <w:szCs w:val="24"/>
              </w:rPr>
              <w:t>Prekių pristatymo, sumontavimo, paruošimo darbui ir apmokymo termino laikymasis</w:t>
            </w:r>
            <w:r w:rsidR="00095989" w:rsidRPr="003D1AC5">
              <w:rPr>
                <w:szCs w:val="24"/>
              </w:rPr>
              <w:t>;</w:t>
            </w:r>
          </w:p>
          <w:p w14:paraId="3657475F" w14:textId="4C8DD73A" w:rsidR="005E1AA7" w:rsidRPr="003D1AC5" w:rsidRDefault="005E1AA7" w:rsidP="005E1AA7">
            <w:pPr>
              <w:tabs>
                <w:tab w:val="left" w:pos="567"/>
                <w:tab w:val="left" w:pos="851"/>
                <w:tab w:val="left" w:pos="992"/>
                <w:tab w:val="left" w:pos="1134"/>
              </w:tabs>
              <w:spacing w:line="257" w:lineRule="auto"/>
              <w:jc w:val="both"/>
              <w:rPr>
                <w:rFonts w:eastAsia="Arial"/>
                <w:kern w:val="2"/>
                <w:szCs w:val="24"/>
                <w:lang w:val="lt"/>
              </w:rPr>
            </w:pPr>
            <w:r w:rsidRPr="003D1AC5">
              <w:rPr>
                <w:kern w:val="2"/>
                <w:szCs w:val="24"/>
              </w:rPr>
              <w:t>10.</w:t>
            </w:r>
            <w:r w:rsidR="00095989" w:rsidRPr="003D1AC5">
              <w:rPr>
                <w:kern w:val="2"/>
                <w:szCs w:val="24"/>
              </w:rPr>
              <w:t>1.</w:t>
            </w:r>
            <w:r w:rsidRPr="003D1AC5">
              <w:rPr>
                <w:kern w:val="2"/>
                <w:szCs w:val="24"/>
              </w:rPr>
              <w:t>3. Tiekėjo įsipareigojimai, kurie pasiūlymų vertinimo metu pirkimo dokumentuose buvo nustatyti kaip pasiūlymų vertinimo kriterijai ir už kuriuos Tiekėjui buvo skiriamos reikšmės, kai pasiūlymas vertintas pagal kainos / sąnaudų ir kokybės santykį.</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10.2. Dideli arba nuolatiniai esminės Sutarties sąlygos vykdymo trūkumai</w:t>
            </w:r>
          </w:p>
        </w:tc>
        <w:tc>
          <w:tcPr>
            <w:tcW w:w="6835" w:type="dxa"/>
            <w:gridSpan w:val="3"/>
            <w:shd w:val="clear" w:color="auto" w:fill="auto"/>
          </w:tcPr>
          <w:p w14:paraId="27FF7C68" w14:textId="32130DD7" w:rsidR="005E1AA7" w:rsidRPr="003D1AC5" w:rsidRDefault="00095989" w:rsidP="00095989">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5E1AA7" w14:paraId="70836C3F" w14:textId="77777777" w:rsidTr="005E1AA7">
        <w:trPr>
          <w:gridAfter w:val="1"/>
          <w:wAfter w:w="7" w:type="dxa"/>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t>11. SUTARTIES GALIOJIMAS IR KEITIMAS</w:t>
            </w:r>
          </w:p>
        </w:tc>
      </w:tr>
      <w:tr w:rsidR="005E1AA7" w14:paraId="1E6FEC1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5E1AA7" w:rsidRPr="003D1AC5" w:rsidRDefault="005E1AA7" w:rsidP="005E1AA7">
            <w:pPr>
              <w:rPr>
                <w:kern w:val="2"/>
                <w:szCs w:val="24"/>
              </w:rPr>
            </w:pPr>
            <w:r w:rsidRPr="003D1AC5">
              <w:rPr>
                <w:kern w:val="2"/>
                <w:szCs w:val="24"/>
              </w:rPr>
              <w:t>Ši Sutartis laikoma sudaryta ir įsigalioja nuo Sutarties pasirašymo dienos (antrosios Šalies pasirašymo dieną).</w:t>
            </w:r>
          </w:p>
          <w:p w14:paraId="0DC01EF2" w14:textId="5E981A09" w:rsidR="005E1AA7" w:rsidRPr="003D1AC5" w:rsidRDefault="005E1AA7" w:rsidP="005E1AA7">
            <w:pPr>
              <w:jc w:val="both"/>
              <w:rPr>
                <w:kern w:val="2"/>
                <w:szCs w:val="24"/>
              </w:rPr>
            </w:pPr>
            <w:r w:rsidRPr="003D1AC5">
              <w:rPr>
                <w:kern w:val="2"/>
                <w:szCs w:val="24"/>
              </w:rPr>
              <w:t>Sutartis galioja iki visiško prievolių įvykdymo (kol bus išnaudota Pradinės Sutarties vertė, bet jos terminas negali būti ilgesnis kaip 6 (šešis) mėnesius (įeina Prekių priėmimas  ir apmokėjimas už Prekes).</w:t>
            </w:r>
          </w:p>
        </w:tc>
      </w:tr>
      <w:tr w:rsidR="005E1AA7" w14:paraId="6568EF2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gridAfter w:val="1"/>
          <w:wAfter w:w="7" w:type="dxa"/>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gridAfter w:val="1"/>
          <w:wAfter w:w="7" w:type="dxa"/>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1AC5" w14:paraId="69CB11D9" w14:textId="77777777" w:rsidTr="005E1AA7">
        <w:trPr>
          <w:gridAfter w:val="1"/>
          <w:wAfter w:w="7" w:type="dxa"/>
          <w:trHeight w:val="300"/>
        </w:trPr>
        <w:tc>
          <w:tcPr>
            <w:tcW w:w="2532" w:type="dxa"/>
            <w:shd w:val="clear" w:color="auto" w:fill="auto"/>
          </w:tcPr>
          <w:p w14:paraId="00FA8681" w14:textId="77777777" w:rsidR="003D1AC5" w:rsidRPr="003D1AC5" w:rsidRDefault="003D1AC5" w:rsidP="003D1AC5">
            <w:pPr>
              <w:rPr>
                <w:b/>
                <w:bCs/>
                <w:kern w:val="2"/>
                <w:szCs w:val="24"/>
              </w:rPr>
            </w:pPr>
            <w:r w:rsidRPr="003D1AC5">
              <w:rPr>
                <w:b/>
                <w:bCs/>
                <w:kern w:val="2"/>
                <w:szCs w:val="24"/>
              </w:rPr>
              <w:t>12.2. Esminiai Sutarties pažeidimai</w:t>
            </w:r>
          </w:p>
          <w:p w14:paraId="08CC1A68" w14:textId="77777777" w:rsidR="003D1AC5" w:rsidRPr="003D1AC5" w:rsidRDefault="003D1AC5" w:rsidP="003D1AC5">
            <w:pPr>
              <w:rPr>
                <w:b/>
                <w:bCs/>
                <w:kern w:val="2"/>
                <w:szCs w:val="24"/>
              </w:rPr>
            </w:pPr>
          </w:p>
        </w:tc>
        <w:tc>
          <w:tcPr>
            <w:tcW w:w="7410" w:type="dxa"/>
            <w:gridSpan w:val="3"/>
            <w:shd w:val="clear" w:color="auto" w:fill="auto"/>
          </w:tcPr>
          <w:p w14:paraId="6C8AC263" w14:textId="77777777" w:rsidR="003D1AC5" w:rsidRPr="003D1AC5" w:rsidRDefault="003D1AC5" w:rsidP="003D1AC5">
            <w:pPr>
              <w:jc w:val="both"/>
              <w:rPr>
                <w:kern w:val="2"/>
                <w:szCs w:val="24"/>
              </w:rPr>
            </w:pPr>
            <w:r w:rsidRPr="003D1AC5">
              <w:rPr>
                <w:kern w:val="2"/>
                <w:szCs w:val="24"/>
              </w:rPr>
              <w:t>12.2.1. jeigu Tiekėjas nevykdo prisiimtų įsipareigojimų už Sutartyje nustatytą Sutarties kainą;</w:t>
            </w:r>
          </w:p>
          <w:p w14:paraId="22503455" w14:textId="77777777" w:rsidR="003D1AC5" w:rsidRPr="003D1AC5" w:rsidRDefault="003D1AC5" w:rsidP="003D1AC5">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79F4735F" w14:textId="77777777"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31FB0331"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gridAfter w:val="1"/>
          <w:wAfter w:w="7" w:type="dxa"/>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gridAfter w:val="1"/>
          <w:wAfter w:w="7" w:type="dxa"/>
          <w:trHeight w:val="300"/>
        </w:trPr>
        <w:tc>
          <w:tcPr>
            <w:tcW w:w="2532" w:type="dxa"/>
          </w:tcPr>
          <w:p w14:paraId="5445B64C" w14:textId="697F081D" w:rsidR="00FE0209" w:rsidRPr="00FE0209" w:rsidRDefault="00FE0209" w:rsidP="00FE0209">
            <w:pPr>
              <w:rPr>
                <w:b/>
                <w:bCs/>
                <w:kern w:val="2"/>
                <w:szCs w:val="24"/>
              </w:rPr>
            </w:pPr>
            <w:bookmarkStart w:id="0" w:name="_GoBack" w:colFirst="0" w:colLast="1"/>
            <w:r w:rsidRPr="00FE0209">
              <w:rPr>
                <w:b/>
                <w:bCs/>
                <w:kern w:val="2"/>
                <w:szCs w:val="24"/>
              </w:rPr>
              <w:t>13.1. Aplinkosauginių kriterijų nustatymo teisinis pagrindas</w:t>
            </w:r>
          </w:p>
        </w:tc>
        <w:tc>
          <w:tcPr>
            <w:tcW w:w="7410" w:type="dxa"/>
            <w:gridSpan w:val="3"/>
            <w:shd w:val="clear" w:color="auto" w:fill="auto"/>
          </w:tcPr>
          <w:p w14:paraId="178D76F5" w14:textId="77777777" w:rsidR="00FE0209" w:rsidRPr="00FE0209" w:rsidRDefault="00FE0209" w:rsidP="00FE0209">
            <w:pPr>
              <w:rPr>
                <w:kern w:val="2"/>
                <w:szCs w:val="24"/>
              </w:rPr>
            </w:pPr>
            <w:r w:rsidRPr="00FE0209">
              <w:rPr>
                <w:kern w:val="2"/>
                <w:szCs w:val="24"/>
                <w:shd w:val="clear" w:color="auto" w:fill="FFFFFF"/>
              </w:rPr>
              <w:t xml:space="preserve">Aplinkosauginiai kriterijai Prekėms nustatomi vadovaujantis </w:t>
            </w:r>
            <w:r w:rsidRPr="00FE0209">
              <w:rPr>
                <w:kern w:val="2"/>
                <w:szCs w:val="24"/>
              </w:rPr>
              <w:t>Aplinkos apsaugos kriterijų taikymo, vykdant žaliuosius pirkimus, tvarkos aprašo, patvirtinto Lietuvos Respublikos aplinkos ministro 2011 m. birželio 28 d. įsakymu Nr. D1-508</w:t>
            </w:r>
            <w:r w:rsidRPr="00FE0209">
              <w:rPr>
                <w:kern w:val="2"/>
                <w:szCs w:val="24"/>
                <w:shd w:val="clear" w:color="auto" w:fill="FFFFFF"/>
              </w:rPr>
              <w:t> „Dėl Aplinkos apsaugos kriterijų taikymo, vykdant žaliuosius pirkimus, tvarkos aprašo patvirtinimo“ (toliau – Tvarkos aprašas) 4.4.4.2. ir 4.4.4.3. papunkčiu (-</w:t>
            </w:r>
            <w:proofErr w:type="spellStart"/>
            <w:r w:rsidRPr="00FE0209">
              <w:rPr>
                <w:kern w:val="2"/>
                <w:szCs w:val="24"/>
                <w:shd w:val="clear" w:color="auto" w:fill="FFFFFF"/>
              </w:rPr>
              <w:t>iais</w:t>
            </w:r>
            <w:proofErr w:type="spellEnd"/>
            <w:r w:rsidRPr="00FE0209">
              <w:rPr>
                <w:kern w:val="2"/>
                <w:szCs w:val="24"/>
                <w:shd w:val="clear" w:color="auto" w:fill="FFFFFF"/>
              </w:rPr>
              <w:t>).</w:t>
            </w:r>
            <w:r w:rsidRPr="00FE0209">
              <w:rPr>
                <w:kern w:val="2"/>
                <w:szCs w:val="24"/>
              </w:rPr>
              <w:t> </w:t>
            </w:r>
          </w:p>
          <w:p w14:paraId="29195A04" w14:textId="77777777" w:rsidR="00FE0209" w:rsidRPr="00FE0209" w:rsidRDefault="00FE0209" w:rsidP="00FE0209">
            <w:pPr>
              <w:rPr>
                <w:shd w:val="clear" w:color="auto" w:fill="FFFFFF"/>
              </w:rPr>
            </w:pPr>
            <w:r w:rsidRPr="00FE0209">
              <w:rPr>
                <w:kern w:val="2"/>
                <w:szCs w:val="24"/>
              </w:rPr>
              <w:t xml:space="preserve">13.1.1. </w:t>
            </w:r>
            <w:r w:rsidRPr="00FE020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E0209">
              <w:rPr>
                <w:kern w:val="2"/>
                <w:shd w:val="clear" w:color="auto" w:fill="FFFFFF"/>
              </w:rPr>
              <w:t>perdirbamumą</w:t>
            </w:r>
            <w:proofErr w:type="spellEnd"/>
            <w:r w:rsidRPr="00FE0209">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FE0209">
              <w:rPr>
                <w:kern w:val="2"/>
                <w:shd w:val="clear" w:color="auto" w:fill="FFFFFF"/>
              </w:rPr>
              <w:t>įrodymus</w:t>
            </w:r>
            <w:proofErr w:type="spellEnd"/>
            <w:r w:rsidRPr="00FE0209">
              <w:rPr>
                <w:kern w:val="2"/>
                <w:shd w:val="clear" w:color="auto" w:fill="FFFFFF"/>
              </w:rPr>
              <w:t xml:space="preserve">). Už Prekių priėmimą atsakingas Pirkėjo atstovas, nurodytas šios Sutarties 2.1 punkte patikrina Tiekėjo pateiktus </w:t>
            </w:r>
            <w:proofErr w:type="spellStart"/>
            <w:r w:rsidRPr="00FE0209">
              <w:rPr>
                <w:kern w:val="2"/>
                <w:shd w:val="clear" w:color="auto" w:fill="FFFFFF"/>
              </w:rPr>
              <w:t>įrodymus</w:t>
            </w:r>
            <w:proofErr w:type="spellEnd"/>
            <w:r w:rsidRPr="00FE0209">
              <w:rPr>
                <w:kern w:val="2"/>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FE0209">
              <w:rPr>
                <w:kern w:val="2"/>
              </w:rPr>
              <w:t>, kuriuos Tiekėjas privalo ištaisyti, kitu atveju Tiekėjui taikoma Specialiųjų sąlygų 9.5 punkte nurodyto dydžio bauda</w:t>
            </w:r>
            <w:r w:rsidRPr="00FE0209">
              <w:rPr>
                <w:kern w:val="2"/>
                <w:shd w:val="clear" w:color="auto" w:fill="FFFFFF"/>
              </w:rPr>
              <w:t>. </w:t>
            </w:r>
            <w:r w:rsidRPr="00FE0209">
              <w:rPr>
                <w:kern w:val="2"/>
              </w:rPr>
              <w:t xml:space="preserve"> </w:t>
            </w:r>
          </w:p>
          <w:p w14:paraId="4B6631DF" w14:textId="0B4AF573" w:rsidR="00FE0209" w:rsidRPr="00FE0209" w:rsidRDefault="00FE0209" w:rsidP="00FE0209">
            <w:pPr>
              <w:rPr>
                <w:sz w:val="21"/>
                <w:szCs w:val="21"/>
                <w:lang w:eastAsia="en-GB"/>
              </w:rPr>
            </w:pPr>
            <w:r w:rsidRPr="00FE0209">
              <w:rPr>
                <w:kern w:val="2"/>
                <w:szCs w:val="24"/>
              </w:rPr>
              <w:t>13.1.2.</w:t>
            </w:r>
            <w:r w:rsidRPr="00FE0209">
              <w:rPr>
                <w:kern w:val="2"/>
                <w:szCs w:val="24"/>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bookmarkEnd w:id="0"/>
      <w:tr w:rsidR="005E1AA7" w14:paraId="032072CC" w14:textId="77777777" w:rsidTr="005E1AA7">
        <w:trPr>
          <w:gridAfter w:val="1"/>
          <w:wAfter w:w="7" w:type="dxa"/>
          <w:trHeight w:val="300"/>
        </w:trPr>
        <w:tc>
          <w:tcPr>
            <w:tcW w:w="2532" w:type="dxa"/>
          </w:tcPr>
          <w:p w14:paraId="0C0ADA8E" w14:textId="77777777" w:rsidR="005E1AA7" w:rsidRDefault="005E1AA7" w:rsidP="005E1AA7">
            <w:pPr>
              <w:rPr>
                <w:b/>
                <w:bCs/>
                <w:kern w:val="2"/>
                <w:szCs w:val="24"/>
              </w:rPr>
            </w:pPr>
            <w:r>
              <w:rPr>
                <w:b/>
                <w:bCs/>
                <w:kern w:val="2"/>
                <w:szCs w:val="24"/>
              </w:rPr>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gridAfter w:val="1"/>
          <w:wAfter w:w="7" w:type="dxa"/>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6259D831" w14:textId="77777777" w:rsidTr="005E1AA7">
        <w:trPr>
          <w:gridAfter w:val="1"/>
          <w:wAfter w:w="7" w:type="dxa"/>
          <w:trHeight w:val="300"/>
        </w:trPr>
        <w:tc>
          <w:tcPr>
            <w:tcW w:w="2532" w:type="dxa"/>
          </w:tcPr>
          <w:p w14:paraId="43927719" w14:textId="77777777" w:rsidR="005E1AA7" w:rsidRDefault="005E1AA7" w:rsidP="005E1AA7">
            <w:pPr>
              <w:rPr>
                <w:b/>
                <w:bCs/>
                <w:kern w:val="2"/>
                <w:szCs w:val="24"/>
              </w:rPr>
            </w:pPr>
            <w:r>
              <w:rPr>
                <w:b/>
                <w:bCs/>
                <w:kern w:val="2"/>
                <w:szCs w:val="24"/>
              </w:rPr>
              <w:t xml:space="preserve">14.1. </w:t>
            </w:r>
          </w:p>
        </w:tc>
        <w:tc>
          <w:tcPr>
            <w:tcW w:w="7410" w:type="dxa"/>
            <w:gridSpan w:val="3"/>
          </w:tcPr>
          <w:p w14:paraId="64EFDE2F" w14:textId="77777777" w:rsidR="005E1AA7" w:rsidRPr="00C41BC1" w:rsidRDefault="005E1AA7" w:rsidP="005E1AA7">
            <w:pPr>
              <w:rPr>
                <w:strike/>
                <w:color w:val="4472C4"/>
                <w:kern w:val="2"/>
                <w:szCs w:val="24"/>
              </w:rPr>
            </w:pPr>
            <w:r w:rsidRPr="00C41BC1">
              <w:rPr>
                <w:strike/>
                <w:color w:val="4472C4"/>
                <w:kern w:val="2"/>
                <w:szCs w:val="24"/>
              </w:rPr>
              <w:t>(pildyti jei keičiamas Sutarties Bendrųjų sąlygų punktas, jį išdėstant nauja redakcija):</w:t>
            </w:r>
          </w:p>
          <w:p w14:paraId="612BA4B0" w14:textId="77777777" w:rsidR="005E1AA7" w:rsidRPr="00C41BC1" w:rsidRDefault="005E1AA7" w:rsidP="005E1AA7">
            <w:pPr>
              <w:rPr>
                <w:strike/>
                <w:kern w:val="2"/>
                <w:szCs w:val="24"/>
              </w:rPr>
            </w:pPr>
            <w:r w:rsidRPr="00C41BC1">
              <w:rPr>
                <w:strike/>
                <w:kern w:val="2"/>
                <w:szCs w:val="24"/>
              </w:rPr>
              <w:t>Šalys susitaria pakeisti nurodytą Sutarties Bendrųjų sąlygų punktą ir išdėstyti jį nauja redakcija: ____.</w:t>
            </w:r>
          </w:p>
        </w:tc>
      </w:tr>
      <w:tr w:rsidR="005E1AA7" w14:paraId="6B254F73" w14:textId="77777777" w:rsidTr="005E1AA7">
        <w:trPr>
          <w:gridAfter w:val="1"/>
          <w:wAfter w:w="7" w:type="dxa"/>
          <w:trHeight w:val="300"/>
        </w:trPr>
        <w:tc>
          <w:tcPr>
            <w:tcW w:w="2532" w:type="dxa"/>
          </w:tcPr>
          <w:p w14:paraId="2BC7AAFD" w14:textId="77777777" w:rsidR="005E1AA7" w:rsidRDefault="005E1AA7" w:rsidP="005E1AA7">
            <w:pPr>
              <w:rPr>
                <w:b/>
                <w:bCs/>
                <w:kern w:val="2"/>
                <w:szCs w:val="24"/>
              </w:rPr>
            </w:pPr>
            <w:r>
              <w:rPr>
                <w:b/>
                <w:bCs/>
                <w:kern w:val="2"/>
                <w:szCs w:val="24"/>
              </w:rPr>
              <w:t>14.2.</w:t>
            </w:r>
          </w:p>
        </w:tc>
        <w:tc>
          <w:tcPr>
            <w:tcW w:w="7410" w:type="dxa"/>
            <w:gridSpan w:val="3"/>
          </w:tcPr>
          <w:p w14:paraId="25F787ED" w14:textId="77777777" w:rsidR="005E1AA7" w:rsidRPr="00C41BC1" w:rsidRDefault="005E1AA7" w:rsidP="005E1AA7">
            <w:pPr>
              <w:rPr>
                <w:strike/>
                <w:color w:val="4472C4"/>
                <w:kern w:val="2"/>
                <w:szCs w:val="24"/>
              </w:rPr>
            </w:pPr>
            <w:r w:rsidRPr="00C41BC1">
              <w:rPr>
                <w:strike/>
                <w:color w:val="4472C4"/>
                <w:kern w:val="2"/>
                <w:szCs w:val="24"/>
              </w:rPr>
              <w:t>(pildyti jei papildomos Sutarties Bendrosios sąlygos naujomis nuostatomis):</w:t>
            </w:r>
          </w:p>
          <w:p w14:paraId="242644AC" w14:textId="77777777" w:rsidR="005E1AA7" w:rsidRPr="00C41BC1" w:rsidRDefault="005E1AA7" w:rsidP="005E1AA7">
            <w:pPr>
              <w:rPr>
                <w:strike/>
                <w:kern w:val="2"/>
                <w:szCs w:val="24"/>
              </w:rPr>
            </w:pPr>
            <w:r w:rsidRPr="00C41BC1">
              <w:rPr>
                <w:strike/>
                <w:kern w:val="2"/>
                <w:szCs w:val="24"/>
              </w:rPr>
              <w:t>Šalys susitaria papildyti Sutarties Bendrąsias sąlygas nurodytu punktu, tačiau kitų punktų numeracijos nekeisti: ________.</w:t>
            </w:r>
          </w:p>
        </w:tc>
      </w:tr>
      <w:tr w:rsidR="005E1AA7" w14:paraId="5A0B465D" w14:textId="77777777" w:rsidTr="005E1AA7">
        <w:trPr>
          <w:gridAfter w:val="1"/>
          <w:wAfter w:w="7" w:type="dxa"/>
          <w:trHeight w:val="300"/>
        </w:trPr>
        <w:tc>
          <w:tcPr>
            <w:tcW w:w="2532" w:type="dxa"/>
          </w:tcPr>
          <w:p w14:paraId="1165EE3C" w14:textId="77777777" w:rsidR="005E1AA7" w:rsidRDefault="005E1AA7" w:rsidP="005E1AA7">
            <w:pPr>
              <w:rPr>
                <w:b/>
                <w:bCs/>
                <w:kern w:val="2"/>
                <w:szCs w:val="24"/>
              </w:rPr>
            </w:pPr>
            <w:r>
              <w:rPr>
                <w:b/>
                <w:bCs/>
                <w:kern w:val="2"/>
                <w:szCs w:val="24"/>
              </w:rPr>
              <w:t>14.3.</w:t>
            </w:r>
          </w:p>
        </w:tc>
        <w:tc>
          <w:tcPr>
            <w:tcW w:w="7410" w:type="dxa"/>
            <w:gridSpan w:val="3"/>
          </w:tcPr>
          <w:p w14:paraId="0E71263A" w14:textId="77777777" w:rsidR="005E1AA7" w:rsidRPr="00C41BC1" w:rsidRDefault="005E1AA7" w:rsidP="005E1AA7">
            <w:pPr>
              <w:rPr>
                <w:strike/>
                <w:color w:val="4472C4"/>
                <w:kern w:val="2"/>
                <w:szCs w:val="24"/>
              </w:rPr>
            </w:pPr>
            <w:r w:rsidRPr="00C41BC1">
              <w:rPr>
                <w:strike/>
                <w:color w:val="4472C4"/>
                <w:kern w:val="2"/>
                <w:szCs w:val="24"/>
              </w:rPr>
              <w:t>(pildyti jei išbraukiamas Sutarties Bendrųjų sąlygų atitinkamas punktas:</w:t>
            </w:r>
          </w:p>
          <w:p w14:paraId="25D43BEA" w14:textId="77777777" w:rsidR="005E1AA7" w:rsidRPr="00C41BC1" w:rsidRDefault="005E1AA7" w:rsidP="005E1AA7">
            <w:pPr>
              <w:rPr>
                <w:strike/>
                <w:kern w:val="2"/>
                <w:szCs w:val="24"/>
              </w:rPr>
            </w:pPr>
            <w:r w:rsidRPr="00C41BC1">
              <w:rPr>
                <w:strike/>
                <w:kern w:val="2"/>
                <w:szCs w:val="24"/>
              </w:rPr>
              <w:t>Šalys susitaria išbraukti nurodytą Sutarties Bendrųjų sąlygų punktą, tačiau kitų punktų numeracijos nekeisti: _____.</w:t>
            </w:r>
          </w:p>
        </w:tc>
      </w:tr>
      <w:tr w:rsidR="005E1AA7" w14:paraId="79071BC9" w14:textId="77777777" w:rsidTr="005E1AA7">
        <w:trPr>
          <w:gridAfter w:val="1"/>
          <w:wAfter w:w="7" w:type="dxa"/>
          <w:trHeight w:val="300"/>
        </w:trPr>
        <w:tc>
          <w:tcPr>
            <w:tcW w:w="2532" w:type="dxa"/>
          </w:tcPr>
          <w:p w14:paraId="7D974D20" w14:textId="77777777" w:rsidR="005E1AA7" w:rsidRDefault="005E1AA7" w:rsidP="005E1AA7">
            <w:pPr>
              <w:rPr>
                <w:b/>
                <w:bCs/>
                <w:kern w:val="2"/>
                <w:szCs w:val="24"/>
              </w:rPr>
            </w:pPr>
            <w:r>
              <w:rPr>
                <w:b/>
                <w:bCs/>
                <w:kern w:val="2"/>
                <w:szCs w:val="24"/>
              </w:rPr>
              <w:t>14.4.</w:t>
            </w:r>
          </w:p>
        </w:tc>
        <w:tc>
          <w:tcPr>
            <w:tcW w:w="7410" w:type="dxa"/>
            <w:gridSpan w:val="3"/>
          </w:tcPr>
          <w:p w14:paraId="3076C1AE" w14:textId="77777777" w:rsidR="005E1AA7" w:rsidRPr="00C41BC1" w:rsidRDefault="005E1AA7" w:rsidP="005E1AA7">
            <w:pPr>
              <w:rPr>
                <w:strike/>
                <w:color w:val="4472C4"/>
                <w:kern w:val="2"/>
                <w:szCs w:val="24"/>
              </w:rPr>
            </w:pPr>
            <w:r w:rsidRPr="00C41BC1">
              <w:rPr>
                <w:strike/>
                <w:color w:val="4472C4"/>
                <w:kern w:val="2"/>
                <w:szCs w:val="24"/>
              </w:rPr>
              <w:t>(pildyti jei nustatomos kitokios nei Sutarties Bendrosiose sąlygose nustatytos nuostatos dėl Prekių intelektinės nuosavybės):</w:t>
            </w:r>
          </w:p>
          <w:p w14:paraId="56F11031" w14:textId="77777777" w:rsidR="005E1AA7" w:rsidRPr="00C41BC1" w:rsidRDefault="005E1AA7" w:rsidP="005E1AA7">
            <w:pPr>
              <w:rPr>
                <w:strike/>
                <w:color w:val="0070C0"/>
                <w:kern w:val="2"/>
                <w:szCs w:val="24"/>
              </w:rPr>
            </w:pPr>
          </w:p>
        </w:tc>
      </w:tr>
      <w:tr w:rsidR="005E1AA7" w14:paraId="35D09A71" w14:textId="77777777" w:rsidTr="005E1AA7">
        <w:trPr>
          <w:gridAfter w:val="1"/>
          <w:wAfter w:w="7" w:type="dxa"/>
          <w:trHeight w:val="300"/>
        </w:trPr>
        <w:tc>
          <w:tcPr>
            <w:tcW w:w="2532" w:type="dxa"/>
          </w:tcPr>
          <w:p w14:paraId="20C1F51E" w14:textId="77777777" w:rsidR="005E1AA7" w:rsidRDefault="005E1AA7" w:rsidP="005E1AA7">
            <w:pPr>
              <w:rPr>
                <w:b/>
                <w:bCs/>
                <w:kern w:val="2"/>
                <w:szCs w:val="24"/>
              </w:rPr>
            </w:pPr>
            <w:r>
              <w:rPr>
                <w:b/>
                <w:bCs/>
                <w:kern w:val="2"/>
                <w:szCs w:val="24"/>
              </w:rPr>
              <w:t>14.5.</w:t>
            </w:r>
          </w:p>
        </w:tc>
        <w:tc>
          <w:tcPr>
            <w:tcW w:w="7410" w:type="dxa"/>
            <w:gridSpan w:val="3"/>
          </w:tcPr>
          <w:p w14:paraId="4BE5468E" w14:textId="77777777" w:rsidR="005E1AA7" w:rsidRPr="00C41BC1" w:rsidRDefault="005E1AA7" w:rsidP="005E1AA7">
            <w:pPr>
              <w:rPr>
                <w:strike/>
                <w:kern w:val="2"/>
                <w:szCs w:val="24"/>
              </w:rPr>
            </w:pPr>
            <w:r w:rsidRPr="00C41BC1">
              <w:rPr>
                <w:strike/>
                <w:kern w:val="2"/>
                <w:szCs w:val="24"/>
              </w:rPr>
              <w:t>Sutarties Bendrosiose sąlygose nurodytos alternatyvios nuostatos (su prierašu „jei taikoma“ ir pan.) taikomos tik tokiu atveju, jeigu jos konkrečiai aprašomos Sutarties Specialiosiose sąlygose.</w:t>
            </w:r>
          </w:p>
        </w:tc>
      </w:tr>
      <w:tr w:rsidR="005E1AA7" w14:paraId="063A7063" w14:textId="77777777" w:rsidTr="005E1AA7">
        <w:trPr>
          <w:gridAfter w:val="1"/>
          <w:wAfter w:w="7" w:type="dxa"/>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gridAfter w:val="1"/>
          <w:wAfter w:w="7" w:type="dxa"/>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73879C6F" w:rsidR="005E1AA7" w:rsidRDefault="005E1AA7" w:rsidP="005E1AA7">
            <w:pPr>
              <w:jc w:val="center"/>
              <w:rPr>
                <w:b/>
                <w:bCs/>
                <w:kern w:val="2"/>
                <w:szCs w:val="24"/>
              </w:rPr>
            </w:pPr>
            <w:r>
              <w:rPr>
                <w:b/>
                <w:bCs/>
                <w:kern w:val="2"/>
                <w:szCs w:val="24"/>
              </w:rPr>
              <w:t xml:space="preserve">Techninė specifikacija </w:t>
            </w:r>
          </w:p>
        </w:tc>
      </w:tr>
      <w:tr w:rsidR="005E1AA7" w14:paraId="4C75E455" w14:textId="77777777" w:rsidTr="005E1AA7">
        <w:trPr>
          <w:gridAfter w:val="1"/>
          <w:wAfter w:w="7" w:type="dxa"/>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5E1AA7">
            <w:pPr>
              <w:jc w:val="center"/>
              <w:rPr>
                <w:b/>
                <w:bCs/>
                <w:kern w:val="2"/>
                <w:szCs w:val="24"/>
              </w:rPr>
            </w:pPr>
            <w:r>
              <w:rPr>
                <w:b/>
                <w:bCs/>
                <w:kern w:val="2"/>
                <w:szCs w:val="24"/>
              </w:rPr>
              <w:t xml:space="preserve">Pasiūlymas </w:t>
            </w:r>
          </w:p>
        </w:tc>
      </w:tr>
      <w:tr w:rsidR="005E1AA7" w14:paraId="29AA4422" w14:textId="77777777" w:rsidTr="005E1AA7">
        <w:trPr>
          <w:gridAfter w:val="1"/>
          <w:wAfter w:w="7" w:type="dxa"/>
        </w:trPr>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3FA2CDA" w14:textId="77777777" w:rsidR="005E1AA7" w:rsidRDefault="005E1AA7" w:rsidP="005E1AA7">
            <w:pPr>
              <w:jc w:val="center"/>
              <w:rPr>
                <w:b/>
                <w:bCs/>
                <w:color w:val="4472C4"/>
                <w:kern w:val="2"/>
                <w:szCs w:val="24"/>
              </w:rPr>
            </w:pPr>
          </w:p>
          <w:p w14:paraId="5F978D19" w14:textId="77777777" w:rsidR="005E1AA7" w:rsidRDefault="005E1AA7" w:rsidP="005E1AA7">
            <w:pPr>
              <w:jc w:val="center"/>
              <w:rPr>
                <w:b/>
                <w:bCs/>
                <w:color w:val="4472C4"/>
                <w:kern w:val="2"/>
                <w:szCs w:val="24"/>
              </w:rPr>
            </w:pPr>
            <w:r>
              <w:rPr>
                <w:b/>
                <w:bCs/>
                <w:color w:val="4472C4"/>
                <w:kern w:val="2"/>
                <w:szCs w:val="24"/>
              </w:rPr>
              <w:t>(parašas)</w:t>
            </w:r>
          </w:p>
          <w:p w14:paraId="540CDEA8" w14:textId="77777777" w:rsidR="005E1AA7" w:rsidRDefault="005E1AA7" w:rsidP="005E1AA7">
            <w:pPr>
              <w:jc w:val="center"/>
              <w:rPr>
                <w:b/>
                <w:bCs/>
                <w:color w:val="4472C4"/>
                <w:kern w:val="2"/>
                <w:szCs w:val="24"/>
              </w:rPr>
            </w:pPr>
          </w:p>
          <w:p w14:paraId="0CC6C66D" w14:textId="77777777" w:rsidR="005E1AA7" w:rsidRDefault="005E1AA7" w:rsidP="005E1AA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E1AA7" w:rsidRDefault="005E1AA7" w:rsidP="005E1AA7">
            <w:pPr>
              <w:jc w:val="center"/>
              <w:rPr>
                <w:b/>
                <w:bCs/>
                <w:color w:val="4472C4"/>
                <w:kern w:val="2"/>
                <w:szCs w:val="24"/>
              </w:rPr>
            </w:pPr>
          </w:p>
          <w:p w14:paraId="449EF7AE" w14:textId="77777777" w:rsidR="005E1AA7" w:rsidRDefault="005E1AA7" w:rsidP="005E1AA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C508D" w14:textId="77777777" w:rsidR="00FE2087" w:rsidRDefault="00FE2087">
      <w:r>
        <w:separator/>
      </w:r>
    </w:p>
  </w:endnote>
  <w:endnote w:type="continuationSeparator" w:id="0">
    <w:p w14:paraId="23F4EAAE" w14:textId="77777777" w:rsidR="00FE2087" w:rsidRDefault="00FE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04FD5" w14:textId="77777777" w:rsidR="00FE2087" w:rsidRDefault="00FE2087">
      <w:r>
        <w:separator/>
      </w:r>
    </w:p>
  </w:footnote>
  <w:footnote w:type="continuationSeparator" w:id="0">
    <w:p w14:paraId="594EE3AF" w14:textId="77777777" w:rsidR="00FE2087" w:rsidRDefault="00FE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95989"/>
    <w:rsid w:val="001B2EB7"/>
    <w:rsid w:val="00201517"/>
    <w:rsid w:val="00202E5E"/>
    <w:rsid w:val="00214E12"/>
    <w:rsid w:val="0022093A"/>
    <w:rsid w:val="00247ADC"/>
    <w:rsid w:val="00296801"/>
    <w:rsid w:val="002E1BC8"/>
    <w:rsid w:val="002F0B5F"/>
    <w:rsid w:val="003B2818"/>
    <w:rsid w:val="003D1AC5"/>
    <w:rsid w:val="003E263F"/>
    <w:rsid w:val="003E5D1D"/>
    <w:rsid w:val="004F2812"/>
    <w:rsid w:val="00515FFD"/>
    <w:rsid w:val="005828DD"/>
    <w:rsid w:val="00587E3C"/>
    <w:rsid w:val="00590CB3"/>
    <w:rsid w:val="005E1AA7"/>
    <w:rsid w:val="005E1CAA"/>
    <w:rsid w:val="006D5FFA"/>
    <w:rsid w:val="00733F38"/>
    <w:rsid w:val="0078247C"/>
    <w:rsid w:val="007919E1"/>
    <w:rsid w:val="007E40E2"/>
    <w:rsid w:val="008561E7"/>
    <w:rsid w:val="00A318D2"/>
    <w:rsid w:val="00B767F3"/>
    <w:rsid w:val="00B8191B"/>
    <w:rsid w:val="00BC1FA6"/>
    <w:rsid w:val="00BE7B89"/>
    <w:rsid w:val="00BE7E2D"/>
    <w:rsid w:val="00C41BC1"/>
    <w:rsid w:val="00C711D6"/>
    <w:rsid w:val="00D1557F"/>
    <w:rsid w:val="00DD7479"/>
    <w:rsid w:val="00E50F5D"/>
    <w:rsid w:val="00EA6D7C"/>
    <w:rsid w:val="00F804DB"/>
    <w:rsid w:val="00FE0209"/>
    <w:rsid w:val="00FE2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10675</Words>
  <Characters>6085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2025-07-25T13:45:00Z</dcterms:created>
  <dcterms:modified xsi:type="dcterms:W3CDTF">2025-07-25T13:45:00Z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