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7FD2" w14:textId="4382A801" w:rsidR="00103B3B" w:rsidRPr="00A02497" w:rsidRDefault="00BD1048" w:rsidP="00A77F06">
      <w:pPr>
        <w:pStyle w:val="Antrat1"/>
        <w:ind w:left="6480" w:firstLine="0"/>
        <w:jc w:val="right"/>
      </w:pPr>
      <w:bookmarkStart w:id="0" w:name="_Toc17284196"/>
      <w:r>
        <w:t>Pirkimo sąlygų 2</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58DC8033" w:rsidR="00103B3B" w:rsidRPr="00A02497" w:rsidRDefault="00A620EF" w:rsidP="00103B3B">
      <w:pPr>
        <w:spacing w:after="0" w:line="240" w:lineRule="auto"/>
        <w:rPr>
          <w:rFonts w:ascii="Times New Roman" w:hAnsi="Times New Roman" w:cs="Times New Roman"/>
          <w:sz w:val="24"/>
          <w:szCs w:val="24"/>
        </w:rPr>
      </w:pPr>
      <w:r>
        <w:rPr>
          <w:rFonts w:ascii="Times New Roman" w:hAnsi="Times New Roman" w:cs="Times New Roman"/>
          <w:sz w:val="24"/>
          <w:szCs w:val="24"/>
        </w:rPr>
        <w:t>BĮ Žemaičių dailės muziejui</w:t>
      </w: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576A7001" w14:textId="0D8A7DF3" w:rsidR="00F962E3" w:rsidRPr="00F962E3" w:rsidRDefault="00490DB1" w:rsidP="00F962E3">
      <w:pPr>
        <w:spacing w:after="0" w:line="240" w:lineRule="auto"/>
        <w:jc w:val="center"/>
        <w:rPr>
          <w:rFonts w:ascii="Times New Roman" w:hAnsi="Times New Roman" w:cs="Times New Roman"/>
          <w:b/>
          <w:sz w:val="24"/>
          <w:szCs w:val="24"/>
          <w:lang w:eastAsia="lt-LT"/>
        </w:rPr>
      </w:pPr>
      <w:r w:rsidRPr="008D1400">
        <w:rPr>
          <w:rFonts w:ascii="Times New Roman" w:hAnsi="Times New Roman" w:cs="Times New Roman"/>
          <w:b/>
          <w:sz w:val="24"/>
          <w:szCs w:val="24"/>
          <w:lang w:eastAsia="lt-LT"/>
        </w:rPr>
        <w:t>DĖL</w:t>
      </w:r>
      <w:r w:rsidR="00114AAD" w:rsidRPr="008D1400">
        <w:rPr>
          <w:rFonts w:ascii="Times New Roman" w:hAnsi="Times New Roman" w:cs="Times New Roman"/>
          <w:b/>
          <w:sz w:val="24"/>
          <w:szCs w:val="24"/>
          <w:lang w:eastAsia="lt-LT"/>
        </w:rPr>
        <w:t xml:space="preserve"> </w:t>
      </w:r>
      <w:r w:rsidR="00F962E3" w:rsidRPr="00F962E3">
        <w:rPr>
          <w:rFonts w:ascii="Times New Roman" w:hAnsi="Times New Roman" w:cs="Times New Roman"/>
          <w:b/>
          <w:sz w:val="24"/>
          <w:szCs w:val="24"/>
          <w:lang w:eastAsia="lt-LT"/>
        </w:rPr>
        <w:t>ANIMACINĖS PROJEKCIJOS SISTEMOS</w:t>
      </w:r>
    </w:p>
    <w:p w14:paraId="3D43CC50" w14:textId="4A7CF84F" w:rsidR="00103B3B" w:rsidRPr="003E288E" w:rsidRDefault="003E288E" w:rsidP="003E288E">
      <w:pPr>
        <w:spacing w:after="0" w:line="240" w:lineRule="auto"/>
        <w:jc w:val="center"/>
        <w:rPr>
          <w:rFonts w:ascii="Times New Roman" w:hAnsi="Times New Roman" w:cs="Times New Roman"/>
          <w:b/>
          <w:sz w:val="24"/>
          <w:szCs w:val="24"/>
          <w:lang w:eastAsia="lt-LT"/>
        </w:rPr>
      </w:pPr>
      <w:r w:rsidRPr="003E288E">
        <w:rPr>
          <w:rFonts w:ascii="Times New Roman" w:hAnsi="Times New Roman" w:cs="Times New Roman"/>
          <w:b/>
          <w:sz w:val="24"/>
          <w:szCs w:val="24"/>
          <w:lang w:eastAsia="lt-LT"/>
        </w:rPr>
        <w:t>PIRKIMO</w:t>
      </w:r>
    </w:p>
    <w:p w14:paraId="62148A9A" w14:textId="77777777" w:rsidR="003E288E" w:rsidRDefault="003E288E" w:rsidP="00103B3B">
      <w:pPr>
        <w:spacing w:after="0" w:line="240" w:lineRule="auto"/>
        <w:jc w:val="center"/>
        <w:rPr>
          <w:rFonts w:ascii="Times New Roman" w:hAnsi="Times New Roman" w:cs="Times New Roman"/>
          <w:sz w:val="24"/>
          <w:szCs w:val="24"/>
          <w:lang w:eastAsia="lt-LT"/>
        </w:rPr>
      </w:pPr>
    </w:p>
    <w:p w14:paraId="6D01FC0A" w14:textId="6BD4E9A7"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5022C">
            <w:pPr>
              <w:tabs>
                <w:tab w:val="left" w:pos="567"/>
              </w:tabs>
              <w:spacing w:after="0" w:line="240" w:lineRule="auto"/>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E5022C">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103B3B" w:rsidRPr="00A02497" w14:paraId="2E691B09" w14:textId="77777777" w:rsidTr="00E5022C">
        <w:tc>
          <w:tcPr>
            <w:tcW w:w="410"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78444B8" w:rsidR="00103B3B" w:rsidRPr="00FF5785" w:rsidRDefault="00103B3B" w:rsidP="0064140F">
            <w:pPr>
              <w:spacing w:after="0" w:line="240" w:lineRule="auto"/>
              <w:jc w:val="both"/>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07C15AC9" w14:textId="64BE6FF3" w:rsidR="00103B3B" w:rsidRPr="00A02497" w:rsidRDefault="00033E9A"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w:t>
            </w:r>
            <w:r w:rsidR="00103B3B"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58FFAA99" w:rsidR="00103B3B" w:rsidRPr="00A02497" w:rsidRDefault="00A77F06"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853665" w:rsidRPr="00A02497" w14:paraId="75E03C0C"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36FC08F3" w14:textId="77777777" w:rsidR="00853665" w:rsidRPr="00A02497" w:rsidRDefault="00853665"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DF0169C" w14:textId="184D1AEB" w:rsidR="00853665" w:rsidRDefault="00853665" w:rsidP="0029039E">
            <w:pPr>
              <w:spacing w:after="0" w:line="240" w:lineRule="auto"/>
              <w:jc w:val="both"/>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7EA051AF" w14:textId="02542F22" w:rsidR="00853665" w:rsidRPr="00A02497" w:rsidRDefault="00853665"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676A9FE2" w14:textId="77777777" w:rsidR="00853665" w:rsidRPr="00A02497" w:rsidRDefault="00853665"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0847DF1" w14:textId="77777777" w:rsidR="00853665" w:rsidRPr="00A02497" w:rsidRDefault="00853665" w:rsidP="00E5022C">
            <w:pPr>
              <w:spacing w:after="0" w:line="240" w:lineRule="auto"/>
              <w:jc w:val="center"/>
              <w:rPr>
                <w:rFonts w:ascii="Times New Roman" w:hAnsi="Times New Roman" w:cs="Times New Roman"/>
                <w:sz w:val="24"/>
                <w:szCs w:val="24"/>
              </w:rPr>
            </w:pPr>
          </w:p>
        </w:tc>
      </w:tr>
      <w:tr w:rsidR="00A56998" w:rsidRPr="00A02497" w14:paraId="2E4D8F90"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3582B8B4" w14:textId="77777777" w:rsidR="00A56998" w:rsidRPr="00A02497" w:rsidRDefault="00A56998"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610E5534" w:rsidR="00A56998" w:rsidRPr="00A77F06" w:rsidRDefault="00A56998" w:rsidP="0029039E">
            <w:pPr>
              <w:spacing w:after="0" w:line="240" w:lineRule="auto"/>
              <w:jc w:val="both"/>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2F0F2279" w14:textId="00A98CFD"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2AA4469" w14:textId="6340A824" w:rsidR="00A56998" w:rsidRPr="00A02497" w:rsidRDefault="00A77F06"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103B3B" w:rsidRPr="00A02497" w14:paraId="2739CAB9"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0CDD9811"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7DE78FB1" w:rsidR="00103B3B" w:rsidRPr="00A77F06" w:rsidRDefault="00103B3B" w:rsidP="00E5022C">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427F50E2" w:rsidR="00103B3B" w:rsidRPr="00A02497" w:rsidRDefault="00A77F06"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77777777" w:rsidR="00DC29CA" w:rsidRDefault="00DC29CA" w:rsidP="0064140F">
      <w:pPr>
        <w:pStyle w:val="Sraopastraipa"/>
        <w:ind w:left="0" w:firstLine="567"/>
        <w:rPr>
          <w:b/>
          <w:bCs/>
          <w:i/>
        </w:rPr>
      </w:pPr>
    </w:p>
    <w:p w14:paraId="4B3767DD" w14:textId="7411249D" w:rsidR="00593943" w:rsidRPr="00E16CE5" w:rsidRDefault="00E16CE5" w:rsidP="00E16CE5">
      <w:pPr>
        <w:spacing w:after="0" w:line="240" w:lineRule="auto"/>
        <w:jc w:val="both"/>
        <w:rPr>
          <w:rFonts w:ascii="Times New Roman" w:hAnsi="Times New Roman" w:cs="Times New Roman"/>
          <w:b/>
          <w:bCs/>
          <w:i/>
          <w:sz w:val="24"/>
          <w:szCs w:val="24"/>
        </w:rPr>
      </w:pPr>
      <w:r w:rsidRPr="00E16CE5">
        <w:rPr>
          <w:rFonts w:ascii="Times New Roman" w:hAnsi="Times New Roman" w:cs="Times New Roman"/>
          <w:b/>
          <w:bCs/>
          <w:i/>
          <w:sz w:val="24"/>
          <w:szCs w:val="24"/>
        </w:rPr>
        <w:t>Tiekėjui žinoma, kad pripažinus pasiūlymą nugalėtoju ir sudarius sutartį jo pasiūlymas ir pasirašyta sutartis bus paviešinta Viešųjų pirkimų įstatymo nustatyta tvarka. Jei dalyvis šios lentelės neužpildo ir (ar) failo (bylos) pavadinime nenurodo „konfidencialu“, perkančioji organizacija laiko, kad jo pateiktame pasiūlyme nėra konfidencialios informacijos.</w:t>
      </w:r>
    </w:p>
    <w:p w14:paraId="0CDAEFE8" w14:textId="77777777" w:rsidR="000C727E" w:rsidRPr="000C727E" w:rsidRDefault="000C727E" w:rsidP="000C727E">
      <w:pPr>
        <w:rPr>
          <w:b/>
          <w:bCs/>
          <w:i/>
        </w:rPr>
      </w:pPr>
    </w:p>
    <w:p w14:paraId="079548E5" w14:textId="76A0010C" w:rsidR="00103B3B" w:rsidRPr="00F962E3" w:rsidRDefault="00F962E3" w:rsidP="00F962E3">
      <w:pPr>
        <w:spacing w:after="120"/>
        <w:ind w:left="1146"/>
        <w:rPr>
          <w:bCs/>
        </w:rPr>
      </w:pPr>
      <w:r w:rsidRPr="00F962E3">
        <w:rPr>
          <w:rFonts w:ascii="Times New Roman" w:hAnsi="Times New Roman" w:cs="Times New Roman"/>
          <w:b/>
          <w:bCs/>
          <w:sz w:val="24"/>
          <w:szCs w:val="24"/>
        </w:rPr>
        <w:lastRenderedPageBreak/>
        <w:t xml:space="preserve">3. </w:t>
      </w:r>
      <w:r w:rsidR="00103B3B" w:rsidRPr="00F962E3">
        <w:rPr>
          <w:rFonts w:ascii="Times New Roman" w:hAnsi="Times New Roman" w:cs="Times New Roman"/>
          <w:b/>
          <w:bCs/>
          <w:sz w:val="24"/>
          <w:szCs w:val="24"/>
        </w:rPr>
        <w:t>Informacija apie subtiekėjus</w:t>
      </w:r>
      <w:r w:rsidR="00392BAF" w:rsidRPr="00F962E3">
        <w:rPr>
          <w:b/>
          <w:bCs/>
        </w:rPr>
        <w:t xml:space="preserve"> </w:t>
      </w:r>
      <w:r w:rsidR="00103B3B" w:rsidRPr="00A02497">
        <w:rPr>
          <w:rStyle w:val="Puslapioinaosnuoroda"/>
          <w:b/>
        </w:rPr>
        <w:footnoteReference w:id="3"/>
      </w:r>
      <w:r w:rsidR="00103B3B" w:rsidRPr="00F962E3">
        <w:rPr>
          <w:bCs/>
        </w:rPr>
        <w:t>:</w:t>
      </w:r>
    </w:p>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2"/>
        <w:gridCol w:w="2190"/>
        <w:gridCol w:w="7"/>
        <w:gridCol w:w="2822"/>
        <w:gridCol w:w="34"/>
        <w:gridCol w:w="1845"/>
        <w:gridCol w:w="2185"/>
      </w:tblGrid>
      <w:tr w:rsidR="00456BB6" w:rsidRPr="00456BB6" w14:paraId="2385C7A8" w14:textId="77777777" w:rsidTr="000C727E">
        <w:tc>
          <w:tcPr>
            <w:tcW w:w="556" w:type="dxa"/>
            <w:gridSpan w:val="2"/>
            <w:vMerge w:val="restart"/>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197" w:type="dxa"/>
            <w:gridSpan w:val="2"/>
            <w:vMerge w:val="restart"/>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2822" w:type="dxa"/>
            <w:vMerge w:val="restart"/>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4064" w:type="dxa"/>
            <w:gridSpan w:val="3"/>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0C727E">
        <w:tc>
          <w:tcPr>
            <w:tcW w:w="556" w:type="dxa"/>
            <w:gridSpan w:val="2"/>
            <w:vMerge/>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97" w:type="dxa"/>
            <w:gridSpan w:val="2"/>
            <w:vMerge/>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822" w:type="dxa"/>
            <w:vMerge/>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1879" w:type="dxa"/>
            <w:gridSpan w:val="2"/>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2185" w:type="dxa"/>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0C727E">
        <w:tc>
          <w:tcPr>
            <w:tcW w:w="9639" w:type="dxa"/>
            <w:gridSpan w:val="8"/>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0C727E">
        <w:tc>
          <w:tcPr>
            <w:tcW w:w="556" w:type="dxa"/>
            <w:gridSpan w:val="2"/>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0C727E">
        <w:tc>
          <w:tcPr>
            <w:tcW w:w="556" w:type="dxa"/>
            <w:gridSpan w:val="2"/>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0C727E">
        <w:tc>
          <w:tcPr>
            <w:tcW w:w="5575" w:type="dxa"/>
            <w:gridSpan w:val="5"/>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879" w:type="dxa"/>
            <w:gridSpan w:val="2"/>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0C727E">
        <w:tc>
          <w:tcPr>
            <w:tcW w:w="9639" w:type="dxa"/>
            <w:gridSpan w:val="8"/>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0C727E">
        <w:tc>
          <w:tcPr>
            <w:tcW w:w="556" w:type="dxa"/>
            <w:gridSpan w:val="2"/>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0C727E">
        <w:tc>
          <w:tcPr>
            <w:tcW w:w="556" w:type="dxa"/>
            <w:gridSpan w:val="2"/>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822" w:type="dxa"/>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879" w:type="dxa"/>
            <w:gridSpan w:val="2"/>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0C727E">
        <w:tc>
          <w:tcPr>
            <w:tcW w:w="5575" w:type="dxa"/>
            <w:gridSpan w:val="5"/>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879" w:type="dxa"/>
            <w:gridSpan w:val="2"/>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0C727E">
        <w:tc>
          <w:tcPr>
            <w:tcW w:w="9639" w:type="dxa"/>
            <w:gridSpan w:val="8"/>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0C727E">
        <w:tc>
          <w:tcPr>
            <w:tcW w:w="544" w:type="dxa"/>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202" w:type="dxa"/>
            <w:gridSpan w:val="2"/>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2863" w:type="dxa"/>
            <w:gridSpan w:val="3"/>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1845" w:type="dxa"/>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0C727E">
        <w:tc>
          <w:tcPr>
            <w:tcW w:w="544" w:type="dxa"/>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202" w:type="dxa"/>
            <w:gridSpan w:val="2"/>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2863" w:type="dxa"/>
            <w:gridSpan w:val="3"/>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1845" w:type="dxa"/>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0C727E">
        <w:tc>
          <w:tcPr>
            <w:tcW w:w="5575" w:type="dxa"/>
            <w:gridSpan w:val="5"/>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1879" w:type="dxa"/>
            <w:gridSpan w:val="2"/>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343E1896" w:rsidR="005424A9" w:rsidRPr="00F962E3" w:rsidRDefault="00F962E3" w:rsidP="00F962E3">
      <w:pPr>
        <w:spacing w:after="120"/>
        <w:ind w:left="426"/>
        <w:rPr>
          <w:rFonts w:ascii="Times New Roman" w:hAnsi="Times New Roman" w:cs="Times New Roman"/>
          <w:b/>
          <w:bCs/>
          <w:sz w:val="24"/>
          <w:szCs w:val="24"/>
        </w:rPr>
      </w:pPr>
      <w:r w:rsidRPr="00F962E3">
        <w:rPr>
          <w:rFonts w:ascii="Times New Roman" w:hAnsi="Times New Roman" w:cs="Times New Roman"/>
          <w:b/>
          <w:sz w:val="24"/>
          <w:szCs w:val="24"/>
        </w:rPr>
        <w:t xml:space="preserve">                4.  </w:t>
      </w:r>
      <w:r w:rsidR="00103B3B" w:rsidRPr="00F962E3">
        <w:rPr>
          <w:rFonts w:ascii="Times New Roman" w:hAnsi="Times New Roman" w:cs="Times New Roman"/>
          <w:b/>
          <w:sz w:val="24"/>
          <w:szCs w:val="24"/>
        </w:rPr>
        <w:t>Pasiūlymo kaina:</w:t>
      </w:r>
    </w:p>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2722"/>
        <w:gridCol w:w="1134"/>
        <w:gridCol w:w="1559"/>
        <w:gridCol w:w="2410"/>
      </w:tblGrid>
      <w:tr w:rsidR="00F962E3" w:rsidRPr="008B2979" w14:paraId="3EF5646E" w14:textId="77777777" w:rsidTr="00F962E3">
        <w:tc>
          <w:tcPr>
            <w:tcW w:w="567" w:type="dxa"/>
            <w:tcBorders>
              <w:top w:val="single" w:sz="4" w:space="0" w:color="auto"/>
              <w:left w:val="single" w:sz="4" w:space="0" w:color="auto"/>
              <w:bottom w:val="single" w:sz="4" w:space="0" w:color="auto"/>
              <w:right w:val="single" w:sz="4" w:space="0" w:color="auto"/>
            </w:tcBorders>
          </w:tcPr>
          <w:p w14:paraId="0758801F"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3969" w:type="dxa"/>
            <w:gridSpan w:val="2"/>
            <w:tcBorders>
              <w:top w:val="single" w:sz="4" w:space="0" w:color="auto"/>
              <w:left w:val="single" w:sz="4" w:space="0" w:color="auto"/>
              <w:bottom w:val="single" w:sz="4" w:space="0" w:color="auto"/>
              <w:right w:val="single" w:sz="4" w:space="0" w:color="auto"/>
            </w:tcBorders>
          </w:tcPr>
          <w:p w14:paraId="6937EACB" w14:textId="77777777" w:rsidR="00F962E3" w:rsidRPr="008B2979" w:rsidRDefault="00F962E3"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w:t>
            </w:r>
            <w:r w:rsidRPr="008B2979">
              <w:rPr>
                <w:rFonts w:ascii="Times New Roman" w:hAnsi="Times New Roman" w:cs="Times New Roman"/>
                <w:sz w:val="24"/>
                <w:szCs w:val="24"/>
              </w:rPr>
              <w:t>ų pavadinimas</w:t>
            </w:r>
          </w:p>
        </w:tc>
        <w:tc>
          <w:tcPr>
            <w:tcW w:w="1134" w:type="dxa"/>
            <w:tcBorders>
              <w:top w:val="single" w:sz="4" w:space="0" w:color="auto"/>
              <w:left w:val="single" w:sz="4" w:space="0" w:color="auto"/>
              <w:bottom w:val="single" w:sz="4" w:space="0" w:color="auto"/>
              <w:right w:val="single" w:sz="4" w:space="0" w:color="auto"/>
            </w:tcBorders>
          </w:tcPr>
          <w:p w14:paraId="4319BAB1" w14:textId="35F303D5" w:rsidR="00F962E3" w:rsidRPr="008B2979" w:rsidRDefault="00F962E3"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Kiekis, mato vnt.</w:t>
            </w:r>
          </w:p>
        </w:tc>
        <w:tc>
          <w:tcPr>
            <w:tcW w:w="1559" w:type="dxa"/>
            <w:tcBorders>
              <w:top w:val="single" w:sz="4" w:space="0" w:color="auto"/>
              <w:left w:val="single" w:sz="4" w:space="0" w:color="auto"/>
              <w:bottom w:val="single" w:sz="4" w:space="0" w:color="auto"/>
              <w:right w:val="single" w:sz="4" w:space="0" w:color="auto"/>
            </w:tcBorders>
          </w:tcPr>
          <w:p w14:paraId="21375D2B" w14:textId="79B580C3"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3FDF1EB"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tc>
        <w:tc>
          <w:tcPr>
            <w:tcW w:w="2410" w:type="dxa"/>
            <w:tcBorders>
              <w:top w:val="single" w:sz="4" w:space="0" w:color="auto"/>
              <w:left w:val="single" w:sz="4" w:space="0" w:color="auto"/>
              <w:bottom w:val="single" w:sz="4" w:space="0" w:color="auto"/>
              <w:right w:val="single" w:sz="4" w:space="0" w:color="auto"/>
            </w:tcBorders>
          </w:tcPr>
          <w:p w14:paraId="2036A029"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AAB0BED"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p>
        </w:tc>
      </w:tr>
      <w:tr w:rsidR="00F962E3" w:rsidRPr="008B2979" w14:paraId="39D561D6" w14:textId="77777777" w:rsidTr="00F962E3">
        <w:trPr>
          <w:trHeight w:val="37"/>
        </w:trPr>
        <w:tc>
          <w:tcPr>
            <w:tcW w:w="567" w:type="dxa"/>
            <w:tcBorders>
              <w:top w:val="single" w:sz="4" w:space="0" w:color="auto"/>
              <w:left w:val="single" w:sz="4" w:space="0" w:color="auto"/>
              <w:bottom w:val="single" w:sz="4" w:space="0" w:color="auto"/>
              <w:right w:val="single" w:sz="4" w:space="0" w:color="auto"/>
            </w:tcBorders>
          </w:tcPr>
          <w:p w14:paraId="671AA7ED"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3969" w:type="dxa"/>
            <w:gridSpan w:val="2"/>
            <w:tcBorders>
              <w:top w:val="single" w:sz="4" w:space="0" w:color="auto"/>
              <w:left w:val="single" w:sz="4" w:space="0" w:color="auto"/>
              <w:bottom w:val="single" w:sz="4" w:space="0" w:color="auto"/>
              <w:right w:val="single" w:sz="4" w:space="0" w:color="auto"/>
            </w:tcBorders>
          </w:tcPr>
          <w:p w14:paraId="04A91262"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2E8EEFA" w14:textId="0CB77EE8" w:rsidR="00F962E3" w:rsidRPr="008B2979" w:rsidRDefault="00F962E3" w:rsidP="00392FD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6532E090" w14:textId="278D8CB6" w:rsidR="00F962E3" w:rsidRPr="008B2979" w:rsidRDefault="00F962E3" w:rsidP="00392FD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6BDDDF88" w14:textId="090BA98F" w:rsidR="00F962E3" w:rsidRPr="008B2979" w:rsidRDefault="00F962E3" w:rsidP="00392FD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F962E3" w:rsidRPr="008B2979" w14:paraId="32518C7F" w14:textId="77777777" w:rsidTr="00F962E3">
        <w:trPr>
          <w:trHeight w:val="37"/>
        </w:trPr>
        <w:tc>
          <w:tcPr>
            <w:tcW w:w="567" w:type="dxa"/>
            <w:tcBorders>
              <w:top w:val="single" w:sz="4" w:space="0" w:color="auto"/>
              <w:left w:val="single" w:sz="4" w:space="0" w:color="auto"/>
              <w:bottom w:val="single" w:sz="4" w:space="0" w:color="auto"/>
              <w:right w:val="single" w:sz="4" w:space="0" w:color="auto"/>
            </w:tcBorders>
          </w:tcPr>
          <w:p w14:paraId="4A172B47"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3969" w:type="dxa"/>
            <w:gridSpan w:val="2"/>
            <w:tcBorders>
              <w:top w:val="single" w:sz="4" w:space="0" w:color="auto"/>
              <w:left w:val="single" w:sz="4" w:space="0" w:color="auto"/>
              <w:bottom w:val="single" w:sz="4" w:space="0" w:color="auto"/>
              <w:right w:val="single" w:sz="4" w:space="0" w:color="auto"/>
            </w:tcBorders>
          </w:tcPr>
          <w:p w14:paraId="75E42924" w14:textId="15609902" w:rsidR="00F962E3" w:rsidRPr="003E288E" w:rsidRDefault="00F962E3" w:rsidP="003E288E">
            <w:pPr>
              <w:spacing w:after="0" w:line="240" w:lineRule="auto"/>
              <w:jc w:val="both"/>
              <w:rPr>
                <w:rFonts w:ascii="Times New Roman" w:hAnsi="Times New Roman" w:cs="Times New Roman"/>
                <w:sz w:val="24"/>
                <w:szCs w:val="24"/>
              </w:rPr>
            </w:pPr>
            <w:r w:rsidRPr="00F962E3">
              <w:rPr>
                <w:rFonts w:ascii="Times New Roman" w:hAnsi="Times New Roman" w:cs="Times New Roman"/>
                <w:sz w:val="24"/>
                <w:szCs w:val="24"/>
              </w:rPr>
              <w:t>Animacinės projekcijos sistema</w:t>
            </w:r>
          </w:p>
        </w:tc>
        <w:tc>
          <w:tcPr>
            <w:tcW w:w="1134" w:type="dxa"/>
            <w:tcBorders>
              <w:top w:val="single" w:sz="4" w:space="0" w:color="auto"/>
              <w:left w:val="single" w:sz="4" w:space="0" w:color="auto"/>
              <w:bottom w:val="single" w:sz="4" w:space="0" w:color="auto"/>
              <w:right w:val="single" w:sz="4" w:space="0" w:color="auto"/>
            </w:tcBorders>
          </w:tcPr>
          <w:p w14:paraId="05C6A001" w14:textId="19C1EE64" w:rsidR="00F962E3" w:rsidRPr="008B2979" w:rsidRDefault="007D35CF" w:rsidP="00392FDD">
            <w:pPr>
              <w:spacing w:after="0" w:line="240" w:lineRule="auto"/>
              <w:jc w:val="center"/>
              <w:rPr>
                <w:rFonts w:ascii="Times New Roman" w:hAnsi="Times New Roman"/>
                <w:sz w:val="24"/>
                <w:szCs w:val="24"/>
              </w:rPr>
            </w:pPr>
            <w:r>
              <w:rPr>
                <w:rFonts w:ascii="Times New Roman" w:hAnsi="Times New Roman"/>
                <w:sz w:val="24"/>
                <w:szCs w:val="24"/>
              </w:rPr>
              <w:t>1 kompl.</w:t>
            </w:r>
          </w:p>
        </w:tc>
        <w:tc>
          <w:tcPr>
            <w:tcW w:w="1559" w:type="dxa"/>
            <w:tcBorders>
              <w:top w:val="single" w:sz="4" w:space="0" w:color="auto"/>
              <w:left w:val="single" w:sz="4" w:space="0" w:color="auto"/>
              <w:bottom w:val="single" w:sz="4" w:space="0" w:color="auto"/>
              <w:right w:val="single" w:sz="4" w:space="0" w:color="auto"/>
            </w:tcBorders>
          </w:tcPr>
          <w:p w14:paraId="4D0B4EED" w14:textId="7D24BF2A"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410" w:type="dxa"/>
            <w:tcBorders>
              <w:top w:val="single" w:sz="4" w:space="0" w:color="auto"/>
              <w:left w:val="single" w:sz="4" w:space="0" w:color="auto"/>
              <w:bottom w:val="single" w:sz="12" w:space="0" w:color="auto"/>
              <w:right w:val="single" w:sz="4" w:space="0" w:color="auto"/>
            </w:tcBorders>
          </w:tcPr>
          <w:p w14:paraId="45DFB5E3" w14:textId="77777777" w:rsidR="00F962E3" w:rsidRPr="008B2979" w:rsidRDefault="00F962E3"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F962E3" w:rsidRPr="008B2979" w14:paraId="4FB1A561" w14:textId="77777777" w:rsidTr="00F962E3">
        <w:trPr>
          <w:trHeight w:val="70"/>
        </w:trPr>
        <w:tc>
          <w:tcPr>
            <w:tcW w:w="1814" w:type="dxa"/>
            <w:gridSpan w:val="2"/>
            <w:tcBorders>
              <w:top w:val="single" w:sz="4" w:space="0" w:color="auto"/>
              <w:left w:val="single" w:sz="4" w:space="0" w:color="auto"/>
              <w:bottom w:val="single" w:sz="4" w:space="0" w:color="auto"/>
              <w:right w:val="single" w:sz="12" w:space="0" w:color="auto"/>
            </w:tcBorders>
          </w:tcPr>
          <w:p w14:paraId="629A905D" w14:textId="77777777" w:rsidR="00F962E3" w:rsidRDefault="00F962E3" w:rsidP="00A77F06">
            <w:pPr>
              <w:spacing w:after="0" w:line="240" w:lineRule="auto"/>
              <w:jc w:val="right"/>
              <w:rPr>
                <w:rFonts w:ascii="Times New Roman" w:hAnsi="Times New Roman" w:cs="Times New Roman"/>
                <w:b/>
                <w:sz w:val="24"/>
                <w:szCs w:val="24"/>
              </w:rPr>
            </w:pPr>
          </w:p>
        </w:tc>
        <w:tc>
          <w:tcPr>
            <w:tcW w:w="5415" w:type="dxa"/>
            <w:gridSpan w:val="3"/>
            <w:tcBorders>
              <w:top w:val="single" w:sz="4" w:space="0" w:color="auto"/>
              <w:left w:val="single" w:sz="4" w:space="0" w:color="auto"/>
              <w:bottom w:val="single" w:sz="4" w:space="0" w:color="auto"/>
              <w:right w:val="single" w:sz="12" w:space="0" w:color="auto"/>
            </w:tcBorders>
            <w:vAlign w:val="center"/>
          </w:tcPr>
          <w:p w14:paraId="7D87C577" w14:textId="2FF4EFA6" w:rsidR="00F962E3" w:rsidRPr="008B2979" w:rsidRDefault="00F962E3" w:rsidP="00A77F06">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Pasiūlymo kaina</w:t>
            </w:r>
            <w:r w:rsidRPr="008B2979">
              <w:rPr>
                <w:rStyle w:val="Puslapioinaosnuoroda"/>
                <w:rFonts w:ascii="Times New Roman" w:hAnsi="Times New Roman"/>
                <w:b/>
                <w:sz w:val="24"/>
                <w:szCs w:val="24"/>
              </w:rPr>
              <w:footnoteReference w:id="5"/>
            </w:r>
            <w:r w:rsidRPr="008B2979">
              <w:rPr>
                <w:rFonts w:ascii="Times New Roman" w:hAnsi="Times New Roman" w:cs="Times New Roman"/>
                <w:b/>
                <w:bCs/>
                <w:sz w:val="24"/>
                <w:szCs w:val="24"/>
              </w:rPr>
              <w:t>:</w:t>
            </w:r>
          </w:p>
        </w:tc>
        <w:tc>
          <w:tcPr>
            <w:tcW w:w="2410" w:type="dxa"/>
            <w:tcBorders>
              <w:top w:val="single" w:sz="12" w:space="0" w:color="auto"/>
              <w:left w:val="single" w:sz="12" w:space="0" w:color="auto"/>
              <w:bottom w:val="single" w:sz="12" w:space="0" w:color="auto"/>
              <w:right w:val="single" w:sz="12" w:space="0" w:color="auto"/>
            </w:tcBorders>
          </w:tcPr>
          <w:p w14:paraId="5CAF648F" w14:textId="77777777" w:rsidR="00F962E3" w:rsidRPr="008B2979" w:rsidRDefault="00F962E3" w:rsidP="00392FDD">
            <w:pPr>
              <w:spacing w:after="0" w:line="240" w:lineRule="auto"/>
              <w:jc w:val="center"/>
              <w:rPr>
                <w:rFonts w:ascii="Times New Roman" w:hAnsi="Times New Roman" w:cs="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5074" w:type="pct"/>
        <w:tblInd w:w="851" w:type="dxa"/>
        <w:tblLook w:val="04A0" w:firstRow="1" w:lastRow="0" w:firstColumn="1" w:lastColumn="0" w:noHBand="0" w:noVBand="1"/>
      </w:tblPr>
      <w:tblGrid>
        <w:gridCol w:w="2601"/>
        <w:gridCol w:w="139"/>
        <w:gridCol w:w="3189"/>
        <w:gridCol w:w="3852"/>
      </w:tblGrid>
      <w:tr w:rsidR="005424A9" w:rsidRPr="009D3ED9" w14:paraId="44B153B7" w14:textId="77777777" w:rsidTr="00F962E3">
        <w:tc>
          <w:tcPr>
            <w:tcW w:w="1401" w:type="pct"/>
            <w:gridSpan w:val="2"/>
          </w:tcPr>
          <w:p w14:paraId="5936F27B" w14:textId="77777777" w:rsidR="005424A9" w:rsidRPr="00392BAF" w:rsidRDefault="005424A9" w:rsidP="000C727E">
            <w:pPr>
              <w:spacing w:after="0" w:line="240" w:lineRule="auto"/>
              <w:jc w:val="both"/>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99" w:type="pct"/>
            <w:gridSpan w:val="2"/>
            <w:tcBorders>
              <w:bottom w:val="single" w:sz="4" w:space="0" w:color="auto"/>
            </w:tcBorders>
            <w:vAlign w:val="center"/>
          </w:tcPr>
          <w:p w14:paraId="2C013093" w14:textId="77777777" w:rsidR="005424A9" w:rsidRPr="009D3ED9" w:rsidRDefault="005424A9" w:rsidP="000C727E">
            <w:pPr>
              <w:spacing w:after="0" w:line="240" w:lineRule="auto"/>
              <w:jc w:val="both"/>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F962E3">
        <w:tc>
          <w:tcPr>
            <w:tcW w:w="3031" w:type="pct"/>
            <w:gridSpan w:val="3"/>
          </w:tcPr>
          <w:p w14:paraId="61E564ED" w14:textId="77777777" w:rsidR="005424A9" w:rsidRPr="00392BAF" w:rsidRDefault="005424A9" w:rsidP="000C727E">
            <w:pPr>
              <w:spacing w:after="0" w:line="240" w:lineRule="auto"/>
              <w:jc w:val="both"/>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969" w:type="pct"/>
            <w:tcBorders>
              <w:top w:val="single" w:sz="4" w:space="0" w:color="auto"/>
              <w:bottom w:val="single" w:sz="4" w:space="0" w:color="auto"/>
            </w:tcBorders>
            <w:vAlign w:val="center"/>
          </w:tcPr>
          <w:p w14:paraId="385DC2F2" w14:textId="77777777" w:rsidR="005424A9" w:rsidRPr="009D3ED9" w:rsidRDefault="005424A9" w:rsidP="000C727E">
            <w:pPr>
              <w:spacing w:after="0" w:line="240" w:lineRule="auto"/>
              <w:jc w:val="both"/>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F962E3">
        <w:tc>
          <w:tcPr>
            <w:tcW w:w="1330" w:type="pct"/>
          </w:tcPr>
          <w:p w14:paraId="7E43577D" w14:textId="77777777" w:rsidR="005424A9" w:rsidRPr="00392BAF" w:rsidRDefault="005424A9" w:rsidP="000C727E">
            <w:pPr>
              <w:spacing w:after="0" w:line="240" w:lineRule="auto"/>
              <w:jc w:val="both"/>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70" w:type="pct"/>
            <w:gridSpan w:val="3"/>
            <w:tcBorders>
              <w:top w:val="single" w:sz="4" w:space="0" w:color="auto"/>
              <w:bottom w:val="single" w:sz="4" w:space="0" w:color="auto"/>
            </w:tcBorders>
            <w:vAlign w:val="center"/>
          </w:tcPr>
          <w:p w14:paraId="78805350" w14:textId="77777777" w:rsidR="005424A9" w:rsidRPr="00392BAF" w:rsidRDefault="005424A9" w:rsidP="000C727E">
            <w:pPr>
              <w:spacing w:after="0" w:line="240" w:lineRule="auto"/>
              <w:jc w:val="both"/>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77777777" w:rsidR="0064140F" w:rsidRDefault="0064140F" w:rsidP="000C727E">
      <w:pPr>
        <w:spacing w:after="0" w:line="240" w:lineRule="auto"/>
        <w:jc w:val="both"/>
        <w:rPr>
          <w:b/>
          <w:bCs/>
          <w:sz w:val="20"/>
          <w:szCs w:val="20"/>
        </w:rPr>
      </w:pPr>
    </w:p>
    <w:p w14:paraId="76FB5DAE" w14:textId="2DE52E73" w:rsidR="00103B3B" w:rsidRDefault="000C727E" w:rsidP="007D35CF">
      <w:pPr>
        <w:spacing w:after="0" w:line="240" w:lineRule="auto"/>
        <w:ind w:left="900" w:right="-994"/>
        <w:jc w:val="both"/>
        <w:rPr>
          <w:rFonts w:ascii="Times New Roman" w:hAnsi="Times New Roman" w:cs="Times New Roman"/>
          <w:sz w:val="24"/>
          <w:szCs w:val="24"/>
        </w:rPr>
      </w:pPr>
      <w:r>
        <w:rPr>
          <w:rFonts w:ascii="Times New Roman" w:hAnsi="Times New Roman" w:cs="Times New Roman"/>
          <w:sz w:val="24"/>
          <w:szCs w:val="24"/>
        </w:rPr>
        <w:t xml:space="preserve">1. </w:t>
      </w:r>
      <w:r w:rsidR="00103B3B"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00103B3B"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00103B3B"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6A9A4C5E" w14:textId="07C2C0E8" w:rsidR="000C727E" w:rsidRDefault="000C727E" w:rsidP="007D35CF">
      <w:pPr>
        <w:spacing w:after="0" w:line="240" w:lineRule="auto"/>
        <w:ind w:left="900" w:right="-994"/>
        <w:jc w:val="both"/>
        <w:rPr>
          <w:rFonts w:ascii="Times New Roman" w:hAnsi="Times New Roman" w:cs="Times New Roman"/>
          <w:sz w:val="24"/>
          <w:szCs w:val="24"/>
        </w:rPr>
      </w:pPr>
      <w:r>
        <w:rPr>
          <w:rFonts w:ascii="Times New Roman" w:hAnsi="Times New Roman" w:cs="Times New Roman"/>
          <w:sz w:val="24"/>
          <w:szCs w:val="24"/>
        </w:rPr>
        <w:t xml:space="preserve">2. </w:t>
      </w:r>
      <w:r w:rsidRPr="000C727E">
        <w:rPr>
          <w:rFonts w:ascii="Times New Roman" w:hAnsi="Times New Roman" w:cs="Times New Roman"/>
          <w:sz w:val="24"/>
          <w:szCs w:val="24"/>
        </w:rPr>
        <w:t>Taikoma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Tiekėjas, pateikdamas pasirašytą pasiūlymą</w:t>
      </w:r>
      <w:r>
        <w:rPr>
          <w:rFonts w:ascii="Times New Roman" w:hAnsi="Times New Roman" w:cs="Times New Roman"/>
          <w:sz w:val="24"/>
          <w:szCs w:val="24"/>
        </w:rPr>
        <w:t>,</w:t>
      </w:r>
      <w:r w:rsidRPr="000C727E">
        <w:rPr>
          <w:rFonts w:ascii="Times New Roman" w:hAnsi="Times New Roman" w:cs="Times New Roman"/>
          <w:sz w:val="24"/>
          <w:szCs w:val="24"/>
        </w:rPr>
        <w:t xml:space="preserve"> patvirtinta, kad </w:t>
      </w:r>
      <w:r w:rsidR="00A03786">
        <w:rPr>
          <w:rFonts w:ascii="Times New Roman" w:hAnsi="Times New Roman" w:cs="Times New Roman"/>
          <w:sz w:val="24"/>
          <w:szCs w:val="24"/>
        </w:rPr>
        <w:t>pagal VPĮ 46 str. 2(1) d. netaikomas pašalinimo pagrindas.</w:t>
      </w:r>
    </w:p>
    <w:p w14:paraId="556F2CE4" w14:textId="0FF0BC8A" w:rsidR="00F962E3" w:rsidRDefault="00F962E3" w:rsidP="00F962E3">
      <w:pPr>
        <w:spacing w:after="0" w:line="240" w:lineRule="auto"/>
        <w:ind w:left="900"/>
        <w:jc w:val="both"/>
        <w:rPr>
          <w:rFonts w:ascii="Times New Roman" w:hAnsi="Times New Roman" w:cs="Times New Roman"/>
          <w:sz w:val="24"/>
          <w:szCs w:val="24"/>
        </w:rPr>
      </w:pPr>
    </w:p>
    <w:p w14:paraId="217DBAB9" w14:textId="529113EA" w:rsidR="00F962E3" w:rsidRDefault="007D35CF" w:rsidP="007D35CF">
      <w:pPr>
        <w:tabs>
          <w:tab w:val="left" w:pos="1692"/>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ab/>
      </w:r>
    </w:p>
    <w:p w14:paraId="1B8D9237" w14:textId="77777777" w:rsidR="007D35CF" w:rsidRPr="0064140F" w:rsidRDefault="007D35CF" w:rsidP="00F962E3">
      <w:pPr>
        <w:spacing w:after="0" w:line="240" w:lineRule="auto"/>
        <w:ind w:left="900"/>
        <w:jc w:val="both"/>
        <w:rPr>
          <w:rFonts w:ascii="Times New Roman" w:hAnsi="Times New Roman" w:cs="Times New Roman"/>
          <w:sz w:val="24"/>
          <w:szCs w:val="24"/>
        </w:rPr>
      </w:pPr>
    </w:p>
    <w:p w14:paraId="6B81B951" w14:textId="0E974F90" w:rsidR="007D35CF" w:rsidRDefault="00CB0779" w:rsidP="00CB0779">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
    <w:p w14:paraId="2445CA95" w14:textId="28915BF6" w:rsidR="00103B3B" w:rsidRPr="0064140F" w:rsidRDefault="000C727E" w:rsidP="00F96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103B3B" w:rsidRPr="0064140F">
        <w:rPr>
          <w:rFonts w:ascii="Times New Roman" w:hAnsi="Times New Roman" w:cs="Times New Roman"/>
          <w:sz w:val="24"/>
          <w:szCs w:val="24"/>
        </w:rPr>
        <w:t xml:space="preserve">Šis pasiūlymas galioja 3 mėnesius nuo pasiūlymų pateikimo termino pabaigos. </w:t>
      </w:r>
    </w:p>
    <w:p w14:paraId="206F334E" w14:textId="6127A16F" w:rsidR="00103B3B" w:rsidRDefault="000C727E" w:rsidP="00F96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03B3B"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03B3B" w:rsidRPr="00A02497" w14:paraId="032CB116" w14:textId="77777777" w:rsidTr="006C6F58">
        <w:tc>
          <w:tcPr>
            <w:tcW w:w="2277" w:type="pct"/>
            <w:tcBorders>
              <w:top w:val="nil"/>
              <w:left w:val="nil"/>
              <w:right w:val="nil"/>
            </w:tcBorders>
          </w:tcPr>
          <w:p w14:paraId="650FFD9E"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4FE94CBE"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4431F48F"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1"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1"/>
          </w:p>
        </w:tc>
      </w:tr>
      <w:tr w:rsidR="00103B3B" w:rsidRPr="00A02497" w14:paraId="70E9DC4B" w14:textId="77777777" w:rsidTr="006C6F58">
        <w:trPr>
          <w:trHeight w:val="158"/>
        </w:trPr>
        <w:tc>
          <w:tcPr>
            <w:tcW w:w="2277" w:type="pct"/>
            <w:tcBorders>
              <w:left w:val="nil"/>
              <w:bottom w:val="nil"/>
              <w:right w:val="nil"/>
            </w:tcBorders>
          </w:tcPr>
          <w:p w14:paraId="64925D53" w14:textId="77777777" w:rsidR="00103B3B" w:rsidRPr="00A02497" w:rsidRDefault="00103B3B"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2092577F" w14:textId="77777777" w:rsidR="00103B3B" w:rsidRPr="00A02497" w:rsidRDefault="00103B3B" w:rsidP="00E5022C">
            <w:pPr>
              <w:pStyle w:val="Pagrindinistekstas1"/>
              <w:tabs>
                <w:tab w:val="left" w:pos="0"/>
              </w:tabs>
              <w:ind w:left="52" w:firstLine="0"/>
              <w:jc w:val="center"/>
              <w:rPr>
                <w:rFonts w:ascii="Times New Roman" w:hAnsi="Times New Roman"/>
                <w:sz w:val="18"/>
                <w:szCs w:val="18"/>
                <w:lang w:val="lt-LT"/>
              </w:rPr>
            </w:pPr>
            <w:r w:rsidRPr="00A02497">
              <w:rPr>
                <w:rFonts w:ascii="Times New Roman" w:hAnsi="Times New Roman"/>
                <w:position w:val="6"/>
                <w:sz w:val="18"/>
                <w:szCs w:val="18"/>
                <w:lang w:val="lt-LT"/>
              </w:rPr>
              <w:t>(Parašas)</w:t>
            </w:r>
          </w:p>
        </w:tc>
        <w:tc>
          <w:tcPr>
            <w:tcW w:w="138" w:type="pct"/>
            <w:tcBorders>
              <w:top w:val="nil"/>
              <w:left w:val="nil"/>
              <w:bottom w:val="nil"/>
              <w:right w:val="nil"/>
            </w:tcBorders>
          </w:tcPr>
          <w:p w14:paraId="29336FDD"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A02497"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563890D" w:rsidR="00A066EB" w:rsidRDefault="00A066EB" w:rsidP="004E4706">
      <w:pPr>
        <w:spacing w:after="0" w:line="240" w:lineRule="auto"/>
        <w:rPr>
          <w:rFonts w:ascii="Times New Roman" w:hAnsi="Times New Roman" w:cs="Times New Roman"/>
          <w:b/>
          <w:sz w:val="24"/>
          <w:szCs w:val="24"/>
          <w:lang w:eastAsia="lt-LT"/>
        </w:rPr>
      </w:pPr>
    </w:p>
    <w:sectPr w:rsidR="00A066EB" w:rsidSect="00F962E3">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5FA8" w14:textId="77777777" w:rsidR="00FA05C7" w:rsidRDefault="00FA05C7" w:rsidP="00103B3B">
      <w:pPr>
        <w:spacing w:after="0" w:line="240" w:lineRule="auto"/>
      </w:pPr>
      <w:r>
        <w:separator/>
      </w:r>
    </w:p>
  </w:endnote>
  <w:endnote w:type="continuationSeparator" w:id="0">
    <w:p w14:paraId="2B2B2C29" w14:textId="77777777" w:rsidR="00FA05C7" w:rsidRDefault="00FA05C7"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7063" w14:textId="77777777" w:rsidR="00FA05C7" w:rsidRDefault="00FA05C7" w:rsidP="00103B3B">
      <w:pPr>
        <w:spacing w:after="0" w:line="240" w:lineRule="auto"/>
      </w:pPr>
      <w:r>
        <w:separator/>
      </w:r>
    </w:p>
  </w:footnote>
  <w:footnote w:type="continuationSeparator" w:id="0">
    <w:p w14:paraId="22A1E4B6" w14:textId="77777777" w:rsidR="00FA05C7" w:rsidRDefault="00FA05C7" w:rsidP="00103B3B">
      <w:pPr>
        <w:spacing w:after="0" w:line="240" w:lineRule="auto"/>
      </w:pPr>
      <w:r>
        <w:continuationSeparator/>
      </w:r>
    </w:p>
  </w:footnote>
  <w:footnote w:id="1">
    <w:p w14:paraId="4520DC7D" w14:textId="77777777" w:rsidR="00103B3B" w:rsidRPr="00593943" w:rsidRDefault="00103B3B" w:rsidP="00392BAF">
      <w:pPr>
        <w:spacing w:after="0" w:line="240" w:lineRule="auto"/>
        <w:ind w:firstLine="142"/>
        <w:jc w:val="both"/>
        <w:rPr>
          <w:rFonts w:ascii="Times New Roman" w:hAnsi="Times New Roman" w:cs="Times New Roman"/>
          <w:sz w:val="16"/>
          <w:szCs w:val="16"/>
        </w:rPr>
      </w:pPr>
      <w:r w:rsidRPr="00593943">
        <w:rPr>
          <w:rFonts w:ascii="Times New Roman" w:hAnsi="Times New Roman" w:cs="Times New Roman"/>
          <w:sz w:val="16"/>
          <w:szCs w:val="16"/>
        </w:rPr>
        <w:footnoteRef/>
      </w:r>
      <w:r w:rsidRPr="00593943">
        <w:rPr>
          <w:rFonts w:ascii="Times New Roman" w:hAnsi="Times New Roman" w:cs="Times New Roman"/>
          <w:sz w:val="16"/>
          <w:szCs w:val="16"/>
        </w:rPr>
        <w:t> Jeigu pasiūlymą pasirašo ne Tiekėjo vadovas, su pasiūlymu pateikiamas įgaliojimas ar kitas dokumentas (pvz., pareigybės aprašymas), suteikiantis teisę pasirašyti Tiekėjo pasiūlymą.</w:t>
      </w:r>
    </w:p>
  </w:footnote>
  <w:footnote w:id="2">
    <w:p w14:paraId="18B771BE" w14:textId="2AB701A2" w:rsidR="00103B3B" w:rsidRPr="00593943" w:rsidRDefault="00103B3B" w:rsidP="00392BAF">
      <w:pPr>
        <w:spacing w:after="0" w:line="240" w:lineRule="auto"/>
        <w:ind w:firstLine="142"/>
        <w:jc w:val="both"/>
        <w:rPr>
          <w:rFonts w:ascii="Arial" w:hAnsi="Arial" w:cs="Arial"/>
          <w:sz w:val="16"/>
          <w:szCs w:val="16"/>
        </w:rPr>
      </w:pPr>
      <w:r w:rsidRPr="00593943">
        <w:rPr>
          <w:rFonts w:ascii="Times New Roman" w:hAnsi="Times New Roman" w:cs="Times New Roman"/>
          <w:sz w:val="16"/>
          <w:szCs w:val="16"/>
        </w:rPr>
        <w:footnoteRef/>
      </w:r>
      <w:r w:rsidRPr="00593943">
        <w:rPr>
          <w:rFonts w:ascii="Times New Roman" w:hAnsi="Times New Roman" w:cs="Times New Roman"/>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CC45B1" w:rsidRPr="00593943">
        <w:rPr>
          <w:rFonts w:ascii="Times New Roman" w:hAnsi="Times New Roman" w:cs="Times New Roman"/>
          <w:sz w:val="16"/>
          <w:szCs w:val="16"/>
        </w:rPr>
        <w:t xml:space="preserve">3 </w:t>
      </w:r>
      <w:r w:rsidRPr="00593943">
        <w:rPr>
          <w:rFonts w:ascii="Times New Roman" w:hAnsi="Times New Roman" w:cs="Times New Roman"/>
          <w:sz w:val="16"/>
          <w:szCs w:val="16"/>
        </w:rPr>
        <w:t>darbo dienos, pagrįsti jos konfidencialumą. Jei tokia informacija pasiūlyme nebus nurodyta, Komisija laikys, kad bet kuri pasiūlyme pateikta informacija nėra konfidenciali, išskyrus informaciją, kurią atskleidus būtų pažeisti</w:t>
      </w:r>
      <w:r w:rsidR="00A56998" w:rsidRPr="00593943">
        <w:rPr>
          <w:rFonts w:ascii="Times New Roman" w:hAnsi="Times New Roman" w:cs="Times New Roman"/>
          <w:color w:val="00B050"/>
          <w:sz w:val="16"/>
          <w:szCs w:val="16"/>
        </w:rPr>
        <w:t xml:space="preserve"> </w:t>
      </w:r>
      <w:r w:rsidR="00A56998" w:rsidRPr="00593943">
        <w:rPr>
          <w:rFonts w:ascii="Times New Roman" w:hAnsi="Times New Roman" w:cs="Times New Roman"/>
          <w:sz w:val="16"/>
          <w:szCs w:val="16"/>
        </w:rPr>
        <w:t xml:space="preserve">LR asmens </w:t>
      </w:r>
      <w:r w:rsidRPr="00593943">
        <w:rPr>
          <w:rFonts w:ascii="Times New Roman" w:hAnsi="Times New Roman" w:cs="Times New Roman"/>
          <w:sz w:val="16"/>
          <w:szCs w:val="16"/>
        </w:rPr>
        <w:t xml:space="preserve">duomenų teisinės apsaugos įstatymo reikalavimai ar Tiekėjo įsipareigojimai pagal su trečiaisiais asmenimis sudarytas sutartis. </w:t>
      </w:r>
    </w:p>
  </w:footnote>
  <w:footnote w:id="3">
    <w:p w14:paraId="509340B1" w14:textId="05E838DA" w:rsidR="00103B3B" w:rsidRPr="004D3FFD" w:rsidRDefault="00103B3B" w:rsidP="007D35CF">
      <w:pPr>
        <w:spacing w:after="0" w:line="240" w:lineRule="auto"/>
        <w:ind w:left="851" w:right="-994"/>
        <w:jc w:val="both"/>
        <w:rPr>
          <w:rFonts w:ascii="Times New Roman" w:hAnsi="Times New Roman" w:cs="Times New Roman"/>
          <w:sz w:val="16"/>
          <w:szCs w:val="16"/>
        </w:rPr>
      </w:pPr>
      <w:r w:rsidRPr="004D3FFD">
        <w:rPr>
          <w:rFonts w:ascii="Times New Roman" w:hAnsi="Times New Roman" w:cs="Times New Roman"/>
          <w:sz w:val="16"/>
          <w:szCs w:val="16"/>
        </w:rPr>
        <w:footnoteRef/>
      </w:r>
      <w:r w:rsidRPr="004D3FFD">
        <w:rPr>
          <w:rFonts w:ascii="Times New Roman" w:hAnsi="Times New Roman" w:cs="Times New Roman"/>
          <w:sz w:val="16"/>
          <w:szCs w:val="16"/>
        </w:rPr>
        <w:t xml:space="preserve"> Nurodyti žinomus subtiekėjus</w:t>
      </w:r>
      <w:r w:rsidR="00901AE4" w:rsidRPr="004D3FFD">
        <w:rPr>
          <w:rFonts w:ascii="Times New Roman" w:hAnsi="Times New Roman" w:cs="Times New Roman"/>
          <w:sz w:val="16"/>
          <w:szCs w:val="16"/>
        </w:rPr>
        <w:t xml:space="preserve"> ir ūkio subjektus</w:t>
      </w:r>
      <w:r w:rsidRPr="004D3FFD">
        <w:rPr>
          <w:rFonts w:ascii="Times New Roman" w:hAnsi="Times New Roman" w:cs="Times New Roman"/>
          <w:sz w:val="16"/>
          <w:szCs w:val="16"/>
        </w:rPr>
        <w:t>, kurie bus pasitelkti vykdant pirkimo sutartį</w:t>
      </w:r>
      <w:r w:rsidR="00901AE4" w:rsidRPr="004D3FFD">
        <w:rPr>
          <w:rFonts w:ascii="Times New Roman" w:hAnsi="Times New Roman" w:cs="Times New Roman"/>
          <w:sz w:val="16"/>
          <w:szCs w:val="16"/>
        </w:rPr>
        <w:t>. Subtiekėjų</w:t>
      </w:r>
      <w:r w:rsidRPr="004D3FFD">
        <w:rPr>
          <w:rFonts w:ascii="Times New Roman" w:hAnsi="Times New Roman" w:cs="Times New Roman"/>
          <w:sz w:val="16"/>
          <w:szCs w:val="16"/>
        </w:rPr>
        <w:t xml:space="preserve"> </w:t>
      </w:r>
      <w:r w:rsidR="00901AE4" w:rsidRPr="004D3FFD">
        <w:rPr>
          <w:rFonts w:ascii="Times New Roman" w:hAnsi="Times New Roman" w:cs="Times New Roman"/>
          <w:sz w:val="16"/>
          <w:szCs w:val="16"/>
        </w:rPr>
        <w:t xml:space="preserve">ir ūkio subjektų </w:t>
      </w:r>
      <w:r w:rsidRPr="004D3FFD">
        <w:rPr>
          <w:rFonts w:ascii="Times New Roman" w:hAnsi="Times New Roman" w:cs="Times New Roman"/>
          <w:sz w:val="16"/>
          <w:szCs w:val="16"/>
        </w:rPr>
        <w:t xml:space="preserve">pasitelkimas nekeičia Tiekėjo atsakomybės dėl numatomos sudaryti Sutarties įvykdymo, todėl bet kokiu atveju Tiekėjas pilnai prisiima atsakomybę už subtiekėjų </w:t>
      </w:r>
      <w:r w:rsidR="00901AE4" w:rsidRPr="004D3FFD">
        <w:rPr>
          <w:rFonts w:ascii="Times New Roman" w:hAnsi="Times New Roman" w:cs="Times New Roman"/>
          <w:sz w:val="16"/>
          <w:szCs w:val="16"/>
        </w:rPr>
        <w:t xml:space="preserve">ir ūkio subjektų </w:t>
      </w:r>
      <w:r w:rsidRPr="004D3FFD">
        <w:rPr>
          <w:rFonts w:ascii="Times New Roman" w:hAnsi="Times New Roman" w:cs="Times New Roman"/>
          <w:sz w:val="16"/>
          <w:szCs w:val="16"/>
        </w:rPr>
        <w:t>veiklą vykdant sutartį.</w:t>
      </w:r>
      <w:r w:rsidR="007D35CF" w:rsidRPr="007D35CF">
        <w:t xml:space="preserve"> </w:t>
      </w:r>
      <w:r w:rsidR="007D35CF" w:rsidRPr="007D35CF">
        <w:rPr>
          <w:rFonts w:ascii="Times New Roman" w:hAnsi="Times New Roman" w:cs="Times New Roman"/>
          <w:sz w:val="16"/>
          <w:szCs w:val="16"/>
        </w:rPr>
        <w:t>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footnote>
  <w:footnote w:id="4">
    <w:p w14:paraId="3C25A8C2" w14:textId="53374432" w:rsidR="00456BB6" w:rsidRPr="004D3FFD" w:rsidRDefault="00456BB6" w:rsidP="007D35CF">
      <w:pPr>
        <w:spacing w:after="0" w:line="240" w:lineRule="auto"/>
        <w:jc w:val="both"/>
        <w:rPr>
          <w:rFonts w:ascii="Times New Roman" w:hAnsi="Times New Roman" w:cs="Times New Roman"/>
          <w:sz w:val="16"/>
          <w:szCs w:val="16"/>
        </w:rPr>
      </w:pPr>
    </w:p>
  </w:footnote>
  <w:footnote w:id="5">
    <w:p w14:paraId="0BC7E7E2" w14:textId="3357A707" w:rsidR="00F962E3" w:rsidRDefault="007D35CF" w:rsidP="007D35CF">
      <w:pPr>
        <w:spacing w:after="0" w:line="240" w:lineRule="auto"/>
        <w:ind w:left="851" w:right="-994"/>
        <w:jc w:val="both"/>
        <w:rPr>
          <w:sz w:val="16"/>
          <w:szCs w:val="16"/>
        </w:rPr>
      </w:pPr>
      <w:r>
        <w:rPr>
          <w:rFonts w:ascii="Times New Roman" w:hAnsi="Times New Roman" w:cs="Times New Roman"/>
          <w:sz w:val="16"/>
          <w:szCs w:val="16"/>
        </w:rPr>
        <w:t>4</w:t>
      </w:r>
      <w:r w:rsidR="00F962E3" w:rsidRPr="004D3FFD">
        <w:rPr>
          <w:rFonts w:ascii="Times New Roman" w:hAnsi="Times New Roman" w:cs="Times New Roman"/>
          <w:sz w:val="16"/>
          <w:szCs w:val="16"/>
        </w:rPr>
        <w:t xml:space="preserve"> </w:t>
      </w:r>
      <w:r w:rsidR="00F962E3">
        <w:rPr>
          <w:rFonts w:ascii="Times New Roman" w:hAnsi="Times New Roman" w:cs="Times New Roman"/>
          <w:sz w:val="16"/>
          <w:szCs w:val="16"/>
          <w:u w:val="single"/>
        </w:rPr>
        <w:t>Kaina</w:t>
      </w:r>
      <w:r w:rsidR="00F962E3" w:rsidRPr="004D3FFD">
        <w:rPr>
          <w:rFonts w:ascii="Times New Roman" w:hAnsi="Times New Roman" w:cs="Times New Roman"/>
          <w:sz w:val="16"/>
          <w:szCs w:val="16"/>
          <w:u w:val="single"/>
        </w:rPr>
        <w:t xml:space="preserve"> nurodoma tikslumo lygiu iki euro šimtųjų dalių</w:t>
      </w:r>
      <w:r w:rsidR="00F962E3" w:rsidRPr="004D3FFD">
        <w:rPr>
          <w:rFonts w:ascii="Times New Roman" w:hAnsi="Times New Roman" w:cs="Times New Roman"/>
          <w:sz w:val="16"/>
          <w:szCs w:val="16"/>
        </w:rPr>
        <w:t xml:space="preserve">, t. y. suapvalinama paliekant du skaitmenis po </w:t>
      </w:r>
      <w:r>
        <w:rPr>
          <w:rFonts w:ascii="Times New Roman" w:hAnsi="Times New Roman" w:cs="Times New Roman"/>
          <w:sz w:val="16"/>
          <w:szCs w:val="16"/>
        </w:rPr>
        <w:t xml:space="preserve">kablelio. Sutartis bus sudaroma  </w:t>
      </w:r>
      <w:r w:rsidR="00F962E3" w:rsidRPr="004D3FFD">
        <w:rPr>
          <w:rFonts w:ascii="Times New Roman" w:hAnsi="Times New Roman" w:cs="Times New Roman"/>
          <w:sz w:val="16"/>
          <w:szCs w:val="16"/>
        </w:rPr>
        <w:t>vadovaujantis Kainodaros taisyklių nustatymo metodikos, patvirtintos Viešųjų pirkimų tarnybos direktoriaus 2017 m. birželio 28 d. įsakymu Nr. 1S-95 „Dėl kainodaros taisyklių nustatymo metodikos patvirtinimo“ (Nauja redakcija nuo 2019-02-01: Nr. 1S-13, 2019-01-24), 14 punkto nuostatomis</w:t>
      </w:r>
      <w:r w:rsidR="00F962E3" w:rsidRPr="004D3FFD">
        <w:rPr>
          <w:sz w:val="16"/>
          <w:szCs w:val="16"/>
        </w:rPr>
        <w:t>.</w:t>
      </w:r>
    </w:p>
    <w:p w14:paraId="0F176E92" w14:textId="77777777" w:rsidR="00F962E3" w:rsidRPr="004D3FFD" w:rsidRDefault="00F962E3" w:rsidP="00F962E3">
      <w:pPr>
        <w:spacing w:after="0" w:line="240" w:lineRule="auto"/>
        <w:ind w:left="851" w:hanging="567"/>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840961"/>
      <w:docPartObj>
        <w:docPartGallery w:val="Page Numbers (Top of Page)"/>
        <w:docPartUnique/>
      </w:docPartObj>
    </w:sdtPr>
    <w:sdtContent>
      <w:p w14:paraId="5CD8A383" w14:textId="23B2132D" w:rsidR="00A5292E" w:rsidRDefault="00103B3B" w:rsidP="002D02F9">
        <w:pPr>
          <w:pStyle w:val="Antrats"/>
          <w:jc w:val="center"/>
        </w:pPr>
        <w:r>
          <w:fldChar w:fldCharType="begin"/>
        </w:r>
        <w:r>
          <w:instrText>PAGE   \* MERGEFORMAT</w:instrText>
        </w:r>
        <w:r>
          <w:fldChar w:fldCharType="separate"/>
        </w:r>
        <w:r w:rsidR="00CB077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1089983">
    <w:abstractNumId w:val="1"/>
  </w:num>
  <w:num w:numId="2" w16cid:durableId="1654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3B"/>
    <w:rsid w:val="000147E9"/>
    <w:rsid w:val="00033E9A"/>
    <w:rsid w:val="00034CE3"/>
    <w:rsid w:val="00051414"/>
    <w:rsid w:val="000815F7"/>
    <w:rsid w:val="000964BC"/>
    <w:rsid w:val="000A5EE7"/>
    <w:rsid w:val="000A7828"/>
    <w:rsid w:val="000C6E5B"/>
    <w:rsid w:val="000C727E"/>
    <w:rsid w:val="000D0A25"/>
    <w:rsid w:val="000F7815"/>
    <w:rsid w:val="00103B3B"/>
    <w:rsid w:val="00114AAD"/>
    <w:rsid w:val="00136B74"/>
    <w:rsid w:val="00137DA4"/>
    <w:rsid w:val="001674EC"/>
    <w:rsid w:val="001C1C39"/>
    <w:rsid w:val="00236486"/>
    <w:rsid w:val="00241E75"/>
    <w:rsid w:val="002618CB"/>
    <w:rsid w:val="00275651"/>
    <w:rsid w:val="0029039E"/>
    <w:rsid w:val="00296B91"/>
    <w:rsid w:val="002B26C7"/>
    <w:rsid w:val="002B5706"/>
    <w:rsid w:val="002E6ECA"/>
    <w:rsid w:val="002F7E75"/>
    <w:rsid w:val="003045C8"/>
    <w:rsid w:val="00306B20"/>
    <w:rsid w:val="00320090"/>
    <w:rsid w:val="003214B1"/>
    <w:rsid w:val="003238BD"/>
    <w:rsid w:val="00365276"/>
    <w:rsid w:val="0037423E"/>
    <w:rsid w:val="00377741"/>
    <w:rsid w:val="00382397"/>
    <w:rsid w:val="00392BAF"/>
    <w:rsid w:val="003B05EC"/>
    <w:rsid w:val="003E288E"/>
    <w:rsid w:val="003E3C96"/>
    <w:rsid w:val="003F1543"/>
    <w:rsid w:val="00404242"/>
    <w:rsid w:val="00441B5F"/>
    <w:rsid w:val="00456BB6"/>
    <w:rsid w:val="00477557"/>
    <w:rsid w:val="00482D32"/>
    <w:rsid w:val="0048615F"/>
    <w:rsid w:val="00490DB1"/>
    <w:rsid w:val="004B2A19"/>
    <w:rsid w:val="004D3FFD"/>
    <w:rsid w:val="004E117D"/>
    <w:rsid w:val="004E4706"/>
    <w:rsid w:val="0051226F"/>
    <w:rsid w:val="005424A9"/>
    <w:rsid w:val="005918FC"/>
    <w:rsid w:val="00593943"/>
    <w:rsid w:val="005A0DF7"/>
    <w:rsid w:val="005B337E"/>
    <w:rsid w:val="005B70B2"/>
    <w:rsid w:val="005F44A9"/>
    <w:rsid w:val="0064140F"/>
    <w:rsid w:val="00654FC8"/>
    <w:rsid w:val="00656F99"/>
    <w:rsid w:val="00680F9A"/>
    <w:rsid w:val="00691A1D"/>
    <w:rsid w:val="006A25BC"/>
    <w:rsid w:val="006B1D08"/>
    <w:rsid w:val="006C5B7D"/>
    <w:rsid w:val="006C6F58"/>
    <w:rsid w:val="007012C5"/>
    <w:rsid w:val="00702E5D"/>
    <w:rsid w:val="00723CF7"/>
    <w:rsid w:val="007348B5"/>
    <w:rsid w:val="00750CA3"/>
    <w:rsid w:val="00797539"/>
    <w:rsid w:val="007A0A97"/>
    <w:rsid w:val="007A7520"/>
    <w:rsid w:val="007B6853"/>
    <w:rsid w:val="007D1BB4"/>
    <w:rsid w:val="007D35CF"/>
    <w:rsid w:val="007D6924"/>
    <w:rsid w:val="007E4FFB"/>
    <w:rsid w:val="00805FB3"/>
    <w:rsid w:val="00806F5E"/>
    <w:rsid w:val="00807A5C"/>
    <w:rsid w:val="00821099"/>
    <w:rsid w:val="00845D77"/>
    <w:rsid w:val="008505A3"/>
    <w:rsid w:val="00853665"/>
    <w:rsid w:val="00864FE7"/>
    <w:rsid w:val="00876680"/>
    <w:rsid w:val="008D1400"/>
    <w:rsid w:val="00901AE4"/>
    <w:rsid w:val="009210E5"/>
    <w:rsid w:val="00922FA4"/>
    <w:rsid w:val="009234BE"/>
    <w:rsid w:val="00930E61"/>
    <w:rsid w:val="009465E2"/>
    <w:rsid w:val="0096330D"/>
    <w:rsid w:val="00974FB8"/>
    <w:rsid w:val="009A169F"/>
    <w:rsid w:val="009C7B94"/>
    <w:rsid w:val="009E058B"/>
    <w:rsid w:val="009F6BB4"/>
    <w:rsid w:val="00A00D43"/>
    <w:rsid w:val="00A03786"/>
    <w:rsid w:val="00A066EB"/>
    <w:rsid w:val="00A10489"/>
    <w:rsid w:val="00A1190B"/>
    <w:rsid w:val="00A25861"/>
    <w:rsid w:val="00A306E6"/>
    <w:rsid w:val="00A34144"/>
    <w:rsid w:val="00A36C9D"/>
    <w:rsid w:val="00A400BD"/>
    <w:rsid w:val="00A47A6A"/>
    <w:rsid w:val="00A5292E"/>
    <w:rsid w:val="00A54A90"/>
    <w:rsid w:val="00A56998"/>
    <w:rsid w:val="00A620EF"/>
    <w:rsid w:val="00A77F06"/>
    <w:rsid w:val="00AB10B8"/>
    <w:rsid w:val="00AB67C3"/>
    <w:rsid w:val="00B24556"/>
    <w:rsid w:val="00B27854"/>
    <w:rsid w:val="00B56DA6"/>
    <w:rsid w:val="00B62E97"/>
    <w:rsid w:val="00B66DA3"/>
    <w:rsid w:val="00B66FC0"/>
    <w:rsid w:val="00B77058"/>
    <w:rsid w:val="00B91244"/>
    <w:rsid w:val="00BD1048"/>
    <w:rsid w:val="00BE4618"/>
    <w:rsid w:val="00C1372A"/>
    <w:rsid w:val="00C27D21"/>
    <w:rsid w:val="00C36E7D"/>
    <w:rsid w:val="00C431AC"/>
    <w:rsid w:val="00C7370A"/>
    <w:rsid w:val="00C774F0"/>
    <w:rsid w:val="00C91527"/>
    <w:rsid w:val="00CB0779"/>
    <w:rsid w:val="00CC45B1"/>
    <w:rsid w:val="00D04D47"/>
    <w:rsid w:val="00D16172"/>
    <w:rsid w:val="00D5719C"/>
    <w:rsid w:val="00D665FD"/>
    <w:rsid w:val="00DC29CA"/>
    <w:rsid w:val="00DC2DFB"/>
    <w:rsid w:val="00DD27D6"/>
    <w:rsid w:val="00E16CE5"/>
    <w:rsid w:val="00E41B7C"/>
    <w:rsid w:val="00EB2588"/>
    <w:rsid w:val="00EB67D0"/>
    <w:rsid w:val="00EC4A85"/>
    <w:rsid w:val="00ED4193"/>
    <w:rsid w:val="00ED5F5A"/>
    <w:rsid w:val="00EE4309"/>
    <w:rsid w:val="00F962E3"/>
    <w:rsid w:val="00FA05C7"/>
    <w:rsid w:val="00FB5EBC"/>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EA6744FC-890B-4A12-B78D-2CFA990F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5292E"/>
    <w:rPr>
      <w:sz w:val="16"/>
      <w:szCs w:val="16"/>
    </w:rPr>
  </w:style>
  <w:style w:type="paragraph" w:styleId="Komentarotekstas">
    <w:name w:val="annotation text"/>
    <w:basedOn w:val="prastasis"/>
    <w:link w:val="KomentarotekstasDiagrama"/>
    <w:uiPriority w:val="99"/>
    <w:semiHidden/>
    <w:unhideWhenUsed/>
    <w:rsid w:val="00A529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292E"/>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A5292E"/>
    <w:rPr>
      <w:b/>
      <w:bCs/>
    </w:rPr>
  </w:style>
  <w:style w:type="character" w:customStyle="1" w:styleId="KomentarotemaDiagrama">
    <w:name w:val="Komentaro tema Diagrama"/>
    <w:basedOn w:val="KomentarotekstasDiagrama"/>
    <w:link w:val="Komentarotema"/>
    <w:uiPriority w:val="99"/>
    <w:semiHidden/>
    <w:rsid w:val="00A5292E"/>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0514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41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B728-C084-46A9-A39D-1AFA305D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2352</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Eineta Kivaraite</cp:lastModifiedBy>
  <cp:revision>3</cp:revision>
  <dcterms:created xsi:type="dcterms:W3CDTF">2025-07-25T06:58:00Z</dcterms:created>
  <dcterms:modified xsi:type="dcterms:W3CDTF">2025-07-25T06:58:00Z</dcterms:modified>
</cp:coreProperties>
</file>