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EFF3A" w14:textId="3EEEBBA5" w:rsidR="001251FF" w:rsidRPr="00E153DF" w:rsidRDefault="00017F15" w:rsidP="00017F15">
      <w:pPr>
        <w:spacing w:after="0" w:line="240" w:lineRule="auto"/>
        <w:ind w:left="11057"/>
        <w:rPr>
          <w:rFonts w:cstheme="minorHAnsi"/>
          <w:color w:val="000000" w:themeColor="text1"/>
          <w:sz w:val="21"/>
          <w:szCs w:val="21"/>
        </w:rPr>
      </w:pPr>
      <w:r w:rsidRPr="00E153DF">
        <w:rPr>
          <w:rFonts w:cstheme="minorHAnsi"/>
          <w:color w:val="000000" w:themeColor="text1"/>
          <w:sz w:val="21"/>
          <w:szCs w:val="21"/>
        </w:rPr>
        <w:t xml:space="preserve">Konkurso specialiųjų </w:t>
      </w:r>
      <w:r w:rsidR="001251FF" w:rsidRPr="00E153DF">
        <w:rPr>
          <w:rFonts w:cstheme="minorHAnsi"/>
          <w:color w:val="000000" w:themeColor="text1"/>
          <w:sz w:val="21"/>
          <w:szCs w:val="21"/>
        </w:rPr>
        <w:t xml:space="preserve"> sąlygų 2 priedas</w:t>
      </w:r>
    </w:p>
    <w:p w14:paraId="67B2272A" w14:textId="77777777" w:rsidR="001251FF" w:rsidRPr="00E153DF" w:rsidRDefault="001251FF" w:rsidP="00017F15">
      <w:pPr>
        <w:spacing w:after="0" w:line="240" w:lineRule="auto"/>
        <w:ind w:left="11057"/>
        <w:rPr>
          <w:rFonts w:cstheme="minorHAnsi"/>
          <w:color w:val="000000" w:themeColor="text1"/>
          <w:sz w:val="21"/>
          <w:szCs w:val="21"/>
        </w:rPr>
      </w:pPr>
      <w:r w:rsidRPr="00E153DF">
        <w:rPr>
          <w:rFonts w:cstheme="minorHAnsi"/>
          <w:color w:val="000000" w:themeColor="text1"/>
          <w:sz w:val="21"/>
          <w:szCs w:val="21"/>
        </w:rPr>
        <w:t>„Techninė specifikacija“</w:t>
      </w:r>
    </w:p>
    <w:p w14:paraId="5B75F3B3" w14:textId="77777777" w:rsidR="008B1870" w:rsidRPr="00E153DF" w:rsidRDefault="008B1870" w:rsidP="006A7AAF">
      <w:pPr>
        <w:spacing w:after="0" w:line="240" w:lineRule="auto"/>
        <w:rPr>
          <w:rFonts w:cstheme="minorHAnsi"/>
          <w:sz w:val="21"/>
          <w:szCs w:val="21"/>
        </w:rPr>
      </w:pPr>
    </w:p>
    <w:p w14:paraId="5712FCEE" w14:textId="77777777" w:rsidR="008B1870" w:rsidRPr="00E153DF" w:rsidRDefault="008B1870" w:rsidP="006A7AAF">
      <w:pPr>
        <w:spacing w:after="0" w:line="240" w:lineRule="auto"/>
        <w:rPr>
          <w:rFonts w:cstheme="minorHAnsi"/>
          <w:sz w:val="21"/>
          <w:szCs w:val="21"/>
        </w:rPr>
      </w:pPr>
    </w:p>
    <w:p w14:paraId="0E7E2DAD" w14:textId="77777777" w:rsidR="008B1870" w:rsidRPr="00E153DF" w:rsidRDefault="008B1870" w:rsidP="006A7AAF">
      <w:pPr>
        <w:spacing w:after="0" w:line="240" w:lineRule="auto"/>
        <w:jc w:val="center"/>
        <w:rPr>
          <w:rFonts w:cstheme="minorHAnsi"/>
          <w:b/>
          <w:sz w:val="21"/>
          <w:szCs w:val="21"/>
        </w:rPr>
      </w:pPr>
      <w:r w:rsidRPr="00E153DF">
        <w:rPr>
          <w:rFonts w:cstheme="minorHAnsi"/>
          <w:b/>
          <w:sz w:val="21"/>
          <w:szCs w:val="21"/>
        </w:rPr>
        <w:t>TECHNINĖ SPECIFIKACIJA</w:t>
      </w:r>
    </w:p>
    <w:p w14:paraId="19AAF8F4" w14:textId="77777777" w:rsidR="008B1870" w:rsidRPr="00E153DF" w:rsidRDefault="008B1870" w:rsidP="006A7AAF">
      <w:pPr>
        <w:spacing w:after="0" w:line="240" w:lineRule="auto"/>
        <w:jc w:val="both"/>
        <w:rPr>
          <w:rFonts w:cstheme="minorHAnsi"/>
          <w:sz w:val="21"/>
          <w:szCs w:val="21"/>
        </w:rPr>
      </w:pPr>
    </w:p>
    <w:p w14:paraId="4F1D5778" w14:textId="77777777" w:rsidR="008B1870" w:rsidRPr="00E153DF" w:rsidRDefault="008B1870" w:rsidP="006A7AAF">
      <w:pPr>
        <w:spacing w:after="0" w:line="240" w:lineRule="auto"/>
        <w:jc w:val="both"/>
        <w:rPr>
          <w:rFonts w:cstheme="minorHAnsi"/>
          <w:b/>
          <w:sz w:val="21"/>
          <w:szCs w:val="21"/>
        </w:rPr>
      </w:pPr>
      <w:r w:rsidRPr="00E153DF">
        <w:rPr>
          <w:rFonts w:cstheme="minorHAnsi"/>
          <w:b/>
          <w:sz w:val="21"/>
          <w:szCs w:val="21"/>
        </w:rPr>
        <w:t>Pirkimo tikslas:</w:t>
      </w:r>
    </w:p>
    <w:p w14:paraId="0E18BE23" w14:textId="665C956C" w:rsidR="002645FE" w:rsidRPr="00E153DF" w:rsidRDefault="002D2E4E" w:rsidP="006A7AAF">
      <w:pPr>
        <w:spacing w:after="0" w:line="240" w:lineRule="auto"/>
        <w:jc w:val="both"/>
        <w:rPr>
          <w:rFonts w:cstheme="minorHAnsi"/>
          <w:sz w:val="21"/>
          <w:szCs w:val="21"/>
        </w:rPr>
      </w:pPr>
      <w:r w:rsidRPr="00E153DF">
        <w:rPr>
          <w:rFonts w:cstheme="minorHAnsi"/>
          <w:sz w:val="21"/>
          <w:szCs w:val="21"/>
        </w:rPr>
        <w:t xml:space="preserve">Perkami </w:t>
      </w:r>
      <w:r w:rsidR="002645FE" w:rsidRPr="00E153DF">
        <w:rPr>
          <w:rFonts w:cstheme="minorHAnsi"/>
          <w:sz w:val="21"/>
          <w:szCs w:val="21"/>
        </w:rPr>
        <w:t>mokymai kibernetinio saugumo temomis, susiję su nacionalinio saugumo uždavinių įgyvendinimu.</w:t>
      </w:r>
    </w:p>
    <w:p w14:paraId="33B18497" w14:textId="17FB8D6D" w:rsidR="008B1870" w:rsidRPr="00E153DF" w:rsidRDefault="008B1870" w:rsidP="006A7AAF">
      <w:pPr>
        <w:spacing w:after="0" w:line="240" w:lineRule="auto"/>
        <w:jc w:val="both"/>
        <w:rPr>
          <w:rFonts w:cstheme="minorHAnsi"/>
          <w:sz w:val="21"/>
          <w:szCs w:val="21"/>
        </w:rPr>
      </w:pPr>
      <w:r w:rsidRPr="00E153DF">
        <w:rPr>
          <w:rFonts w:cstheme="minorHAnsi"/>
          <w:sz w:val="21"/>
          <w:szCs w:val="21"/>
        </w:rPr>
        <w:t>Kibernetinio saugumo operacijų centrų (toliau – SOC) steigimo mokymai Lietuvos Respublikos krašto ministerijos (toliau – KAM) SOC steigėjams</w:t>
      </w:r>
      <w:r w:rsidR="004F0D0B" w:rsidRPr="00E153DF">
        <w:rPr>
          <w:rFonts w:cstheme="minorHAnsi"/>
          <w:sz w:val="21"/>
          <w:szCs w:val="21"/>
        </w:rPr>
        <w:t xml:space="preserve">, organizuojami SANS Institute (Escal Institute of Advanced Technologies, </w:t>
      </w:r>
      <w:hyperlink r:id="rId8" w:history="1">
        <w:r w:rsidR="004F0D0B" w:rsidRPr="00E153DF">
          <w:rPr>
            <w:rStyle w:val="Hyperlink"/>
            <w:rFonts w:cstheme="minorHAnsi"/>
            <w:sz w:val="21"/>
            <w:szCs w:val="21"/>
          </w:rPr>
          <w:t>https://www.sans.org/emea/</w:t>
        </w:r>
      </w:hyperlink>
      <w:r w:rsidR="004F0D0B" w:rsidRPr="00E153DF">
        <w:rPr>
          <w:rFonts w:cstheme="minorHAnsi"/>
          <w:sz w:val="21"/>
          <w:szCs w:val="21"/>
        </w:rPr>
        <w:t>), SANS kibernetinio saugumo temomis (</w:t>
      </w:r>
      <w:hyperlink r:id="rId9" w:history="1">
        <w:r w:rsidR="004F0D0B" w:rsidRPr="00E153DF">
          <w:rPr>
            <w:rStyle w:val="Hyperlink"/>
            <w:rFonts w:cstheme="minorHAnsi"/>
            <w:sz w:val="21"/>
            <w:szCs w:val="21"/>
          </w:rPr>
          <w:t>https://www.sans.org/cyber-security-courses/?training-format=in_person</w:t>
        </w:r>
      </w:hyperlink>
      <w:r w:rsidR="004F0D0B" w:rsidRPr="00E153DF">
        <w:rPr>
          <w:rFonts w:cstheme="minorHAnsi"/>
          <w:sz w:val="21"/>
          <w:szCs w:val="21"/>
        </w:rPr>
        <w:t xml:space="preserve">), vedami sertifikuotų SANS Institute instruktorių / lektorių: </w:t>
      </w:r>
      <w:hyperlink r:id="rId10" w:history="1">
        <w:r w:rsidR="004F0D0B" w:rsidRPr="00E153DF">
          <w:rPr>
            <w:rStyle w:val="Hyperlink"/>
            <w:rFonts w:cstheme="minorHAnsi"/>
            <w:sz w:val="21"/>
            <w:szCs w:val="21"/>
          </w:rPr>
          <w:t>https://www.sans.org/profiles/instructors/</w:t>
        </w:r>
      </w:hyperlink>
      <w:r w:rsidRPr="00E153DF">
        <w:rPr>
          <w:rFonts w:cstheme="minorHAnsi"/>
          <w:sz w:val="21"/>
          <w:szCs w:val="21"/>
        </w:rPr>
        <w:t xml:space="preserve"> (toliau –</w:t>
      </w:r>
      <w:r w:rsidR="00287C8F" w:rsidRPr="00E153DF">
        <w:rPr>
          <w:rFonts w:cstheme="minorHAnsi"/>
          <w:sz w:val="21"/>
          <w:szCs w:val="21"/>
        </w:rPr>
        <w:t xml:space="preserve"> Paslaugos</w:t>
      </w:r>
      <w:r w:rsidRPr="00E153DF">
        <w:rPr>
          <w:rFonts w:cstheme="minorHAnsi"/>
          <w:sz w:val="21"/>
          <w:szCs w:val="21"/>
        </w:rPr>
        <w:t xml:space="preserve"> arba Mokymai).</w:t>
      </w:r>
      <w:r w:rsidR="002D2E4E" w:rsidRPr="00E153DF">
        <w:rPr>
          <w:rFonts w:cstheme="minorHAnsi"/>
          <w:sz w:val="21"/>
          <w:szCs w:val="21"/>
        </w:rPr>
        <w:t xml:space="preserve"> </w:t>
      </w:r>
    </w:p>
    <w:p w14:paraId="3C386135" w14:textId="006007CC" w:rsidR="00EB2CE8" w:rsidRPr="00E153DF" w:rsidRDefault="00EB2CE8" w:rsidP="006A7AAF">
      <w:pPr>
        <w:spacing w:after="0" w:line="240" w:lineRule="auto"/>
        <w:jc w:val="both"/>
        <w:rPr>
          <w:rFonts w:cstheme="minorHAnsi"/>
          <w:sz w:val="21"/>
          <w:szCs w:val="21"/>
        </w:rPr>
      </w:pPr>
      <w:r w:rsidRPr="00E153DF">
        <w:rPr>
          <w:rFonts w:cstheme="minorHAnsi"/>
          <w:sz w:val="21"/>
          <w:szCs w:val="21"/>
        </w:rPr>
        <w:t>Mokymų tikslas yra suteikti dalyviams išsamias žinias ir praktinius įgūdž</w:t>
      </w:r>
      <w:r w:rsidR="002645FE" w:rsidRPr="00E153DF">
        <w:rPr>
          <w:rFonts w:cstheme="minorHAnsi"/>
          <w:sz w:val="21"/>
          <w:szCs w:val="21"/>
        </w:rPr>
        <w:t>ius, gautus iš SANS Institute, reikalingus efektyviam SOC</w:t>
      </w:r>
      <w:r w:rsidR="00EB5C33" w:rsidRPr="00E153DF">
        <w:rPr>
          <w:rFonts w:cstheme="minorHAnsi"/>
          <w:sz w:val="21"/>
          <w:szCs w:val="21"/>
        </w:rPr>
        <w:t xml:space="preserve"> </w:t>
      </w:r>
      <w:r w:rsidRPr="00E153DF">
        <w:rPr>
          <w:rFonts w:cstheme="minorHAnsi"/>
          <w:sz w:val="21"/>
          <w:szCs w:val="21"/>
        </w:rPr>
        <w:t>steigimui, valdymui ir plėtrai.</w:t>
      </w:r>
    </w:p>
    <w:p w14:paraId="028FE85A" w14:textId="77777777" w:rsidR="004F0D0B" w:rsidRPr="00E153DF" w:rsidRDefault="004F0D0B" w:rsidP="006A7AAF">
      <w:pPr>
        <w:spacing w:after="0" w:line="240" w:lineRule="auto"/>
        <w:jc w:val="both"/>
        <w:rPr>
          <w:rFonts w:cstheme="minorHAnsi"/>
          <w:sz w:val="21"/>
          <w:szCs w:val="21"/>
        </w:rPr>
      </w:pPr>
    </w:p>
    <w:p w14:paraId="4F286C50" w14:textId="1E629977" w:rsidR="00EB2CE8" w:rsidRPr="00E153DF" w:rsidRDefault="002645FE" w:rsidP="006A7AAF">
      <w:pPr>
        <w:spacing w:after="0" w:line="240" w:lineRule="auto"/>
        <w:jc w:val="both"/>
        <w:rPr>
          <w:rFonts w:cstheme="minorHAnsi"/>
          <w:b/>
          <w:sz w:val="21"/>
          <w:szCs w:val="21"/>
        </w:rPr>
      </w:pPr>
      <w:r w:rsidRPr="00E153DF">
        <w:rPr>
          <w:rFonts w:cstheme="minorHAnsi"/>
          <w:b/>
          <w:sz w:val="21"/>
          <w:szCs w:val="21"/>
        </w:rPr>
        <w:t>Mokymais įgyvendinamas p</w:t>
      </w:r>
      <w:r w:rsidR="00EB2CE8" w:rsidRPr="00E153DF">
        <w:rPr>
          <w:rFonts w:cstheme="minorHAnsi"/>
          <w:b/>
          <w:sz w:val="21"/>
          <w:szCs w:val="21"/>
        </w:rPr>
        <w:t>rojektas:</w:t>
      </w:r>
    </w:p>
    <w:p w14:paraId="5CD01094" w14:textId="77777777" w:rsidR="00EB2CE8" w:rsidRPr="00E153DF" w:rsidRDefault="00EB2CE8" w:rsidP="006A7AAF">
      <w:pPr>
        <w:spacing w:after="0" w:line="240" w:lineRule="auto"/>
        <w:jc w:val="both"/>
        <w:rPr>
          <w:rFonts w:cstheme="minorHAnsi"/>
          <w:sz w:val="21"/>
          <w:szCs w:val="21"/>
        </w:rPr>
      </w:pPr>
      <w:r w:rsidRPr="00E153DF">
        <w:rPr>
          <w:rFonts w:cstheme="minorHAnsi"/>
          <w:sz w:val="21"/>
          <w:szCs w:val="21"/>
        </w:rPr>
        <w:t>Mokymais bus įgyvendintas Europos Sąjungos lėšomis finansuojamas projektas Nr. 05-002-P-0001 „</w:t>
      </w:r>
      <w:hyperlink r:id="rId11" w:history="1">
        <w:r w:rsidRPr="00E153DF">
          <w:rPr>
            <w:rStyle w:val="Hyperlink"/>
            <w:rFonts w:cstheme="minorHAnsi"/>
            <w:sz w:val="21"/>
            <w:szCs w:val="21"/>
          </w:rPr>
          <w:t>Nacionalinės SOC/CSIRT modulinės sistemos sukūrimas</w:t>
        </w:r>
      </w:hyperlink>
      <w:r w:rsidRPr="00E153DF">
        <w:rPr>
          <w:rFonts w:cstheme="minorHAnsi"/>
          <w:sz w:val="21"/>
          <w:szCs w:val="21"/>
        </w:rPr>
        <w:t>“ įsteigti SOC, kuris bus atsakingas už organizacijos kibernetinio saugumo užtikrinimą, incidentų valdymą ir grėsmių analizę. Siekiant užtikrinti efektyvų SOC veikimą, būtina apmokyti darbuotojus, kurie bus atsakingi už SOC steigimą, valdymą ir plėtrą. Mokymai suteiks dalyviams išsamias žinias ir praktinius įgūdžius, reikalingus efektyviam SOC veikimui. Mokymai bus vykdomi pagal poveiklę 1.7.11. „Kibernetinio saugumo mokymai KAM SOC steigėjams“.</w:t>
      </w:r>
    </w:p>
    <w:p w14:paraId="3518DD9A" w14:textId="77777777" w:rsidR="00EB2CE8" w:rsidRPr="00E153DF" w:rsidRDefault="00EB2CE8" w:rsidP="006A7AAF">
      <w:pPr>
        <w:spacing w:after="0" w:line="240" w:lineRule="auto"/>
        <w:jc w:val="both"/>
        <w:rPr>
          <w:rFonts w:cstheme="minorHAnsi"/>
          <w:sz w:val="21"/>
          <w:szCs w:val="21"/>
        </w:rPr>
      </w:pPr>
    </w:p>
    <w:p w14:paraId="087112BE" w14:textId="77777777" w:rsidR="00287C8F" w:rsidRPr="00E153DF" w:rsidRDefault="00287C8F" w:rsidP="006A7AAF">
      <w:pPr>
        <w:spacing w:after="0" w:line="240" w:lineRule="auto"/>
        <w:jc w:val="both"/>
        <w:rPr>
          <w:rFonts w:cstheme="minorHAnsi"/>
          <w:b/>
          <w:sz w:val="21"/>
          <w:szCs w:val="21"/>
        </w:rPr>
      </w:pPr>
      <w:r w:rsidRPr="00E153DF">
        <w:rPr>
          <w:rFonts w:cstheme="minorHAnsi"/>
          <w:b/>
          <w:sz w:val="21"/>
          <w:szCs w:val="21"/>
        </w:rPr>
        <w:t>Duomenys apie Mokymus:</w:t>
      </w:r>
    </w:p>
    <w:p w14:paraId="1E7BF1B9" w14:textId="17A8C266" w:rsidR="008270C7" w:rsidRPr="00E153DF" w:rsidRDefault="002645FE" w:rsidP="004F0D0B">
      <w:pPr>
        <w:spacing w:after="0" w:line="240" w:lineRule="auto"/>
        <w:jc w:val="both"/>
        <w:rPr>
          <w:rFonts w:cstheme="minorHAnsi"/>
          <w:sz w:val="21"/>
          <w:szCs w:val="21"/>
        </w:rPr>
      </w:pPr>
      <w:r w:rsidRPr="00E153DF">
        <w:rPr>
          <w:rFonts w:cstheme="minorHAnsi"/>
          <w:sz w:val="21"/>
          <w:szCs w:val="21"/>
        </w:rPr>
        <w:t xml:space="preserve">Mokymų formatas – </w:t>
      </w:r>
      <w:r w:rsidR="00756776" w:rsidRPr="00E153DF">
        <w:rPr>
          <w:rFonts w:cstheme="minorHAnsi"/>
          <w:sz w:val="21"/>
          <w:szCs w:val="21"/>
        </w:rPr>
        <w:t>(</w:t>
      </w:r>
      <w:r w:rsidRPr="00E153DF">
        <w:rPr>
          <w:rFonts w:cstheme="minorHAnsi"/>
          <w:sz w:val="21"/>
          <w:szCs w:val="21"/>
        </w:rPr>
        <w:t>angl. in p</w:t>
      </w:r>
      <w:r w:rsidR="004F0D0B" w:rsidRPr="00E153DF">
        <w:rPr>
          <w:rFonts w:cstheme="minorHAnsi"/>
          <w:sz w:val="21"/>
          <w:szCs w:val="21"/>
        </w:rPr>
        <w:t>erson</w:t>
      </w:r>
      <w:r w:rsidR="00756776" w:rsidRPr="00E153DF">
        <w:rPr>
          <w:rFonts w:cstheme="minorHAnsi"/>
          <w:sz w:val="21"/>
          <w:szCs w:val="21"/>
        </w:rPr>
        <w:t>)</w:t>
      </w:r>
      <w:r w:rsidR="004F0D0B" w:rsidRPr="00E153DF">
        <w:rPr>
          <w:rFonts w:cstheme="minorHAnsi"/>
          <w:sz w:val="21"/>
          <w:szCs w:val="21"/>
        </w:rPr>
        <w:t>, t.</w:t>
      </w:r>
      <w:r w:rsidRPr="00E153DF">
        <w:rPr>
          <w:rFonts w:cstheme="minorHAnsi"/>
          <w:sz w:val="21"/>
          <w:szCs w:val="21"/>
        </w:rPr>
        <w:t xml:space="preserve"> y.</w:t>
      </w:r>
      <w:r w:rsidR="008270C7" w:rsidRPr="00E153DF">
        <w:rPr>
          <w:rFonts w:cstheme="minorHAnsi"/>
          <w:sz w:val="21"/>
          <w:szCs w:val="21"/>
        </w:rPr>
        <w:t xml:space="preserve"> gyvi mokymai: </w:t>
      </w:r>
      <w:hyperlink r:id="rId12" w:history="1">
        <w:r w:rsidR="008270C7" w:rsidRPr="00E153DF">
          <w:rPr>
            <w:rStyle w:val="Hyperlink"/>
            <w:rFonts w:cstheme="minorHAnsi"/>
            <w:sz w:val="21"/>
            <w:szCs w:val="21"/>
          </w:rPr>
          <w:t>https://www.sans.org/cyber-security-courses/?training-format=in_person</w:t>
        </w:r>
      </w:hyperlink>
      <w:r w:rsidR="008270C7" w:rsidRPr="00E153DF">
        <w:rPr>
          <w:rFonts w:cstheme="minorHAnsi"/>
          <w:sz w:val="21"/>
          <w:szCs w:val="21"/>
        </w:rPr>
        <w:t xml:space="preserve"> </w:t>
      </w:r>
    </w:p>
    <w:p w14:paraId="507BF458" w14:textId="35EE0C47" w:rsidR="004F0D0B" w:rsidRPr="00E153DF" w:rsidRDefault="00143E93" w:rsidP="004F0D0B">
      <w:pPr>
        <w:spacing w:after="0" w:line="240" w:lineRule="auto"/>
        <w:jc w:val="both"/>
        <w:rPr>
          <w:rFonts w:cstheme="minorHAnsi"/>
          <w:sz w:val="21"/>
          <w:szCs w:val="21"/>
        </w:rPr>
      </w:pPr>
      <w:r w:rsidRPr="00E153DF">
        <w:rPr>
          <w:rFonts w:cstheme="minorHAnsi"/>
          <w:sz w:val="21"/>
          <w:szCs w:val="21"/>
        </w:rPr>
        <w:t xml:space="preserve">Mokymų </w:t>
      </w:r>
      <w:r w:rsidR="00E6736C" w:rsidRPr="00E153DF">
        <w:rPr>
          <w:rFonts w:cstheme="minorHAnsi"/>
          <w:sz w:val="21"/>
          <w:szCs w:val="21"/>
        </w:rPr>
        <w:t xml:space="preserve">medžiaga ir dalyvių </w:t>
      </w:r>
      <w:r w:rsidRPr="00E153DF">
        <w:rPr>
          <w:rFonts w:cstheme="minorHAnsi"/>
          <w:sz w:val="21"/>
          <w:szCs w:val="21"/>
        </w:rPr>
        <w:t>sertifikatai – elektronine forma.</w:t>
      </w:r>
    </w:p>
    <w:p w14:paraId="19AA3B85" w14:textId="5E7182FF" w:rsidR="004F0D0B" w:rsidRPr="00E153DF" w:rsidRDefault="00143E93" w:rsidP="004F0D0B">
      <w:pPr>
        <w:spacing w:after="0" w:line="240" w:lineRule="auto"/>
        <w:jc w:val="both"/>
        <w:rPr>
          <w:rFonts w:cstheme="minorHAnsi"/>
          <w:sz w:val="21"/>
          <w:szCs w:val="21"/>
        </w:rPr>
      </w:pPr>
      <w:r w:rsidRPr="00E153DF">
        <w:rPr>
          <w:rFonts w:cstheme="minorHAnsi"/>
          <w:sz w:val="21"/>
          <w:szCs w:val="21"/>
        </w:rPr>
        <w:t xml:space="preserve">Mokymuose dalyvaus </w:t>
      </w:r>
      <w:r w:rsidR="008270C7" w:rsidRPr="00E153DF">
        <w:rPr>
          <w:rFonts w:cstheme="minorHAnsi"/>
          <w:sz w:val="21"/>
          <w:szCs w:val="21"/>
        </w:rPr>
        <w:t>6 (šeši) darbuotojai iš Nacionalinio kibernetinio saugumo centro</w:t>
      </w:r>
      <w:r w:rsidRPr="00E153DF">
        <w:rPr>
          <w:rFonts w:cstheme="minorHAnsi"/>
          <w:sz w:val="21"/>
          <w:szCs w:val="21"/>
        </w:rPr>
        <w:t xml:space="preserve"> prie Krašto apsaugos ministerijos </w:t>
      </w:r>
      <w:r w:rsidR="008270C7" w:rsidRPr="00E153DF">
        <w:rPr>
          <w:rFonts w:cstheme="minorHAnsi"/>
          <w:sz w:val="21"/>
          <w:szCs w:val="21"/>
        </w:rPr>
        <w:t>(toliau – NKSC)</w:t>
      </w:r>
      <w:r w:rsidR="004F0D0B" w:rsidRPr="00E153DF">
        <w:rPr>
          <w:rFonts w:cstheme="minorHAnsi"/>
          <w:sz w:val="21"/>
          <w:szCs w:val="21"/>
        </w:rPr>
        <w:t xml:space="preserve">, po </w:t>
      </w:r>
      <w:r w:rsidR="008270C7" w:rsidRPr="00E153DF">
        <w:rPr>
          <w:rFonts w:cstheme="minorHAnsi"/>
          <w:sz w:val="21"/>
          <w:szCs w:val="21"/>
        </w:rPr>
        <w:t>2 (</w:t>
      </w:r>
      <w:r w:rsidR="004F0D0B" w:rsidRPr="00E153DF">
        <w:rPr>
          <w:rFonts w:cstheme="minorHAnsi"/>
          <w:sz w:val="21"/>
          <w:szCs w:val="21"/>
        </w:rPr>
        <w:t>du</w:t>
      </w:r>
      <w:r w:rsidR="008270C7" w:rsidRPr="00E153DF">
        <w:rPr>
          <w:rFonts w:cstheme="minorHAnsi"/>
          <w:sz w:val="21"/>
          <w:szCs w:val="21"/>
        </w:rPr>
        <w:t>)</w:t>
      </w:r>
      <w:r w:rsidR="004F0D0B" w:rsidRPr="00E153DF">
        <w:rPr>
          <w:rFonts w:cstheme="minorHAnsi"/>
          <w:sz w:val="21"/>
          <w:szCs w:val="21"/>
        </w:rPr>
        <w:t xml:space="preserve"> į kiekvienus mokymus</w:t>
      </w:r>
      <w:r w:rsidR="008270C7" w:rsidRPr="00E153DF">
        <w:rPr>
          <w:rFonts w:cstheme="minorHAnsi"/>
          <w:sz w:val="21"/>
          <w:szCs w:val="21"/>
        </w:rPr>
        <w:t>, t. y.</w:t>
      </w:r>
      <w:r w:rsidR="004F0D0B" w:rsidRPr="00E153DF">
        <w:rPr>
          <w:rFonts w:cstheme="minorHAnsi"/>
          <w:sz w:val="21"/>
          <w:szCs w:val="21"/>
        </w:rPr>
        <w:t xml:space="preserve"> 12 </w:t>
      </w:r>
      <w:r w:rsidR="008270C7" w:rsidRPr="00E153DF">
        <w:rPr>
          <w:rFonts w:cstheme="minorHAnsi"/>
          <w:sz w:val="21"/>
          <w:szCs w:val="21"/>
        </w:rPr>
        <w:t xml:space="preserve">(dvylika) </w:t>
      </w:r>
      <w:r w:rsidR="004F0D0B" w:rsidRPr="00E153DF">
        <w:rPr>
          <w:rFonts w:cstheme="minorHAnsi"/>
          <w:sz w:val="21"/>
          <w:szCs w:val="21"/>
        </w:rPr>
        <w:t xml:space="preserve">mokymų. Mokymai </w:t>
      </w:r>
      <w:r w:rsidR="008270C7" w:rsidRPr="00E153DF">
        <w:rPr>
          <w:rFonts w:cstheme="minorHAnsi"/>
          <w:sz w:val="21"/>
          <w:szCs w:val="21"/>
        </w:rPr>
        <w:t>vyktų</w:t>
      </w:r>
      <w:r w:rsidR="004F0D0B" w:rsidRPr="00E153DF">
        <w:rPr>
          <w:rFonts w:cstheme="minorHAnsi"/>
          <w:sz w:val="21"/>
          <w:szCs w:val="21"/>
        </w:rPr>
        <w:t xml:space="preserve"> SANS </w:t>
      </w:r>
      <w:r w:rsidR="008270C7" w:rsidRPr="00E153DF">
        <w:rPr>
          <w:rFonts w:cstheme="minorHAnsi"/>
          <w:sz w:val="21"/>
          <w:szCs w:val="21"/>
        </w:rPr>
        <w:t>Institute nurodytuose</w:t>
      </w:r>
      <w:r w:rsidR="004F0D0B" w:rsidRPr="00E153DF">
        <w:rPr>
          <w:rFonts w:cstheme="minorHAnsi"/>
          <w:sz w:val="21"/>
          <w:szCs w:val="21"/>
        </w:rPr>
        <w:t xml:space="preserve"> miestuose Europoje</w:t>
      </w:r>
      <w:r w:rsidR="00DA5E5D" w:rsidRPr="00E153DF">
        <w:rPr>
          <w:rFonts w:cstheme="minorHAnsi"/>
          <w:sz w:val="21"/>
          <w:szCs w:val="21"/>
        </w:rPr>
        <w:t xml:space="preserve"> (kelionės, apgyvendinimo ir maitinimo išlaidos į mokymų kainą neįtraukiamos)</w:t>
      </w:r>
      <w:r w:rsidR="004F0D0B" w:rsidRPr="00E153DF">
        <w:rPr>
          <w:rFonts w:cstheme="minorHAnsi"/>
          <w:sz w:val="21"/>
          <w:szCs w:val="21"/>
        </w:rPr>
        <w:t>.</w:t>
      </w:r>
      <w:bookmarkStart w:id="0" w:name="_GoBack"/>
      <w:bookmarkEnd w:id="0"/>
    </w:p>
    <w:p w14:paraId="74E8BBF7" w14:textId="1BFA9535" w:rsidR="00287C8F" w:rsidRPr="00E153DF" w:rsidRDefault="008270C7" w:rsidP="006A7AAF">
      <w:pPr>
        <w:spacing w:after="0" w:line="240" w:lineRule="auto"/>
        <w:jc w:val="both"/>
        <w:rPr>
          <w:rFonts w:cstheme="minorHAnsi"/>
          <w:sz w:val="21"/>
          <w:szCs w:val="21"/>
        </w:rPr>
      </w:pPr>
      <w:r w:rsidRPr="00E153DF">
        <w:rPr>
          <w:rFonts w:cstheme="minorHAnsi"/>
          <w:sz w:val="21"/>
          <w:szCs w:val="21"/>
        </w:rPr>
        <w:t xml:space="preserve">Mokymai turi būti pravesti </w:t>
      </w:r>
      <w:r w:rsidR="00287C8F" w:rsidRPr="00E153DF">
        <w:rPr>
          <w:rFonts w:cstheme="minorHAnsi"/>
          <w:sz w:val="21"/>
          <w:szCs w:val="21"/>
        </w:rPr>
        <w:t xml:space="preserve">per </w:t>
      </w:r>
      <w:r w:rsidR="001251FF" w:rsidRPr="00E153DF">
        <w:rPr>
          <w:rFonts w:cstheme="minorHAnsi"/>
          <w:sz w:val="21"/>
          <w:szCs w:val="21"/>
        </w:rPr>
        <w:t>2025 m. III – 2026 m. II ketvirčius.</w:t>
      </w:r>
      <w:r w:rsidR="00287C8F" w:rsidRPr="00E153DF">
        <w:rPr>
          <w:rFonts w:cstheme="minorHAnsi"/>
          <w:sz w:val="21"/>
          <w:szCs w:val="21"/>
        </w:rPr>
        <w:t xml:space="preserve"> Konkrečios Mokymų datos susiderinamos per 10 (dešimt) darbo dienų nuo pirkimo sutarties pasirašymo </w:t>
      </w:r>
      <w:r w:rsidR="001C385B" w:rsidRPr="00E153DF">
        <w:rPr>
          <w:rFonts w:cstheme="minorHAnsi"/>
          <w:sz w:val="21"/>
          <w:szCs w:val="21"/>
        </w:rPr>
        <w:t xml:space="preserve">ir įsigaliojimo </w:t>
      </w:r>
      <w:r w:rsidR="00287C8F" w:rsidRPr="00E153DF">
        <w:rPr>
          <w:rFonts w:cstheme="minorHAnsi"/>
          <w:sz w:val="21"/>
          <w:szCs w:val="21"/>
        </w:rPr>
        <w:t>datos.</w:t>
      </w:r>
    </w:p>
    <w:p w14:paraId="1F7FF4BC" w14:textId="33521A6F" w:rsidR="00721EFC" w:rsidRPr="00E153DF" w:rsidRDefault="00721EFC" w:rsidP="006A7AAF">
      <w:pPr>
        <w:spacing w:after="0" w:line="240" w:lineRule="auto"/>
        <w:jc w:val="both"/>
        <w:rPr>
          <w:rFonts w:cstheme="minorHAnsi"/>
          <w:sz w:val="21"/>
          <w:szCs w:val="21"/>
        </w:rPr>
      </w:pPr>
      <w:r w:rsidRPr="00E153DF">
        <w:rPr>
          <w:rFonts w:cstheme="minorHAnsi"/>
          <w:sz w:val="21"/>
          <w:szCs w:val="21"/>
        </w:rPr>
        <w:t>Darbuotojų, dalyvausiančių mokymuose kontaktiniai duomenys bus pateikti po pirkimo sutarties įsigaliojimo, po Mo</w:t>
      </w:r>
      <w:r w:rsidR="00E153DF" w:rsidRPr="00E153DF">
        <w:rPr>
          <w:rFonts w:cstheme="minorHAnsi"/>
          <w:sz w:val="21"/>
          <w:szCs w:val="21"/>
        </w:rPr>
        <w:t>kymų užsakymo derinant jų datas.</w:t>
      </w:r>
    </w:p>
    <w:p w14:paraId="49928AC6" w14:textId="77777777" w:rsidR="00287C8F" w:rsidRPr="00E153DF" w:rsidRDefault="00287C8F" w:rsidP="006A7AAF">
      <w:pPr>
        <w:spacing w:after="0" w:line="240" w:lineRule="auto"/>
        <w:jc w:val="both"/>
        <w:rPr>
          <w:rFonts w:cstheme="minorHAnsi"/>
          <w:sz w:val="21"/>
          <w:szCs w:val="21"/>
        </w:rPr>
      </w:pPr>
    </w:p>
    <w:p w14:paraId="066A19FF" w14:textId="64637B18" w:rsidR="00DC0706" w:rsidRPr="00E153DF" w:rsidRDefault="00287C8F" w:rsidP="006A7AAF">
      <w:pPr>
        <w:spacing w:after="0" w:line="240" w:lineRule="auto"/>
        <w:jc w:val="both"/>
        <w:rPr>
          <w:rFonts w:cstheme="minorHAnsi"/>
          <w:sz w:val="21"/>
          <w:szCs w:val="21"/>
        </w:rPr>
      </w:pPr>
      <w:r w:rsidRPr="00E153DF">
        <w:rPr>
          <w:rFonts w:cstheme="minorHAnsi"/>
          <w:b/>
          <w:sz w:val="21"/>
          <w:szCs w:val="21"/>
        </w:rPr>
        <w:t>Mokym</w:t>
      </w:r>
      <w:r w:rsidR="006A7AAF" w:rsidRPr="00E153DF">
        <w:rPr>
          <w:rFonts w:cstheme="minorHAnsi"/>
          <w:b/>
          <w:sz w:val="21"/>
          <w:szCs w:val="21"/>
        </w:rPr>
        <w:t>ų</w:t>
      </w:r>
      <w:r w:rsidRPr="00E153DF">
        <w:rPr>
          <w:rFonts w:cstheme="minorHAnsi"/>
          <w:b/>
          <w:sz w:val="21"/>
          <w:szCs w:val="21"/>
        </w:rPr>
        <w:t xml:space="preserve"> </w:t>
      </w:r>
      <w:r w:rsidR="006A7AAF" w:rsidRPr="00E153DF">
        <w:rPr>
          <w:rFonts w:cstheme="minorHAnsi"/>
          <w:b/>
          <w:sz w:val="21"/>
          <w:szCs w:val="21"/>
        </w:rPr>
        <w:t>temos</w:t>
      </w:r>
      <w:r w:rsidRPr="00E153DF">
        <w:rPr>
          <w:rFonts w:cstheme="minorHAnsi"/>
          <w:b/>
          <w:sz w:val="21"/>
          <w:szCs w:val="21"/>
        </w:rPr>
        <w:t>:</w:t>
      </w:r>
      <w:r w:rsidR="004975BF" w:rsidRPr="00E153DF">
        <w:rPr>
          <w:rFonts w:cstheme="minorHAnsi"/>
          <w:b/>
          <w:sz w:val="21"/>
          <w:szCs w:val="21"/>
        </w:rPr>
        <w:t xml:space="preserve"> </w:t>
      </w:r>
    </w:p>
    <w:p w14:paraId="32484DE1" w14:textId="28446E12" w:rsidR="001C385B" w:rsidRPr="00E153DF" w:rsidRDefault="006A7AAF" w:rsidP="006A7AAF">
      <w:pPr>
        <w:spacing w:after="0" w:line="240" w:lineRule="auto"/>
        <w:jc w:val="both"/>
        <w:rPr>
          <w:rFonts w:cstheme="minorHAnsi"/>
          <w:sz w:val="21"/>
          <w:szCs w:val="21"/>
        </w:rPr>
      </w:pPr>
      <w:r w:rsidRPr="00E153DF">
        <w:rPr>
          <w:rFonts w:cstheme="minorHAnsi"/>
          <w:b/>
          <w:sz w:val="21"/>
          <w:szCs w:val="21"/>
        </w:rPr>
        <w:t xml:space="preserve">1. </w:t>
      </w:r>
      <w:r w:rsidR="00287C8F" w:rsidRPr="00E153DF">
        <w:rPr>
          <w:rFonts w:cstheme="minorHAnsi"/>
          <w:b/>
          <w:sz w:val="21"/>
          <w:szCs w:val="21"/>
        </w:rPr>
        <w:t>Saugumo operacijos centrų kūrimas ir vadovavimas jiems mokymai</w:t>
      </w:r>
      <w:r w:rsidR="00023DCF" w:rsidRPr="00E153DF">
        <w:rPr>
          <w:rFonts w:cstheme="minorHAnsi"/>
          <w:b/>
          <w:sz w:val="21"/>
          <w:szCs w:val="21"/>
        </w:rPr>
        <w:t>:</w:t>
      </w:r>
      <w:r w:rsidR="00287C8F" w:rsidRPr="00E153DF">
        <w:rPr>
          <w:rFonts w:cstheme="minorHAnsi"/>
          <w:sz w:val="21"/>
          <w:szCs w:val="21"/>
        </w:rPr>
        <w:t xml:space="preserve"> (LDR551:</w:t>
      </w:r>
      <w:r w:rsidR="001C385B" w:rsidRPr="00E153DF">
        <w:rPr>
          <w:rFonts w:cstheme="minorHAnsi"/>
          <w:sz w:val="21"/>
          <w:szCs w:val="21"/>
        </w:rPr>
        <w:t xml:space="preserve"> </w:t>
      </w:r>
      <w:r w:rsidR="00287C8F" w:rsidRPr="00E153DF">
        <w:rPr>
          <w:rFonts w:cstheme="minorHAnsi"/>
          <w:sz w:val="21"/>
          <w:szCs w:val="21"/>
        </w:rPr>
        <w:t>Building and Leading Security Operations Cent</w:t>
      </w:r>
      <w:r w:rsidR="00EB5C33" w:rsidRPr="00E153DF">
        <w:rPr>
          <w:rFonts w:cstheme="minorHAnsi"/>
          <w:sz w:val="21"/>
          <w:szCs w:val="21"/>
        </w:rPr>
        <w:t>res</w:t>
      </w:r>
      <w:r w:rsidR="001C385B" w:rsidRPr="00E153DF">
        <w:rPr>
          <w:rFonts w:cstheme="minorHAnsi"/>
          <w:sz w:val="21"/>
          <w:szCs w:val="21"/>
        </w:rPr>
        <w:t>) – 2 (du) vnt.</w:t>
      </w:r>
    </w:p>
    <w:p w14:paraId="1AE07D64" w14:textId="52C87FB5" w:rsidR="00B001FF" w:rsidRPr="00E153DF" w:rsidRDefault="00B001FF" w:rsidP="00023DCF">
      <w:pPr>
        <w:pStyle w:val="ListParagraph"/>
        <w:numPr>
          <w:ilvl w:val="1"/>
          <w:numId w:val="1"/>
        </w:numPr>
        <w:tabs>
          <w:tab w:val="left" w:pos="426"/>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SOC mokymų temos detalus pavadinimas: „Saugumo operacijos centrų kūrimas ir vadovavimas jiems </w:t>
      </w:r>
      <w:r w:rsidR="00E6736C" w:rsidRPr="00E153DF">
        <w:rPr>
          <w:rFonts w:asciiTheme="minorHAnsi" w:hAnsiTheme="minorHAnsi" w:cstheme="minorHAnsi"/>
          <w:sz w:val="21"/>
          <w:szCs w:val="21"/>
          <w:lang w:val="lt-LT"/>
        </w:rPr>
        <w:t xml:space="preserve">(mokymai </w:t>
      </w:r>
      <w:hyperlink r:id="rId13">
        <w:r w:rsidRPr="00E153DF">
          <w:rPr>
            <w:rStyle w:val="Hyperlink"/>
            <w:rFonts w:asciiTheme="minorHAnsi" w:hAnsiTheme="minorHAnsi" w:cstheme="minorHAnsi"/>
            <w:sz w:val="21"/>
            <w:szCs w:val="21"/>
            <w:lang w:val="lt-LT"/>
          </w:rPr>
          <w:t>LDR551: Building and Leading Security Operations Centers</w:t>
        </w:r>
      </w:hyperlink>
      <w:r w:rsidR="00E6736C" w:rsidRPr="00E153DF">
        <w:rPr>
          <w:rFonts w:asciiTheme="minorHAnsi" w:hAnsiTheme="minorHAnsi" w:cstheme="minorHAnsi"/>
          <w:sz w:val="21"/>
          <w:szCs w:val="21"/>
          <w:lang w:val="lt-LT"/>
        </w:rPr>
        <w:t>)</w:t>
      </w:r>
      <w:r w:rsidRPr="00E153DF">
        <w:rPr>
          <w:rFonts w:asciiTheme="minorHAnsi" w:hAnsiTheme="minorHAnsi" w:cstheme="minorHAnsi"/>
          <w:sz w:val="21"/>
          <w:szCs w:val="21"/>
          <w:lang w:val="lt-LT"/>
        </w:rPr>
        <w:t>.</w:t>
      </w:r>
      <w:r w:rsidRPr="00E153DF">
        <w:rPr>
          <w:rStyle w:val="FootnoteReference"/>
          <w:rFonts w:asciiTheme="minorHAnsi" w:hAnsiTheme="minorHAnsi" w:cstheme="minorHAnsi"/>
          <w:sz w:val="21"/>
          <w:szCs w:val="21"/>
          <w:lang w:val="lt-LT"/>
        </w:rPr>
        <w:footnoteReference w:id="1"/>
      </w:r>
    </w:p>
    <w:p w14:paraId="31373833" w14:textId="3E7278A0" w:rsidR="00B001FF" w:rsidRPr="00E153DF" w:rsidRDefault="00E6736C" w:rsidP="00023DCF">
      <w:pPr>
        <w:pStyle w:val="ListParagraph"/>
        <w:numPr>
          <w:ilvl w:val="1"/>
          <w:numId w:val="1"/>
        </w:numPr>
        <w:tabs>
          <w:tab w:val="left" w:pos="426"/>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Mokymo programa turi </w:t>
      </w:r>
      <w:r w:rsidR="00B001FF" w:rsidRPr="00E153DF">
        <w:rPr>
          <w:rFonts w:asciiTheme="minorHAnsi" w:hAnsiTheme="minorHAnsi" w:cstheme="minorHAnsi"/>
          <w:sz w:val="21"/>
          <w:szCs w:val="21"/>
          <w:lang w:val="lt-LT"/>
        </w:rPr>
        <w:t xml:space="preserve">apimti visą </w:t>
      </w:r>
      <w:hyperlink r:id="rId14">
        <w:r w:rsidR="00B001FF" w:rsidRPr="00E153DF">
          <w:rPr>
            <w:rStyle w:val="Hyperlink"/>
            <w:rFonts w:asciiTheme="minorHAnsi" w:hAnsiTheme="minorHAnsi" w:cstheme="minorHAnsi"/>
            <w:sz w:val="21"/>
            <w:szCs w:val="21"/>
            <w:lang w:val="lt-LT"/>
          </w:rPr>
          <w:t>GSOM sertifikacijai</w:t>
        </w:r>
      </w:hyperlink>
      <w:r w:rsidR="00B001FF" w:rsidRPr="00E153DF">
        <w:rPr>
          <w:rFonts w:asciiTheme="minorHAnsi" w:hAnsiTheme="minorHAnsi" w:cstheme="minorHAnsi"/>
          <w:sz w:val="21"/>
          <w:szCs w:val="21"/>
          <w:lang w:val="lt-LT"/>
        </w:rPr>
        <w:t xml:space="preserve"> įgyti reikalingų žinių turinį.</w:t>
      </w:r>
    </w:p>
    <w:p w14:paraId="2E73D252" w14:textId="2883EC33" w:rsidR="00B001FF" w:rsidRPr="00E153DF" w:rsidRDefault="00B001FF" w:rsidP="0059188B">
      <w:pPr>
        <w:pStyle w:val="ListParagraph"/>
        <w:numPr>
          <w:ilvl w:val="1"/>
          <w:numId w:val="1"/>
        </w:numPr>
        <w:tabs>
          <w:tab w:val="left" w:pos="426"/>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Programa turi būti dėstoma anglų kalba, pagrindinės programos temos: </w:t>
      </w:r>
      <w:r w:rsidRPr="00E153DF">
        <w:rPr>
          <w:rFonts w:asciiTheme="minorHAnsi" w:hAnsiTheme="minorHAnsi" w:cstheme="minorHAnsi"/>
          <w:i/>
          <w:sz w:val="21"/>
          <w:szCs w:val="21"/>
          <w:lang w:val="lt-LT"/>
        </w:rPr>
        <w:t xml:space="preserve">SOC Design and Operational Planning (The State of the Cyber Defense Industry - Trends, Problems, and Priorities, SOC Planning - Charters, Mission, Team Planning, Org. charts and more, Mapping the SOC Functions - Collection, Detection, </w:t>
      </w:r>
      <w:r w:rsidRPr="00E153DF">
        <w:rPr>
          <w:rFonts w:asciiTheme="minorHAnsi" w:hAnsiTheme="minorHAnsi" w:cstheme="minorHAnsi"/>
          <w:i/>
          <w:sz w:val="21"/>
          <w:szCs w:val="21"/>
          <w:lang w:val="lt-LT"/>
        </w:rPr>
        <w:lastRenderedPageBreak/>
        <w:t xml:space="preserve">Triage, Investigation, and Incident Response, Team Creation, Hiring, and Training </w:t>
      </w:r>
      <w:r w:rsidR="0059188B" w:rsidRPr="00E153DF">
        <w:rPr>
          <w:rFonts w:asciiTheme="minorHAnsi" w:hAnsiTheme="minorHAnsi" w:cstheme="minorHAnsi"/>
          <w:i/>
          <w:sz w:val="21"/>
          <w:szCs w:val="21"/>
          <w:lang w:val="lt-LT"/>
        </w:rPr>
        <w:t>–</w:t>
      </w:r>
      <w:r w:rsidRPr="00E153DF">
        <w:rPr>
          <w:rFonts w:asciiTheme="minorHAnsi" w:hAnsiTheme="minorHAnsi" w:cstheme="minorHAnsi"/>
          <w:i/>
          <w:sz w:val="21"/>
          <w:szCs w:val="21"/>
          <w:lang w:val="lt-LT"/>
        </w:rPr>
        <w:t xml:space="preserve"> Building Job Specifications, Interviews, Hiring, Training and More, Cyber Threat Intelligence for the SOC - Identifying, Collecting, and Processing the Most Important Sources, Building the SOC - Both Physical and Virtual), SOC Telemetry and Analysis (Cyber Defense Theory and Mental Models, Critical SOC Tools and Technology, SOC Data Collection, Using MITRE ATT&amp;CK to Plan and Prioritize Collection, SOC Analyst Capacity Planning, Protecting SOC Data and Capabilities from Interference), Attack Detection, Hunting, and Triage (Analytic Frameworks and Tools, Threat Detection and Analytic Design, The Keys to Efficient Alert Triage, Detection Engineering Process and Lifecycle, SOC-Assisted Use Cases, Threat Hunting Process and Tracking, Active Defense Tactics and Techniques), Incident Response (Planning and Preparation for Incident Response, Identification and Categorization of Incidents, Coordination During Incident Discovery, Incident Response Tools, Containment and Eradication Stage Activities, Incident Response in the Cloud, Investigation, Recovery, Post-Incident Activity, and Practice), Metrics, Automation, and Continuous Improvement (Staff Retention and Burnout Mitigation, Building Your SOC Culture, Metrics, Goals, and Effective Execution, Measurement and Prioritization Issues, Automation in Security Operations, Analytic Testing and Adversary Emulation, SOC Capability Assessment, The Lean SOC)</w:t>
      </w:r>
      <w:r w:rsidRPr="00E153DF">
        <w:rPr>
          <w:rFonts w:asciiTheme="minorHAnsi" w:hAnsiTheme="minorHAnsi" w:cstheme="minorHAnsi"/>
          <w:sz w:val="21"/>
          <w:szCs w:val="21"/>
          <w:lang w:val="lt-LT"/>
        </w:rPr>
        <w:t>.</w:t>
      </w:r>
    </w:p>
    <w:p w14:paraId="2C586CCE" w14:textId="77777777" w:rsidR="00023DCF" w:rsidRPr="00E153DF" w:rsidRDefault="00023DCF" w:rsidP="00023DCF">
      <w:pPr>
        <w:pStyle w:val="ListParagraph"/>
        <w:ind w:left="411"/>
        <w:jc w:val="both"/>
        <w:rPr>
          <w:rFonts w:asciiTheme="minorHAnsi" w:hAnsiTheme="minorHAnsi" w:cstheme="minorHAnsi"/>
          <w:sz w:val="21"/>
          <w:szCs w:val="21"/>
          <w:lang w:val="lt-LT"/>
        </w:rPr>
      </w:pPr>
    </w:p>
    <w:p w14:paraId="5752EC95" w14:textId="1FF26818" w:rsidR="00023DC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2. </w:t>
      </w:r>
      <w:r w:rsidR="00287C8F" w:rsidRPr="00E153DF">
        <w:rPr>
          <w:rFonts w:cstheme="minorHAnsi"/>
          <w:b/>
          <w:sz w:val="21"/>
          <w:szCs w:val="21"/>
        </w:rPr>
        <w:t>Pažangus reagavimas į incidentus, grėsmių paieška ir skaitmeninė teismo ekspertizė mokymai</w:t>
      </w:r>
      <w:r w:rsidRPr="00E153DF">
        <w:rPr>
          <w:rFonts w:cstheme="minorHAnsi"/>
          <w:b/>
          <w:sz w:val="21"/>
          <w:szCs w:val="21"/>
        </w:rPr>
        <w:t>:</w:t>
      </w:r>
      <w:r w:rsidR="00287C8F" w:rsidRPr="00E153DF">
        <w:rPr>
          <w:rFonts w:cstheme="minorHAnsi"/>
          <w:sz w:val="21"/>
          <w:szCs w:val="21"/>
        </w:rPr>
        <w:t xml:space="preserve"> (FOR508: Advanced Incident Response, Threat Hunting, and Dig</w:t>
      </w:r>
      <w:r w:rsidR="007574F2" w:rsidRPr="00E153DF">
        <w:rPr>
          <w:rFonts w:cstheme="minorHAnsi"/>
          <w:sz w:val="21"/>
          <w:szCs w:val="21"/>
        </w:rPr>
        <w:t>ital Forensics</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2 </w:t>
      </w:r>
      <w:r w:rsidR="001C385B" w:rsidRPr="00E153DF">
        <w:rPr>
          <w:rFonts w:cstheme="minorHAnsi"/>
          <w:sz w:val="21"/>
          <w:szCs w:val="21"/>
        </w:rPr>
        <w:t xml:space="preserve">(du) </w:t>
      </w:r>
      <w:r w:rsidR="00287C8F" w:rsidRPr="00E153DF">
        <w:rPr>
          <w:rFonts w:cstheme="minorHAnsi"/>
          <w:sz w:val="21"/>
          <w:szCs w:val="21"/>
        </w:rPr>
        <w:t>vnt.</w:t>
      </w:r>
    </w:p>
    <w:p w14:paraId="234AF07D" w14:textId="63E49EB8"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2.1. Mokymų temos detalus pavadinimas „Pažangus reagavimas į incidentus, grėsmių paieška ir skaitmeninė teismo ekspertizė” (mokymai </w:t>
      </w:r>
      <w:hyperlink r:id="rId15">
        <w:r w:rsidRPr="00E153DF">
          <w:rPr>
            <w:rStyle w:val="Hyperlink"/>
            <w:rFonts w:cstheme="minorHAnsi"/>
            <w:sz w:val="21"/>
            <w:szCs w:val="21"/>
          </w:rPr>
          <w:t>FOR508: Advanced Incident Response, Threat Hunting, and Digital Forensics</w:t>
        </w:r>
      </w:hyperlink>
      <w:r w:rsidR="00E6736C" w:rsidRPr="00E153DF">
        <w:rPr>
          <w:rFonts w:cstheme="minorHAnsi"/>
          <w:sz w:val="21"/>
          <w:szCs w:val="21"/>
        </w:rPr>
        <w:t>)</w:t>
      </w:r>
      <w:r w:rsidRPr="00E153DF">
        <w:rPr>
          <w:rFonts w:cstheme="minorHAnsi"/>
          <w:sz w:val="21"/>
          <w:szCs w:val="21"/>
        </w:rPr>
        <w:t>.</w:t>
      </w:r>
    </w:p>
    <w:p w14:paraId="0CF8B58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2.2. Mokymo programa turi apimti visą </w:t>
      </w:r>
      <w:hyperlink r:id="rId16">
        <w:r w:rsidRPr="00E153DF">
          <w:rPr>
            <w:rStyle w:val="Hyperlink"/>
            <w:rFonts w:cstheme="minorHAnsi"/>
            <w:sz w:val="21"/>
            <w:szCs w:val="21"/>
          </w:rPr>
          <w:t>GCFA sertifikacijai</w:t>
        </w:r>
      </w:hyperlink>
      <w:r w:rsidRPr="00E153DF">
        <w:rPr>
          <w:rFonts w:cstheme="minorHAnsi"/>
          <w:sz w:val="21"/>
          <w:szCs w:val="21"/>
        </w:rPr>
        <w:t xml:space="preserve"> įgyti reikalingų žinių turinį.</w:t>
      </w:r>
    </w:p>
    <w:p w14:paraId="3C58551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2.3. Programa turi būti dėstoma anglų kalba, pagrindinės programos temos: </w:t>
      </w:r>
      <w:r w:rsidRPr="00E153DF">
        <w:rPr>
          <w:rFonts w:cstheme="minorHAnsi"/>
          <w:i/>
          <w:sz w:val="21"/>
          <w:szCs w:val="21"/>
        </w:rPr>
        <w:t>Advanced Incident Response and Threat Hunting (Real Incident Response Tactics; Threat Hunting; Threat Hunting in the Enterprise; Incident Response and Hunting Across the Enterprise; Malware Defense Evasion and Identification; Malware Persistence Identification; Prevention, Detection, and Mitigation of Credential Theft), Intrusion Analysis (Advanced Evidence of Execution Detection; Lateral Movement Adversary Tactics, Techniques, and Procedures; Log Analysis for Incident Responders and Hunters; Investigating WMI and PowerShell-Based Attacks), Memory Forensics in Incident Response and Threat Hunting (Endpoint Detection and Response; Memory Acquisition; Memory Forensics Analysis Process for Response and Hunting; Memory Forensics Examinations; Memory Analysis Tools), Timeline Analysis (Malware Defense Evasion and Detection; Timeline Analysis Overview; Filesystem Timeline Creation and Analysis; Super Timeline Creation and Analysis), Incident Response and Hunting Across the Enterprise | Advanced Adversary and Anti-Forensics Detection (Volume Shadow Copy Analysis; Advanced NTFS Filesystem Tactics; Advanced Evidence Recovery), The APT Threat Group Incident Response Challenge (Identification and Scoping; Containment and Threat Intelligence Gathering; Remediation and Recovery)</w:t>
      </w:r>
      <w:r w:rsidRPr="00E153DF">
        <w:rPr>
          <w:rFonts w:cstheme="minorHAnsi"/>
          <w:sz w:val="21"/>
          <w:szCs w:val="21"/>
        </w:rPr>
        <w:t>.</w:t>
      </w:r>
    </w:p>
    <w:p w14:paraId="00FDD8AD" w14:textId="77777777" w:rsidR="00E6736C" w:rsidRPr="00E153DF" w:rsidRDefault="00E6736C" w:rsidP="006A7AAF">
      <w:pPr>
        <w:spacing w:after="0" w:line="240" w:lineRule="auto"/>
        <w:jc w:val="both"/>
        <w:rPr>
          <w:rFonts w:cstheme="minorHAnsi"/>
          <w:sz w:val="21"/>
          <w:szCs w:val="21"/>
        </w:rPr>
      </w:pPr>
    </w:p>
    <w:p w14:paraId="50494B45" w14:textId="7EFC187D" w:rsidR="00287C8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3. </w:t>
      </w:r>
      <w:r w:rsidR="00287C8F" w:rsidRPr="00E153DF">
        <w:rPr>
          <w:rFonts w:cstheme="minorHAnsi"/>
          <w:b/>
          <w:sz w:val="21"/>
          <w:szCs w:val="21"/>
        </w:rPr>
        <w:t>Organizacijų lygio reagavimas į incidentus ir grėsmių paieška mokymai</w:t>
      </w:r>
      <w:r w:rsidRPr="00E153DF">
        <w:rPr>
          <w:rFonts w:cstheme="minorHAnsi"/>
          <w:b/>
          <w:sz w:val="21"/>
          <w:szCs w:val="21"/>
        </w:rPr>
        <w:t>:</w:t>
      </w:r>
      <w:r w:rsidR="00287C8F" w:rsidRPr="00E153DF">
        <w:rPr>
          <w:rFonts w:cstheme="minorHAnsi"/>
          <w:sz w:val="21"/>
          <w:szCs w:val="21"/>
        </w:rPr>
        <w:t xml:space="preserve"> (FOR608: Enterprise-Class Incident Response &amp; </w:t>
      </w:r>
      <w:r w:rsidR="007574F2" w:rsidRPr="00E153DF">
        <w:rPr>
          <w:rFonts w:cstheme="minorHAnsi"/>
          <w:sz w:val="21"/>
          <w:szCs w:val="21"/>
        </w:rPr>
        <w:t>Threat Hunting</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1 </w:t>
      </w:r>
      <w:r w:rsidR="001C385B" w:rsidRPr="00E153DF">
        <w:rPr>
          <w:rFonts w:cstheme="minorHAnsi"/>
          <w:sz w:val="21"/>
          <w:szCs w:val="21"/>
        </w:rPr>
        <w:t xml:space="preserve">(vienas) </w:t>
      </w:r>
      <w:r w:rsidR="00287C8F" w:rsidRPr="00E153DF">
        <w:rPr>
          <w:rFonts w:cstheme="minorHAnsi"/>
          <w:sz w:val="21"/>
          <w:szCs w:val="21"/>
        </w:rPr>
        <w:t>vnt.</w:t>
      </w:r>
    </w:p>
    <w:p w14:paraId="26D96C76" w14:textId="32E0001F" w:rsidR="00B001FF" w:rsidRPr="00E153DF" w:rsidRDefault="00B001FF" w:rsidP="006A7AAF">
      <w:pPr>
        <w:spacing w:after="0" w:line="240" w:lineRule="auto"/>
        <w:jc w:val="both"/>
        <w:rPr>
          <w:rFonts w:cstheme="minorHAnsi"/>
          <w:sz w:val="21"/>
          <w:szCs w:val="21"/>
        </w:rPr>
      </w:pPr>
      <w:r w:rsidRPr="00E153DF">
        <w:rPr>
          <w:rFonts w:cstheme="minorHAnsi"/>
          <w:sz w:val="21"/>
          <w:szCs w:val="21"/>
        </w:rPr>
        <w:t>3.1. Mokymų temos detalus pavadinimas „Organizacijų lygio reagavimas į incidentu</w:t>
      </w:r>
      <w:r w:rsidR="00E6736C" w:rsidRPr="00E153DF">
        <w:rPr>
          <w:rFonts w:cstheme="minorHAnsi"/>
          <w:sz w:val="21"/>
          <w:szCs w:val="21"/>
        </w:rPr>
        <w:t xml:space="preserve">s ir grėsmių paieška” (mokymai </w:t>
      </w:r>
      <w:hyperlink r:id="rId17">
        <w:r w:rsidRPr="00E153DF">
          <w:rPr>
            <w:rStyle w:val="Hyperlink"/>
            <w:rFonts w:cstheme="minorHAnsi"/>
            <w:sz w:val="21"/>
            <w:szCs w:val="21"/>
          </w:rPr>
          <w:t>FOR608</w:t>
        </w:r>
        <w:r w:rsidRPr="00E153DF">
          <w:rPr>
            <w:rStyle w:val="Hyperlink"/>
            <w:rFonts w:cstheme="minorHAnsi"/>
            <w:b/>
            <w:bCs/>
            <w:sz w:val="21"/>
            <w:szCs w:val="21"/>
          </w:rPr>
          <w:t xml:space="preserve">: </w:t>
        </w:r>
        <w:r w:rsidRPr="00E153DF">
          <w:rPr>
            <w:rStyle w:val="Hyperlink"/>
            <w:rFonts w:cstheme="minorHAnsi"/>
            <w:sz w:val="21"/>
            <w:szCs w:val="21"/>
          </w:rPr>
          <w:t>Enterprise-Class Incident Response &amp; Threat Hunting</w:t>
        </w:r>
      </w:hyperlink>
      <w:r w:rsidR="00E6736C" w:rsidRPr="00E153DF">
        <w:rPr>
          <w:rFonts w:cstheme="minorHAnsi"/>
          <w:sz w:val="21"/>
          <w:szCs w:val="21"/>
        </w:rPr>
        <w:t>)</w:t>
      </w:r>
      <w:r w:rsidRPr="00E153DF">
        <w:rPr>
          <w:rFonts w:cstheme="minorHAnsi"/>
          <w:sz w:val="21"/>
          <w:szCs w:val="21"/>
        </w:rPr>
        <w:t>.</w:t>
      </w:r>
    </w:p>
    <w:p w14:paraId="7E22AEE6"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3.2. Mokymo programa turi apimti visą </w:t>
      </w:r>
      <w:hyperlink r:id="rId18">
        <w:r w:rsidRPr="00E153DF">
          <w:rPr>
            <w:rStyle w:val="Hyperlink"/>
            <w:rFonts w:cstheme="minorHAnsi"/>
            <w:sz w:val="21"/>
            <w:szCs w:val="21"/>
          </w:rPr>
          <w:t>GEIR sertifikacijai</w:t>
        </w:r>
      </w:hyperlink>
      <w:r w:rsidRPr="00E153DF">
        <w:rPr>
          <w:rFonts w:cstheme="minorHAnsi"/>
          <w:sz w:val="21"/>
          <w:szCs w:val="21"/>
        </w:rPr>
        <w:t xml:space="preserve"> įgyti reikalingų žinių turinį.</w:t>
      </w:r>
    </w:p>
    <w:p w14:paraId="139CAB10"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3.3. Programa turi būti dėstoma anglų kalba, pagrindinės programos temos: </w:t>
      </w:r>
      <w:r w:rsidRPr="00E153DF">
        <w:rPr>
          <w:rFonts w:cstheme="minorHAnsi"/>
          <w:i/>
          <w:sz w:val="21"/>
          <w:szCs w:val="21"/>
        </w:rPr>
        <w:t>Proactive Detection &amp; Response (Incident Response and Threat Hunting in the Enterprise; Managing Large-Scale Response; Intel-Driven Incident Response; Scalable &amp; Collaborative Analysis with Timesketch), Scaling Response and Analysis (EDR and EDR Bypass; Scaling Incident Response with Velociraptor; Scaling Analysis with ELK; Rapid Response Triage), Modern Attacks Against Windows and Linux DFIR (Modern Attacks Against Windows; Introduction to Linux; Modern Attacks Against Linux; Linux DFIR Fundamentals; Linux Log Analysis; Linux Triage Collection and Forensic Readiness), Analyzing macOS and Docker Containers (macOS Foundations; Apple Filesystems; Mac Incident Response; Containers in the Enterprise; DFIR for Containers), Cloud Attacks and Response (DFIR in the Cloud; Incident Response in Azure &amp; M365; Attackers in the Cloud; AWS Foundations; Incident Response in AWS; IR Automation in AWS), Capstone: Enterprise-Class IR Challenge</w:t>
      </w:r>
      <w:r w:rsidRPr="00E153DF">
        <w:rPr>
          <w:rFonts w:cstheme="minorHAnsi"/>
          <w:sz w:val="21"/>
          <w:szCs w:val="21"/>
        </w:rPr>
        <w:t>.</w:t>
      </w:r>
    </w:p>
    <w:p w14:paraId="7C5B41E0" w14:textId="77777777" w:rsidR="00B001FF" w:rsidRPr="00E153DF" w:rsidRDefault="00B001FF" w:rsidP="006A7AAF">
      <w:pPr>
        <w:spacing w:after="0" w:line="240" w:lineRule="auto"/>
        <w:jc w:val="both"/>
        <w:rPr>
          <w:rFonts w:cstheme="minorHAnsi"/>
          <w:sz w:val="21"/>
          <w:szCs w:val="21"/>
        </w:rPr>
      </w:pPr>
    </w:p>
    <w:p w14:paraId="53FB3000" w14:textId="08F8F8BD" w:rsidR="00287C8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4. </w:t>
      </w:r>
      <w:r w:rsidR="00287C8F" w:rsidRPr="00E153DF">
        <w:rPr>
          <w:rFonts w:cstheme="minorHAnsi"/>
          <w:b/>
          <w:sz w:val="21"/>
          <w:szCs w:val="21"/>
        </w:rPr>
        <w:t>Kibernetinių incidentų valdymas mokymai</w:t>
      </w:r>
      <w:r w:rsidRPr="00E153DF">
        <w:rPr>
          <w:rFonts w:cstheme="minorHAnsi"/>
          <w:b/>
          <w:sz w:val="21"/>
          <w:szCs w:val="21"/>
        </w:rPr>
        <w:t>:</w:t>
      </w:r>
      <w:r w:rsidR="00287C8F" w:rsidRPr="00E153DF">
        <w:rPr>
          <w:rFonts w:cstheme="minorHAnsi"/>
          <w:sz w:val="21"/>
          <w:szCs w:val="21"/>
        </w:rPr>
        <w:t xml:space="preserve"> (LDR553: Cyber Incident </w:t>
      </w:r>
      <w:r w:rsidRPr="00E153DF">
        <w:rPr>
          <w:rFonts w:cstheme="minorHAnsi"/>
          <w:sz w:val="21"/>
          <w:szCs w:val="21"/>
        </w:rPr>
        <w:t>Management</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1</w:t>
      </w:r>
      <w:r w:rsidR="001C385B" w:rsidRPr="00E153DF">
        <w:rPr>
          <w:rFonts w:cstheme="minorHAnsi"/>
          <w:sz w:val="21"/>
          <w:szCs w:val="21"/>
        </w:rPr>
        <w:t xml:space="preserve"> (vienas)</w:t>
      </w:r>
      <w:r w:rsidR="00E6736C" w:rsidRPr="00E153DF">
        <w:rPr>
          <w:rFonts w:cstheme="minorHAnsi"/>
          <w:sz w:val="21"/>
          <w:szCs w:val="21"/>
        </w:rPr>
        <w:t xml:space="preserve"> vnt.</w:t>
      </w:r>
    </w:p>
    <w:p w14:paraId="666D5321" w14:textId="64387560" w:rsidR="00B001FF" w:rsidRPr="00E153DF" w:rsidRDefault="00B001FF" w:rsidP="00023DCF">
      <w:pPr>
        <w:spacing w:after="0" w:line="240" w:lineRule="auto"/>
        <w:jc w:val="both"/>
        <w:rPr>
          <w:rFonts w:cstheme="minorHAnsi"/>
          <w:sz w:val="21"/>
          <w:szCs w:val="21"/>
        </w:rPr>
      </w:pPr>
      <w:r w:rsidRPr="00E153DF">
        <w:rPr>
          <w:rFonts w:cstheme="minorHAnsi"/>
          <w:sz w:val="21"/>
          <w:szCs w:val="21"/>
        </w:rPr>
        <w:t xml:space="preserve">4.1. Mokymų temos detalus pavadinimas „Kibernetinių </w:t>
      </w:r>
      <w:r w:rsidR="00E6736C" w:rsidRPr="00E153DF">
        <w:rPr>
          <w:rFonts w:cstheme="minorHAnsi"/>
          <w:sz w:val="21"/>
          <w:szCs w:val="21"/>
        </w:rPr>
        <w:t xml:space="preserve">incidentų valdymas” (mokymai </w:t>
      </w:r>
      <w:hyperlink r:id="rId19">
        <w:r w:rsidRPr="00E153DF">
          <w:rPr>
            <w:rStyle w:val="Hyperlink"/>
            <w:rFonts w:cstheme="minorHAnsi"/>
            <w:sz w:val="21"/>
            <w:szCs w:val="21"/>
          </w:rPr>
          <w:t>LDR553: Cyber Incident Management</w:t>
        </w:r>
      </w:hyperlink>
      <w:r w:rsidR="00E6736C" w:rsidRPr="00E153DF">
        <w:rPr>
          <w:rFonts w:cstheme="minorHAnsi"/>
          <w:sz w:val="21"/>
          <w:szCs w:val="21"/>
        </w:rPr>
        <w:t>)</w:t>
      </w:r>
      <w:r w:rsidRPr="00E153DF">
        <w:rPr>
          <w:rFonts w:cstheme="minorHAnsi"/>
          <w:sz w:val="21"/>
          <w:szCs w:val="21"/>
        </w:rPr>
        <w:t>.</w:t>
      </w:r>
    </w:p>
    <w:p w14:paraId="0B1AFEBF" w14:textId="77777777" w:rsidR="00B001FF" w:rsidRPr="00E153DF" w:rsidRDefault="00B001FF" w:rsidP="00023DCF">
      <w:pPr>
        <w:pStyle w:val="ListParagraph"/>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lastRenderedPageBreak/>
        <w:t xml:space="preserve">4.2. Mokymo programa turi apimti visą </w:t>
      </w:r>
      <w:hyperlink r:id="rId20">
        <w:r w:rsidRPr="00E153DF">
          <w:rPr>
            <w:rStyle w:val="Hyperlink"/>
            <w:rFonts w:asciiTheme="minorHAnsi" w:hAnsiTheme="minorHAnsi" w:cstheme="minorHAnsi"/>
            <w:sz w:val="21"/>
            <w:szCs w:val="21"/>
            <w:lang w:val="lt-LT"/>
          </w:rPr>
          <w:t>GCIL sertifikacijai</w:t>
        </w:r>
      </w:hyperlink>
      <w:r w:rsidRPr="00E153DF">
        <w:rPr>
          <w:rFonts w:asciiTheme="minorHAnsi" w:hAnsiTheme="minorHAnsi" w:cstheme="minorHAnsi"/>
          <w:sz w:val="21"/>
          <w:szCs w:val="21"/>
          <w:lang w:val="lt-LT"/>
        </w:rPr>
        <w:t xml:space="preserve"> įgyti reikalingų žinių turinį.</w:t>
      </w:r>
    </w:p>
    <w:p w14:paraId="25AB8C20" w14:textId="77777777" w:rsidR="00B001FF" w:rsidRPr="00E153DF" w:rsidRDefault="00B001FF" w:rsidP="00023DCF">
      <w:pPr>
        <w:pStyle w:val="ListParagraph"/>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4.3. Programa turi būti dėstoma anglų kalba, pagrindinės programos temos: </w:t>
      </w:r>
      <w:r w:rsidRPr="00E153DF">
        <w:rPr>
          <w:rFonts w:asciiTheme="minorHAnsi" w:hAnsiTheme="minorHAnsi" w:cstheme="minorHAnsi"/>
          <w:i/>
          <w:sz w:val="21"/>
          <w:szCs w:val="21"/>
          <w:lang w:val="lt-LT"/>
        </w:rPr>
        <w:t>Understanding and Communicating About the Incident (Initial Information Gathering; Defining Your Objectives; Who’s on Our Team; Building Our Communications Plan), Scoping the Damage, Planning the Remediation, and Executing the Plan (Talking To or Working With the Attackers; Tracking the Incident, Tasks, People, and Progress; Remediation of Network and Data Damage; Root-Cause Analysis Methods and Outcomes; Reporting and Documenting the Case; Planning the Closure of the Incident), Training, Leveraging Cyber Threat Intelligence, and Bug Bounties (Developing the Wider Team; Developing the SOC/IR/IM Team; Leveraging Cyber Threat Intelligence; Third-Party Supply-Chain Compromise), Cloud Incidents, Business Email Compromise, Credential Theft Attacks, and Incident Metrics (Timelines for Visualization; Defining Cloud Attacks; Credential Theft Attacks; Business Email Compromise; Cloud Asset Attack; Cloud Management Console Attacks), AI for Incidents, Attacker Extortion, Ransomware, and Capstone Exercise (Improving IR/IM; Leveraging IA for IM; Ransomware; Summary and Review of the Sessions; Capstone Exercise)</w:t>
      </w:r>
      <w:r w:rsidRPr="00E153DF">
        <w:rPr>
          <w:rFonts w:asciiTheme="minorHAnsi" w:hAnsiTheme="minorHAnsi" w:cstheme="minorHAnsi"/>
          <w:sz w:val="21"/>
          <w:szCs w:val="21"/>
          <w:lang w:val="lt-LT"/>
        </w:rPr>
        <w:t>.</w:t>
      </w:r>
    </w:p>
    <w:p w14:paraId="412B7DF1" w14:textId="77777777" w:rsidR="00B001FF" w:rsidRPr="00E153DF" w:rsidRDefault="00B001FF" w:rsidP="006A7AAF">
      <w:pPr>
        <w:spacing w:after="0" w:line="240" w:lineRule="auto"/>
        <w:jc w:val="both"/>
        <w:rPr>
          <w:rFonts w:cstheme="minorHAnsi"/>
          <w:sz w:val="21"/>
          <w:szCs w:val="21"/>
        </w:rPr>
      </w:pPr>
    </w:p>
    <w:p w14:paraId="3C8B69FB" w14:textId="77777777" w:rsidR="00287C8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5. </w:t>
      </w:r>
      <w:r w:rsidR="00287C8F" w:rsidRPr="00E153DF">
        <w:rPr>
          <w:rFonts w:cstheme="minorHAnsi"/>
          <w:b/>
          <w:sz w:val="21"/>
          <w:szCs w:val="21"/>
        </w:rPr>
        <w:t>Kibernetinio saugumo inžinerija: pažangus grėsmių aptikimas ir stebėjimas mokymai</w:t>
      </w:r>
      <w:r w:rsidRPr="00E153DF">
        <w:rPr>
          <w:rFonts w:cstheme="minorHAnsi"/>
          <w:b/>
          <w:sz w:val="21"/>
          <w:szCs w:val="21"/>
        </w:rPr>
        <w:t>:</w:t>
      </w:r>
      <w:r w:rsidR="00287C8F" w:rsidRPr="00E153DF">
        <w:rPr>
          <w:rFonts w:cstheme="minorHAnsi"/>
          <w:sz w:val="21"/>
          <w:szCs w:val="21"/>
        </w:rPr>
        <w:t xml:space="preserve"> (SEC511: Cybersecurity Engineering: Advanced Threat Detection </w:t>
      </w:r>
      <w:r w:rsidRPr="00E153DF">
        <w:rPr>
          <w:rFonts w:cstheme="minorHAnsi"/>
          <w:sz w:val="21"/>
          <w:szCs w:val="21"/>
        </w:rPr>
        <w:t>and Monitoring</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1 </w:t>
      </w:r>
      <w:r w:rsidR="001C385B" w:rsidRPr="00E153DF">
        <w:rPr>
          <w:rFonts w:cstheme="minorHAnsi"/>
          <w:sz w:val="21"/>
          <w:szCs w:val="21"/>
        </w:rPr>
        <w:t xml:space="preserve">(vienas) </w:t>
      </w:r>
      <w:r w:rsidR="00B001FF" w:rsidRPr="00E153DF">
        <w:rPr>
          <w:rFonts w:cstheme="minorHAnsi"/>
          <w:sz w:val="21"/>
          <w:szCs w:val="21"/>
        </w:rPr>
        <w:t>vnt.</w:t>
      </w:r>
    </w:p>
    <w:p w14:paraId="4B6D9D72" w14:textId="3451A6FD" w:rsidR="00B001FF" w:rsidRPr="00E153DF" w:rsidRDefault="00B001FF" w:rsidP="006A7AAF">
      <w:pPr>
        <w:spacing w:after="0" w:line="240" w:lineRule="auto"/>
        <w:jc w:val="both"/>
        <w:rPr>
          <w:rFonts w:cstheme="minorHAnsi"/>
          <w:sz w:val="21"/>
          <w:szCs w:val="21"/>
        </w:rPr>
      </w:pPr>
      <w:r w:rsidRPr="00E153DF">
        <w:rPr>
          <w:rFonts w:cstheme="minorHAnsi"/>
          <w:sz w:val="21"/>
          <w:szCs w:val="21"/>
        </w:rPr>
        <w:t>5.1. Mokymų temos detalus pavadinimas „Kibernetinio saugumo inžinerija: pažangus grėsmių apt</w:t>
      </w:r>
      <w:r w:rsidR="00E6736C" w:rsidRPr="00E153DF">
        <w:rPr>
          <w:rFonts w:cstheme="minorHAnsi"/>
          <w:sz w:val="21"/>
          <w:szCs w:val="21"/>
        </w:rPr>
        <w:t xml:space="preserve">ikimas ir stebėjimas” (mokymai </w:t>
      </w:r>
      <w:hyperlink r:id="rId21">
        <w:r w:rsidRPr="00E153DF">
          <w:rPr>
            <w:rStyle w:val="Hyperlink"/>
            <w:rFonts w:cstheme="minorHAnsi"/>
            <w:sz w:val="21"/>
            <w:szCs w:val="21"/>
          </w:rPr>
          <w:t>SEC511: Cybersecurity Engineering: Advanced Threat Detection and Monitoring</w:t>
        </w:r>
      </w:hyperlink>
      <w:r w:rsidR="00E6736C" w:rsidRPr="00E153DF">
        <w:rPr>
          <w:rFonts w:cstheme="minorHAnsi"/>
          <w:sz w:val="21"/>
          <w:szCs w:val="21"/>
        </w:rPr>
        <w:t>)</w:t>
      </w:r>
      <w:r w:rsidRPr="00E153DF">
        <w:rPr>
          <w:rFonts w:cstheme="minorHAnsi"/>
          <w:sz w:val="21"/>
          <w:szCs w:val="21"/>
        </w:rPr>
        <w:t>.</w:t>
      </w:r>
    </w:p>
    <w:p w14:paraId="473E016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5.2. Mokymo programa turi apimti visą </w:t>
      </w:r>
      <w:hyperlink r:id="rId22">
        <w:r w:rsidRPr="00E153DF">
          <w:rPr>
            <w:rStyle w:val="Hyperlink"/>
            <w:rFonts w:cstheme="minorHAnsi"/>
            <w:sz w:val="21"/>
            <w:szCs w:val="21"/>
          </w:rPr>
          <w:t>GMON sertifikacijai</w:t>
        </w:r>
      </w:hyperlink>
      <w:r w:rsidRPr="00E153DF">
        <w:rPr>
          <w:rFonts w:cstheme="minorHAnsi"/>
          <w:sz w:val="21"/>
          <w:szCs w:val="21"/>
        </w:rPr>
        <w:t xml:space="preserve"> įgyti reikalingų žinių turinį.</w:t>
      </w:r>
    </w:p>
    <w:p w14:paraId="30C85782"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5.3. Programa turi būti dėstoma anglų kalba, pagrindinės programos temos: Threat-Informed Defense: Frameworks, Hunting, and Current State Assessment (Adversary Tactics and Cyber Defense Principles; Introducing Security Onion 2.X; Frameworks/Mental Models; Threat-Informed Defense and Hunting; GenAI/LLM Fundamentals), Cloud, Edge, and Network: Visibility and Protection (Security Visibility; Encryption; Cloud Protection and Detection; Edge Security), Threat Hunting with Network Detection and Response (NDR) (Network Detection Response (NDR); Network Threat Hunting), Hybrid Enterprise Security: User and Endpoint Protection and Detection (Endpoint Security Architecture; Endpoint Protection; Cloud Configuration Management; Endpoint Detection – Sysmon; Authentication Protection and Detection; Configuration Management/Monitoring), GenAI Application Defense, Automation, Supply Chain Protection, and SOC (Defending AI/LLM Applications; AI/Software Supply Chain; Service and Event Log Monitoring; Automation/SOAR/SOC), Capstone: Design, Detect, Defend (Modern Cyber Defense: Protection, Detection, and Monitoring; Applied NDR, NSM, and EDR; Network, Endpoint, and Cloud-Oriented Threat Hunting; Analyzing Malicious Traffic with Security Onion, Wireshark, and CyberChef; Analyzing Malicious Windows Event Logs; Packet Analysis; Log Analysis; C2 Detection).</w:t>
      </w:r>
    </w:p>
    <w:p w14:paraId="10D1EB93" w14:textId="77777777" w:rsidR="00B001FF" w:rsidRPr="00E153DF" w:rsidRDefault="00B001FF" w:rsidP="006A7AAF">
      <w:pPr>
        <w:spacing w:after="0" w:line="240" w:lineRule="auto"/>
        <w:jc w:val="both"/>
        <w:rPr>
          <w:rFonts w:cstheme="minorHAnsi"/>
          <w:sz w:val="21"/>
          <w:szCs w:val="21"/>
        </w:rPr>
      </w:pPr>
    </w:p>
    <w:p w14:paraId="6047159B" w14:textId="77777777" w:rsidR="00287C8F" w:rsidRPr="00E153DF" w:rsidRDefault="007419E0" w:rsidP="006A7AAF">
      <w:pPr>
        <w:spacing w:after="0" w:line="240" w:lineRule="auto"/>
        <w:jc w:val="both"/>
        <w:rPr>
          <w:rFonts w:cstheme="minorHAnsi"/>
          <w:sz w:val="21"/>
          <w:szCs w:val="21"/>
        </w:rPr>
      </w:pPr>
      <w:r w:rsidRPr="00E153DF">
        <w:rPr>
          <w:rFonts w:cstheme="minorHAnsi"/>
          <w:b/>
          <w:sz w:val="21"/>
          <w:szCs w:val="21"/>
        </w:rPr>
        <w:t xml:space="preserve">6. </w:t>
      </w:r>
      <w:r w:rsidR="00287C8F" w:rsidRPr="00E153DF">
        <w:rPr>
          <w:rFonts w:cstheme="minorHAnsi"/>
          <w:b/>
          <w:sz w:val="21"/>
          <w:szCs w:val="21"/>
        </w:rPr>
        <w:t>Saugi sistemų architektūra: „Zero-trust“ užtikrinimas hibridinei organizacijai mokymai</w:t>
      </w:r>
      <w:r w:rsidRPr="00E153DF">
        <w:rPr>
          <w:rFonts w:cstheme="minorHAnsi"/>
          <w:b/>
          <w:sz w:val="21"/>
          <w:szCs w:val="21"/>
        </w:rPr>
        <w:t>:</w:t>
      </w:r>
      <w:r w:rsidR="00287C8F" w:rsidRPr="00E153DF">
        <w:rPr>
          <w:rFonts w:cstheme="minorHAnsi"/>
          <w:sz w:val="21"/>
          <w:szCs w:val="21"/>
        </w:rPr>
        <w:t xml:space="preserve"> (SEC530: Defensible Security Architecture and Engineering: Implementing “Zero Trust” for the Hyb</w:t>
      </w:r>
      <w:r w:rsidRPr="00E153DF">
        <w:rPr>
          <w:rFonts w:cstheme="minorHAnsi"/>
          <w:sz w:val="21"/>
          <w:szCs w:val="21"/>
        </w:rPr>
        <w:t>rid Enterprise</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2 </w:t>
      </w:r>
      <w:r w:rsidR="001C385B" w:rsidRPr="00E153DF">
        <w:rPr>
          <w:rFonts w:cstheme="minorHAnsi"/>
          <w:sz w:val="21"/>
          <w:szCs w:val="21"/>
        </w:rPr>
        <w:t xml:space="preserve">(du) </w:t>
      </w:r>
      <w:r w:rsidR="00287C8F" w:rsidRPr="00E153DF">
        <w:rPr>
          <w:rFonts w:cstheme="minorHAnsi"/>
          <w:sz w:val="21"/>
          <w:szCs w:val="21"/>
        </w:rPr>
        <w:t>vnt.</w:t>
      </w:r>
    </w:p>
    <w:p w14:paraId="2214C5C9" w14:textId="4DCD45F5" w:rsidR="00B001FF" w:rsidRPr="00E153DF" w:rsidRDefault="00B001FF" w:rsidP="006A7AAF">
      <w:pPr>
        <w:spacing w:after="0" w:line="240" w:lineRule="auto"/>
        <w:jc w:val="both"/>
        <w:rPr>
          <w:rFonts w:cstheme="minorHAnsi"/>
          <w:sz w:val="21"/>
          <w:szCs w:val="21"/>
        </w:rPr>
      </w:pPr>
      <w:r w:rsidRPr="00E153DF">
        <w:rPr>
          <w:rFonts w:cstheme="minorHAnsi"/>
          <w:sz w:val="21"/>
          <w:szCs w:val="21"/>
        </w:rPr>
        <w:t>6.1. Mokymų temos detalus pavadinimas „Saugi sistemų architektūra: „Zero-trust“ užtikrinimas hibridinei o</w:t>
      </w:r>
      <w:r w:rsidR="00E6736C" w:rsidRPr="00E153DF">
        <w:rPr>
          <w:rFonts w:cstheme="minorHAnsi"/>
          <w:sz w:val="21"/>
          <w:szCs w:val="21"/>
        </w:rPr>
        <w:t xml:space="preserve">rganizacijai“ (mokymai </w:t>
      </w:r>
      <w:hyperlink r:id="rId23" w:history="1">
        <w:r w:rsidR="00E6736C" w:rsidRPr="00E153DF">
          <w:rPr>
            <w:rStyle w:val="Hyperlink"/>
            <w:rFonts w:cstheme="minorHAnsi"/>
            <w:sz w:val="21"/>
            <w:szCs w:val="21"/>
          </w:rPr>
          <w:t xml:space="preserve">SEC530: </w:t>
        </w:r>
        <w:r w:rsidRPr="00E153DF">
          <w:rPr>
            <w:rStyle w:val="Hyperlink"/>
            <w:rFonts w:cstheme="minorHAnsi"/>
            <w:sz w:val="21"/>
            <w:szCs w:val="21"/>
          </w:rPr>
          <w:t>Defensible Security Architecture and Engineering: Implementing Zero Trust for the Hybr</w:t>
        </w:r>
        <w:r w:rsidR="00E6736C" w:rsidRPr="00E153DF">
          <w:rPr>
            <w:rStyle w:val="Hyperlink"/>
            <w:rFonts w:cstheme="minorHAnsi"/>
            <w:sz w:val="21"/>
            <w:szCs w:val="21"/>
          </w:rPr>
          <w:t>id Enterprise</w:t>
        </w:r>
      </w:hyperlink>
      <w:r w:rsidR="00E6736C" w:rsidRPr="00E153DF">
        <w:rPr>
          <w:rFonts w:cstheme="minorHAnsi"/>
          <w:sz w:val="21"/>
          <w:szCs w:val="21"/>
        </w:rPr>
        <w:t>)</w:t>
      </w:r>
      <w:r w:rsidRPr="00E153DF">
        <w:rPr>
          <w:rFonts w:cstheme="minorHAnsi"/>
          <w:sz w:val="21"/>
          <w:szCs w:val="21"/>
        </w:rPr>
        <w:t>.</w:t>
      </w:r>
    </w:p>
    <w:p w14:paraId="11F467C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6.2. Mokymo programa turi apimti visą GDSA sertifikacijai įgyti reikalingų žinių turinį.</w:t>
      </w:r>
    </w:p>
    <w:p w14:paraId="683DA96F"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6.3. Programa turi būti dėstoma anglų kalba, pagrindinės programos temos: </w:t>
      </w:r>
      <w:r w:rsidRPr="00E153DF">
        <w:rPr>
          <w:rFonts w:cstheme="minorHAnsi"/>
          <w:i/>
          <w:sz w:val="21"/>
          <w:szCs w:val="21"/>
        </w:rPr>
        <w:t xml:space="preserve">Defensible Security Architecture and Engineering: A Journey Towards Zero Trust (Course Overview, Defensible Security Architecture, Traditional Security Architecture Deficiencies, Winning Defensible-Security Strategies, Security Models, Threat, Vulnerability, and Data Flow Analysis, Defensible Security Architecture, Beginning at Layers 1 and 2, Layer 2 Attacks and Mitigation, VLANs, NetFlow), Network Security Architecture and Engineering (Layer 3 Attacks and Mitigation, Switch and Router Best Practices, Layer 2 and 3 Benchmarks and Auditing Tools, Securing SNMP, Securing NTP, Bogon Filtering, Blackholes, and Darknets, IPv6, Securing Ipv6, Segmentation, Application Proxies, SMTP Proxy), Network-Centric Application Security Architecture (NGFW, Network Security Monitoring (NSM), NIDS/NIPS, Secure Remote Access, Defending against Modern Authentication Attacks, Encryption), Data-Centric Application Security Architecture (Data-Centric Security, Application (Reverse) Proxies, Full Stack Security in Monolithic Applications, Microservices, Web Application Firewalls, Database Firewalls/Database Activity Monitoring, Data Encryption, File Classification, Data Loss Prevention (DLP), Data Governance, Mobile Device Management (MDM) and Mobile Application Management (MAM), Private Cloud Security, Container Security), Zero-Trust Architecture: Addressing the Adversaries Already in Our Networks (Zero Trust Architecture, Identity Management and Federation, Credential Rotation,  Securing </w:t>
      </w:r>
      <w:r w:rsidRPr="00E153DF">
        <w:rPr>
          <w:rFonts w:cstheme="minorHAnsi"/>
          <w:i/>
          <w:sz w:val="21"/>
          <w:szCs w:val="21"/>
        </w:rPr>
        <w:lastRenderedPageBreak/>
        <w:t>Traffic, Host-Based Firewalls and ASR, Compromised Internal Assets, Adaptive Trust and Security Orchestration, Segmentation Gateways, Scaling Endpoint Log Collection/Storage/Analysis, MITRE ATT&amp;CK Content Engineering, Tripwire and Red Herring Defenses), Hands-On Secure the Flag Challenge (Defensible Security Architecture, Assess Provided Architecture and Identify Weaknesses, Use Tools/Scripts to Assess the Initial State, Quickly/Thoroughly Find All Changes Made)</w:t>
      </w:r>
      <w:r w:rsidRPr="00E153DF">
        <w:rPr>
          <w:rFonts w:cstheme="minorHAnsi"/>
          <w:sz w:val="21"/>
          <w:szCs w:val="21"/>
        </w:rPr>
        <w:t>.</w:t>
      </w:r>
    </w:p>
    <w:p w14:paraId="118137C4" w14:textId="77777777" w:rsidR="00DC0706" w:rsidRPr="00E153DF" w:rsidRDefault="00DC0706" w:rsidP="006A7AAF">
      <w:pPr>
        <w:spacing w:after="0" w:line="240" w:lineRule="auto"/>
        <w:jc w:val="both"/>
        <w:rPr>
          <w:rFonts w:cstheme="minorHAnsi"/>
          <w:sz w:val="21"/>
          <w:szCs w:val="21"/>
        </w:rPr>
      </w:pPr>
    </w:p>
    <w:p w14:paraId="209A025C" w14:textId="6FB9801A" w:rsidR="00287C8F" w:rsidRPr="00E153DF" w:rsidRDefault="00DC0706" w:rsidP="006A7AAF">
      <w:pPr>
        <w:spacing w:after="0" w:line="240" w:lineRule="auto"/>
        <w:jc w:val="both"/>
        <w:rPr>
          <w:rFonts w:cstheme="minorHAnsi"/>
          <w:sz w:val="21"/>
          <w:szCs w:val="21"/>
        </w:rPr>
      </w:pPr>
      <w:r w:rsidRPr="00E153DF">
        <w:rPr>
          <w:rFonts w:cstheme="minorHAnsi"/>
          <w:b/>
          <w:sz w:val="21"/>
          <w:szCs w:val="21"/>
        </w:rPr>
        <w:t xml:space="preserve">7. </w:t>
      </w:r>
      <w:r w:rsidR="00287C8F" w:rsidRPr="00E153DF">
        <w:rPr>
          <w:rFonts w:cstheme="minorHAnsi"/>
          <w:b/>
          <w:sz w:val="21"/>
          <w:szCs w:val="21"/>
        </w:rPr>
        <w:t>Debesijos saugumas ir DevSecOps automatizavimas mokymai</w:t>
      </w:r>
      <w:r w:rsidRPr="00E153DF">
        <w:rPr>
          <w:rFonts w:cstheme="minorHAnsi"/>
          <w:b/>
          <w:sz w:val="21"/>
          <w:szCs w:val="21"/>
        </w:rPr>
        <w:t>:</w:t>
      </w:r>
      <w:r w:rsidR="00287C8F" w:rsidRPr="00E153DF">
        <w:rPr>
          <w:rFonts w:cstheme="minorHAnsi"/>
          <w:sz w:val="21"/>
          <w:szCs w:val="21"/>
        </w:rPr>
        <w:t xml:space="preserve"> (SEC540: Cloud Native Security and DevSec</w:t>
      </w:r>
      <w:r w:rsidR="007574F2" w:rsidRPr="00E153DF">
        <w:rPr>
          <w:rFonts w:cstheme="minorHAnsi"/>
          <w:sz w:val="21"/>
          <w:szCs w:val="21"/>
        </w:rPr>
        <w:t>Ops Automation</w:t>
      </w:r>
      <w:r w:rsidR="00287C8F" w:rsidRPr="00E153DF">
        <w:rPr>
          <w:rFonts w:cstheme="minorHAnsi"/>
          <w:sz w:val="21"/>
          <w:szCs w:val="21"/>
        </w:rPr>
        <w:t xml:space="preserve">) </w:t>
      </w:r>
      <w:r w:rsidR="00721EFC" w:rsidRPr="00E153DF">
        <w:rPr>
          <w:rFonts w:cstheme="minorHAnsi"/>
          <w:sz w:val="21"/>
          <w:szCs w:val="21"/>
        </w:rPr>
        <w:t>–</w:t>
      </w:r>
      <w:r w:rsidR="00287C8F" w:rsidRPr="00E153DF">
        <w:rPr>
          <w:rFonts w:cstheme="minorHAnsi"/>
          <w:sz w:val="21"/>
          <w:szCs w:val="21"/>
        </w:rPr>
        <w:t xml:space="preserve"> 1 </w:t>
      </w:r>
      <w:r w:rsidR="00721EFC" w:rsidRPr="00E153DF">
        <w:rPr>
          <w:rFonts w:cstheme="minorHAnsi"/>
          <w:sz w:val="21"/>
          <w:szCs w:val="21"/>
        </w:rPr>
        <w:t xml:space="preserve">(vienas) </w:t>
      </w:r>
      <w:r w:rsidR="00287C8F" w:rsidRPr="00E153DF">
        <w:rPr>
          <w:rFonts w:cstheme="minorHAnsi"/>
          <w:sz w:val="21"/>
          <w:szCs w:val="21"/>
        </w:rPr>
        <w:t xml:space="preserve">vnt. </w:t>
      </w:r>
    </w:p>
    <w:p w14:paraId="4F5940A3" w14:textId="0801367C" w:rsidR="00B001FF" w:rsidRPr="00E153DF" w:rsidRDefault="00B001FF" w:rsidP="006A7AAF">
      <w:pPr>
        <w:spacing w:after="0" w:line="240" w:lineRule="auto"/>
        <w:jc w:val="both"/>
        <w:rPr>
          <w:rFonts w:cstheme="minorHAnsi"/>
          <w:sz w:val="21"/>
          <w:szCs w:val="21"/>
        </w:rPr>
      </w:pPr>
      <w:r w:rsidRPr="00E153DF">
        <w:rPr>
          <w:rFonts w:cstheme="minorHAnsi"/>
          <w:sz w:val="21"/>
          <w:szCs w:val="21"/>
        </w:rPr>
        <w:t>7.1. Mokymų temos detalus pavadinimas „Debesijos saugumas ir DevSecO</w:t>
      </w:r>
      <w:r w:rsidR="00D10C58" w:rsidRPr="00E153DF">
        <w:rPr>
          <w:rFonts w:cstheme="minorHAnsi"/>
          <w:sz w:val="21"/>
          <w:szCs w:val="21"/>
        </w:rPr>
        <w:t xml:space="preserve">ps automatizavimas” (mokymai </w:t>
      </w:r>
      <w:hyperlink r:id="rId24">
        <w:r w:rsidRPr="00E153DF">
          <w:rPr>
            <w:rStyle w:val="Hyperlink"/>
            <w:rFonts w:cstheme="minorHAnsi"/>
            <w:sz w:val="21"/>
            <w:szCs w:val="21"/>
          </w:rPr>
          <w:t>SEC540: Cloud Native Security and DevSecOps Automation</w:t>
        </w:r>
      </w:hyperlink>
      <w:r w:rsidR="00D10C58" w:rsidRPr="00E153DF">
        <w:rPr>
          <w:rFonts w:cstheme="minorHAnsi"/>
          <w:sz w:val="21"/>
          <w:szCs w:val="21"/>
        </w:rPr>
        <w:t>)</w:t>
      </w:r>
      <w:r w:rsidRPr="00E153DF">
        <w:rPr>
          <w:rFonts w:cstheme="minorHAnsi"/>
          <w:sz w:val="21"/>
          <w:szCs w:val="21"/>
        </w:rPr>
        <w:t>.</w:t>
      </w:r>
    </w:p>
    <w:p w14:paraId="2E11966A"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7.2. Mokymo programa turi apimti visą </w:t>
      </w:r>
      <w:hyperlink r:id="rId25">
        <w:r w:rsidRPr="00E153DF">
          <w:rPr>
            <w:rStyle w:val="Hyperlink"/>
            <w:rFonts w:cstheme="minorHAnsi"/>
            <w:sz w:val="21"/>
            <w:szCs w:val="21"/>
          </w:rPr>
          <w:t>GCSA sertifikacijai</w:t>
        </w:r>
      </w:hyperlink>
      <w:r w:rsidRPr="00E153DF">
        <w:rPr>
          <w:rFonts w:cstheme="minorHAnsi"/>
          <w:sz w:val="21"/>
          <w:szCs w:val="21"/>
        </w:rPr>
        <w:t xml:space="preserve"> įgyti reikalingų žinių turinį.</w:t>
      </w:r>
    </w:p>
    <w:p w14:paraId="73C43B3E"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7.3. Programa turi būti dėstoma anglų kalba, pagrindinės programos temos: </w:t>
      </w:r>
      <w:r w:rsidRPr="00E153DF">
        <w:rPr>
          <w:rFonts w:cstheme="minorHAnsi"/>
          <w:i/>
          <w:sz w:val="21"/>
          <w:szCs w:val="21"/>
        </w:rPr>
        <w:t>DevOps Security Automation (DevOps and Security Challenges; DevOps Toolchain; Securing DevOps Workflows; Pre-Commit Security Controls; Commit Security Controls; Secrets Management), Cloud Infrastructure Security (Cloud Infrastructure as Code; Configuration Management as Code; Container Security Lifecycle; Software Supply Chain Security), Cloud Native Security Operations (Kubernetes Architecture, Resources, and Deployments; Kubernetes Risks and Security Controls; Kubernetes Workload Security; Kubernetes Runtime Security; Continuous Security Monitoring), Microservice and Serverless Security (Deployment Orchestration using Cloud Native Services; Secure Content Delivery; Microservice Security; Serverless Security), Continuous Compliance and Protection (Continuous Compliance; Runtime Security Protection; Automated Remediation)</w:t>
      </w:r>
      <w:r w:rsidRPr="00E153DF">
        <w:rPr>
          <w:rFonts w:cstheme="minorHAnsi"/>
          <w:sz w:val="21"/>
          <w:szCs w:val="21"/>
        </w:rPr>
        <w:t>.</w:t>
      </w:r>
    </w:p>
    <w:p w14:paraId="4A21B874" w14:textId="77777777" w:rsidR="00B001FF" w:rsidRPr="00E153DF" w:rsidRDefault="00B001FF" w:rsidP="006A7AAF">
      <w:pPr>
        <w:spacing w:after="0" w:line="240" w:lineRule="auto"/>
        <w:jc w:val="both"/>
        <w:rPr>
          <w:rFonts w:cstheme="minorHAnsi"/>
          <w:sz w:val="21"/>
          <w:szCs w:val="21"/>
        </w:rPr>
      </w:pPr>
    </w:p>
    <w:p w14:paraId="0AAE0898" w14:textId="3F7A54AB" w:rsidR="00287C8F" w:rsidRPr="00E153DF" w:rsidRDefault="00DC0706" w:rsidP="006A7AAF">
      <w:pPr>
        <w:spacing w:after="0" w:line="240" w:lineRule="auto"/>
        <w:jc w:val="both"/>
        <w:rPr>
          <w:rFonts w:cstheme="minorHAnsi"/>
          <w:sz w:val="21"/>
          <w:szCs w:val="21"/>
        </w:rPr>
      </w:pPr>
      <w:r w:rsidRPr="00E153DF">
        <w:rPr>
          <w:rFonts w:cstheme="minorHAnsi"/>
          <w:b/>
          <w:sz w:val="21"/>
          <w:szCs w:val="21"/>
        </w:rPr>
        <w:t xml:space="preserve">8. </w:t>
      </w:r>
      <w:r w:rsidR="00287C8F" w:rsidRPr="00E153DF">
        <w:rPr>
          <w:rFonts w:cstheme="minorHAnsi"/>
          <w:b/>
          <w:sz w:val="21"/>
          <w:szCs w:val="21"/>
        </w:rPr>
        <w:t>Informacijos saugumo automatizavimas naudojant Python mokymai</w:t>
      </w:r>
      <w:r w:rsidRPr="00E153DF">
        <w:rPr>
          <w:rFonts w:cstheme="minorHAnsi"/>
          <w:b/>
          <w:sz w:val="21"/>
          <w:szCs w:val="21"/>
        </w:rPr>
        <w:t>:</w:t>
      </w:r>
      <w:r w:rsidR="00287C8F" w:rsidRPr="00E153DF">
        <w:rPr>
          <w:rFonts w:cstheme="minorHAnsi"/>
          <w:sz w:val="21"/>
          <w:szCs w:val="21"/>
        </w:rPr>
        <w:t xml:space="preserve"> (SEC573: Automating Information Securi</w:t>
      </w:r>
      <w:r w:rsidRPr="00E153DF">
        <w:rPr>
          <w:rFonts w:cstheme="minorHAnsi"/>
          <w:sz w:val="21"/>
          <w:szCs w:val="21"/>
        </w:rPr>
        <w:t>ty with Python</w:t>
      </w:r>
      <w:r w:rsidR="00287C8F" w:rsidRPr="00E153DF">
        <w:rPr>
          <w:rFonts w:cstheme="minorHAnsi"/>
          <w:sz w:val="21"/>
          <w:szCs w:val="21"/>
        </w:rPr>
        <w:t xml:space="preserve">) </w:t>
      </w:r>
      <w:r w:rsidR="00721EFC" w:rsidRPr="00E153DF">
        <w:rPr>
          <w:rFonts w:cstheme="minorHAnsi"/>
          <w:sz w:val="21"/>
          <w:szCs w:val="21"/>
        </w:rPr>
        <w:t>–</w:t>
      </w:r>
      <w:r w:rsidR="00287C8F" w:rsidRPr="00E153DF">
        <w:rPr>
          <w:rFonts w:cstheme="minorHAnsi"/>
          <w:sz w:val="21"/>
          <w:szCs w:val="21"/>
        </w:rPr>
        <w:t xml:space="preserve"> 1 </w:t>
      </w:r>
      <w:r w:rsidR="00721EFC" w:rsidRPr="00E153DF">
        <w:rPr>
          <w:rFonts w:cstheme="minorHAnsi"/>
          <w:sz w:val="21"/>
          <w:szCs w:val="21"/>
        </w:rPr>
        <w:t xml:space="preserve">(vienas) </w:t>
      </w:r>
      <w:r w:rsidR="00287C8F" w:rsidRPr="00E153DF">
        <w:rPr>
          <w:rFonts w:cstheme="minorHAnsi"/>
          <w:sz w:val="21"/>
          <w:szCs w:val="21"/>
        </w:rPr>
        <w:t xml:space="preserve">vnt. </w:t>
      </w:r>
    </w:p>
    <w:p w14:paraId="518C6983" w14:textId="200E6FD7" w:rsidR="00B001FF" w:rsidRPr="00E153DF" w:rsidRDefault="00B001FF" w:rsidP="006A7AAF">
      <w:pPr>
        <w:spacing w:after="0" w:line="240" w:lineRule="auto"/>
        <w:jc w:val="both"/>
        <w:rPr>
          <w:rFonts w:cstheme="minorHAnsi"/>
          <w:sz w:val="21"/>
          <w:szCs w:val="21"/>
        </w:rPr>
      </w:pPr>
      <w:r w:rsidRPr="00E153DF">
        <w:rPr>
          <w:rFonts w:cstheme="minorHAnsi"/>
          <w:sz w:val="21"/>
          <w:szCs w:val="21"/>
        </w:rPr>
        <w:t>8.1. Mokymų temos detalus pavadinimas „Informacijos saugumo automatizavimas naudojant Python” (</w:t>
      </w:r>
      <w:r w:rsidR="00D10C58" w:rsidRPr="00E153DF">
        <w:rPr>
          <w:rFonts w:cstheme="minorHAnsi"/>
          <w:sz w:val="21"/>
          <w:szCs w:val="21"/>
        </w:rPr>
        <w:t xml:space="preserve">mokymai </w:t>
      </w:r>
      <w:hyperlink r:id="rId26">
        <w:r w:rsidRPr="00E153DF">
          <w:rPr>
            <w:rStyle w:val="Hyperlink"/>
            <w:rFonts w:cstheme="minorHAnsi"/>
            <w:sz w:val="21"/>
            <w:szCs w:val="21"/>
          </w:rPr>
          <w:t>SEC573: Automating Information Security with Python</w:t>
        </w:r>
      </w:hyperlink>
      <w:r w:rsidR="00D10C58" w:rsidRPr="00E153DF">
        <w:rPr>
          <w:rFonts w:cstheme="minorHAnsi"/>
          <w:sz w:val="21"/>
          <w:szCs w:val="21"/>
        </w:rPr>
        <w:t>)</w:t>
      </w:r>
      <w:r w:rsidRPr="00E153DF">
        <w:rPr>
          <w:rFonts w:cstheme="minorHAnsi"/>
          <w:sz w:val="21"/>
          <w:szCs w:val="21"/>
        </w:rPr>
        <w:t>.</w:t>
      </w:r>
    </w:p>
    <w:p w14:paraId="12B8AC92"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8.2. Mokymo programa turi apimti visą </w:t>
      </w:r>
      <w:hyperlink r:id="rId27">
        <w:r w:rsidRPr="00E153DF">
          <w:rPr>
            <w:rStyle w:val="Hyperlink"/>
            <w:rFonts w:cstheme="minorHAnsi"/>
            <w:sz w:val="21"/>
            <w:szCs w:val="21"/>
          </w:rPr>
          <w:t>GPYC sertifikacijai</w:t>
        </w:r>
      </w:hyperlink>
      <w:r w:rsidRPr="00E153DF">
        <w:rPr>
          <w:rFonts w:cstheme="minorHAnsi"/>
          <w:sz w:val="21"/>
          <w:szCs w:val="21"/>
        </w:rPr>
        <w:t xml:space="preserve"> įgyti reikalingų žinių turinį.</w:t>
      </w:r>
    </w:p>
    <w:p w14:paraId="51C118AE" w14:textId="093A896A" w:rsidR="00B001FF" w:rsidRPr="00E153DF" w:rsidRDefault="00DC0706" w:rsidP="006A7AAF">
      <w:pPr>
        <w:spacing w:after="0" w:line="240" w:lineRule="auto"/>
        <w:jc w:val="both"/>
        <w:rPr>
          <w:rFonts w:cstheme="minorHAnsi"/>
          <w:i/>
          <w:sz w:val="21"/>
          <w:szCs w:val="21"/>
        </w:rPr>
      </w:pPr>
      <w:r w:rsidRPr="00E153DF">
        <w:rPr>
          <w:rFonts w:cstheme="minorHAnsi"/>
          <w:sz w:val="21"/>
          <w:szCs w:val="21"/>
        </w:rPr>
        <w:t xml:space="preserve">8.3. </w:t>
      </w:r>
      <w:r w:rsidR="00B001FF" w:rsidRPr="00E153DF">
        <w:rPr>
          <w:rFonts w:cstheme="minorHAnsi"/>
          <w:sz w:val="21"/>
          <w:szCs w:val="21"/>
        </w:rPr>
        <w:t xml:space="preserve">Programa turi būti dėstoma anglų kalba, pagrindinės programos temos: </w:t>
      </w:r>
      <w:r w:rsidR="00B001FF" w:rsidRPr="00E153DF">
        <w:rPr>
          <w:rFonts w:cstheme="minorHAnsi"/>
          <w:i/>
          <w:sz w:val="21"/>
          <w:szCs w:val="21"/>
        </w:rPr>
        <w:t>Essentials Workshop with pyWars (Syntax; Vari</w:t>
      </w:r>
      <w:r w:rsidRPr="00E153DF">
        <w:rPr>
          <w:rFonts w:cstheme="minorHAnsi"/>
          <w:i/>
          <w:sz w:val="21"/>
          <w:szCs w:val="21"/>
        </w:rPr>
        <w:t xml:space="preserve">ables; Math Operators; Strings; </w:t>
      </w:r>
      <w:r w:rsidR="00B001FF" w:rsidRPr="00E153DF">
        <w:rPr>
          <w:rFonts w:cstheme="minorHAnsi"/>
          <w:i/>
          <w:sz w:val="21"/>
          <w:szCs w:val="21"/>
        </w:rPr>
        <w:t xml:space="preserve">Functions; Modules; Control Statements; Introspection), Essentials Workshop with MORE pyWars (Lists; Loops; Tuples; Dictionaries; The Python Debugger; Coding Tips; Tricks and Shortcuts; System Arguments; ArgParser Module), Defensive Python (File Operations; Python Sets; Regular Expressions; Log Parsing; Data Analysis Tools and Techniques; Long Tail/Short Tail Analysis; Geolocation </w:t>
      </w:r>
      <w:r w:rsidR="002F2FA7" w:rsidRPr="00E153DF">
        <w:rPr>
          <w:rFonts w:cstheme="minorHAnsi"/>
          <w:i/>
          <w:sz w:val="21"/>
          <w:szCs w:val="21"/>
        </w:rPr>
        <w:t>Acquisition; Blacklists and Whitelists; Packet Analysis; Packet Reassembly; Payload Extraction), Forensics Python (Acquiring Images from Disk; Memory and the Network; File Carving; The STRUCT Module; Raw Network Sockets and Protocols; Image Forensics and PIL; SQL Queries; HTTP Communications with Python Built in Libraries; Web Communications with the Requests Module), Offensive Python (Network Socket Operations; Exception Handling; Process Execution; Blocking and Non-blocking Sockets; Using the Select Module for Asynchronous Operations; The Select Module; Python Objects; Argument Packing and Unpacking), Capture-the-Flag Challenge.</w:t>
      </w:r>
    </w:p>
    <w:p w14:paraId="25B65A63" w14:textId="77777777" w:rsidR="00DC0706" w:rsidRPr="00E153DF" w:rsidRDefault="00DC0706" w:rsidP="006A7AAF">
      <w:pPr>
        <w:spacing w:after="0" w:line="240" w:lineRule="auto"/>
        <w:jc w:val="both"/>
        <w:rPr>
          <w:rFonts w:cstheme="minorHAnsi"/>
          <w:sz w:val="21"/>
          <w:szCs w:val="21"/>
        </w:rPr>
      </w:pPr>
    </w:p>
    <w:p w14:paraId="77DCBB86" w14:textId="746CA983" w:rsidR="00287C8F" w:rsidRPr="00E153DF" w:rsidRDefault="00DC0706" w:rsidP="006A7AAF">
      <w:pPr>
        <w:spacing w:after="0" w:line="240" w:lineRule="auto"/>
        <w:jc w:val="both"/>
        <w:rPr>
          <w:rFonts w:cstheme="minorHAnsi"/>
          <w:sz w:val="21"/>
          <w:szCs w:val="21"/>
        </w:rPr>
      </w:pPr>
      <w:r w:rsidRPr="00E153DF">
        <w:rPr>
          <w:rFonts w:cstheme="minorHAnsi"/>
          <w:b/>
          <w:sz w:val="21"/>
          <w:szCs w:val="21"/>
        </w:rPr>
        <w:t xml:space="preserve">9. </w:t>
      </w:r>
      <w:r w:rsidR="00287C8F" w:rsidRPr="00E153DF">
        <w:rPr>
          <w:rFonts w:cstheme="minorHAnsi"/>
          <w:b/>
          <w:sz w:val="21"/>
          <w:szCs w:val="21"/>
        </w:rPr>
        <w:t xml:space="preserve">Kova su APT </w:t>
      </w:r>
      <w:r w:rsidR="00D10C58" w:rsidRPr="00E153DF">
        <w:rPr>
          <w:rFonts w:cstheme="minorHAnsi"/>
          <w:b/>
          <w:sz w:val="21"/>
          <w:szCs w:val="21"/>
        </w:rPr>
        <w:t>–</w:t>
      </w:r>
      <w:r w:rsidR="00287C8F" w:rsidRPr="00E153DF">
        <w:rPr>
          <w:rFonts w:cstheme="minorHAnsi"/>
          <w:b/>
          <w:sz w:val="21"/>
          <w:szCs w:val="21"/>
        </w:rPr>
        <w:t xml:space="preserve"> purpurinės komandos taktikos ir „Kill Chain“ gynyba mokymai</w:t>
      </w:r>
      <w:r w:rsidRPr="00E153DF">
        <w:rPr>
          <w:rFonts w:cstheme="minorHAnsi"/>
          <w:b/>
          <w:sz w:val="21"/>
          <w:szCs w:val="21"/>
        </w:rPr>
        <w:t>:</w:t>
      </w:r>
      <w:r w:rsidR="00287C8F" w:rsidRPr="00E153DF">
        <w:rPr>
          <w:rFonts w:cstheme="minorHAnsi"/>
          <w:sz w:val="21"/>
          <w:szCs w:val="21"/>
        </w:rPr>
        <w:t xml:space="preserve"> (SEC599: Defeating Advanced Adversaries </w:t>
      </w:r>
      <w:r w:rsidR="007574F2" w:rsidRPr="00E153DF">
        <w:rPr>
          <w:rFonts w:cstheme="minorHAnsi"/>
          <w:sz w:val="21"/>
          <w:szCs w:val="21"/>
        </w:rPr>
        <w:t>–</w:t>
      </w:r>
      <w:r w:rsidR="00287C8F" w:rsidRPr="00E153DF">
        <w:rPr>
          <w:rFonts w:cstheme="minorHAnsi"/>
          <w:sz w:val="21"/>
          <w:szCs w:val="21"/>
        </w:rPr>
        <w:t xml:space="preserve"> Purple Team Tactics &amp; Kill </w:t>
      </w:r>
      <w:r w:rsidR="007574F2" w:rsidRPr="00E153DF">
        <w:rPr>
          <w:rFonts w:cstheme="minorHAnsi"/>
          <w:sz w:val="21"/>
          <w:szCs w:val="21"/>
        </w:rPr>
        <w:t>Chain Defenses</w:t>
      </w:r>
      <w:r w:rsidR="00287C8F" w:rsidRPr="00E153DF">
        <w:rPr>
          <w:rFonts w:cstheme="minorHAnsi"/>
          <w:sz w:val="21"/>
          <w:szCs w:val="21"/>
        </w:rPr>
        <w:t xml:space="preserve">) </w:t>
      </w:r>
      <w:r w:rsidR="00721EFC" w:rsidRPr="00E153DF">
        <w:rPr>
          <w:rFonts w:cstheme="minorHAnsi"/>
          <w:sz w:val="21"/>
          <w:szCs w:val="21"/>
        </w:rPr>
        <w:t>–</w:t>
      </w:r>
      <w:r w:rsidR="00287C8F" w:rsidRPr="00E153DF">
        <w:rPr>
          <w:rFonts w:cstheme="minorHAnsi"/>
          <w:sz w:val="21"/>
          <w:szCs w:val="21"/>
        </w:rPr>
        <w:t xml:space="preserve"> 1 </w:t>
      </w:r>
      <w:r w:rsidR="00721EFC" w:rsidRPr="00E153DF">
        <w:rPr>
          <w:rFonts w:cstheme="minorHAnsi"/>
          <w:sz w:val="21"/>
          <w:szCs w:val="21"/>
        </w:rPr>
        <w:t xml:space="preserve">(vienas) </w:t>
      </w:r>
      <w:r w:rsidR="00287C8F" w:rsidRPr="00E153DF">
        <w:rPr>
          <w:rFonts w:cstheme="minorHAnsi"/>
          <w:sz w:val="21"/>
          <w:szCs w:val="21"/>
        </w:rPr>
        <w:t>vnt.</w:t>
      </w:r>
    </w:p>
    <w:p w14:paraId="6A130E98" w14:textId="64A1344B" w:rsidR="002F2FA7" w:rsidRPr="00E153DF" w:rsidRDefault="002F2FA7" w:rsidP="006A7AAF">
      <w:pPr>
        <w:spacing w:after="0" w:line="240" w:lineRule="auto"/>
        <w:jc w:val="both"/>
        <w:rPr>
          <w:rFonts w:cstheme="minorHAnsi"/>
          <w:sz w:val="21"/>
          <w:szCs w:val="21"/>
        </w:rPr>
      </w:pPr>
      <w:r w:rsidRPr="00E153DF">
        <w:rPr>
          <w:rFonts w:cstheme="minorHAnsi"/>
          <w:sz w:val="21"/>
          <w:szCs w:val="21"/>
        </w:rPr>
        <w:t xml:space="preserve">9.1. Mokymų temos detalus pavadinimas: „Kova su APT </w:t>
      </w:r>
      <w:r w:rsidR="00D10C58" w:rsidRPr="00E153DF">
        <w:rPr>
          <w:rFonts w:cstheme="minorHAnsi"/>
          <w:sz w:val="21"/>
          <w:szCs w:val="21"/>
        </w:rPr>
        <w:t>–</w:t>
      </w:r>
      <w:r w:rsidRPr="00E153DF">
        <w:rPr>
          <w:rFonts w:cstheme="minorHAnsi"/>
          <w:sz w:val="21"/>
          <w:szCs w:val="21"/>
        </w:rPr>
        <w:t xml:space="preserve"> purpurinės komandos taktikos ir</w:t>
      </w:r>
      <w:r w:rsidR="00D10C58" w:rsidRPr="00E153DF">
        <w:rPr>
          <w:rFonts w:cstheme="minorHAnsi"/>
          <w:sz w:val="21"/>
          <w:szCs w:val="21"/>
        </w:rPr>
        <w:t xml:space="preserve"> „Kill Chain“ gynyba” (mokymai </w:t>
      </w:r>
      <w:hyperlink r:id="rId28">
        <w:r w:rsidRPr="00E153DF">
          <w:rPr>
            <w:rStyle w:val="Hyperlink"/>
            <w:rFonts w:cstheme="minorHAnsi"/>
            <w:sz w:val="21"/>
            <w:szCs w:val="21"/>
          </w:rPr>
          <w:t>SEC599: Defeating Advanced Adversaries - Purple Team Tactics &amp; Kill Chain Defenses</w:t>
        </w:r>
      </w:hyperlink>
      <w:r w:rsidR="00D10C58" w:rsidRPr="00E153DF">
        <w:rPr>
          <w:rFonts w:cstheme="minorHAnsi"/>
          <w:sz w:val="21"/>
          <w:szCs w:val="21"/>
        </w:rPr>
        <w:t>)</w:t>
      </w:r>
      <w:r w:rsidRPr="00E153DF">
        <w:rPr>
          <w:rFonts w:cstheme="minorHAnsi"/>
          <w:sz w:val="21"/>
          <w:szCs w:val="21"/>
        </w:rPr>
        <w:t>.</w:t>
      </w:r>
    </w:p>
    <w:p w14:paraId="7823D46D" w14:textId="77777777" w:rsidR="002F2FA7" w:rsidRPr="00E153DF" w:rsidRDefault="002F2FA7" w:rsidP="006A7AAF">
      <w:pPr>
        <w:spacing w:after="0" w:line="240" w:lineRule="auto"/>
        <w:jc w:val="both"/>
        <w:rPr>
          <w:rFonts w:cstheme="minorHAnsi"/>
          <w:sz w:val="21"/>
          <w:szCs w:val="21"/>
        </w:rPr>
      </w:pPr>
      <w:r w:rsidRPr="00E153DF">
        <w:rPr>
          <w:rFonts w:cstheme="minorHAnsi"/>
          <w:sz w:val="21"/>
          <w:szCs w:val="21"/>
        </w:rPr>
        <w:t xml:space="preserve">9.2. Mokymo programa turi apimti visą </w:t>
      </w:r>
      <w:hyperlink r:id="rId29">
        <w:r w:rsidRPr="00E153DF">
          <w:rPr>
            <w:rStyle w:val="Hyperlink"/>
            <w:rFonts w:cstheme="minorHAnsi"/>
            <w:sz w:val="21"/>
            <w:szCs w:val="21"/>
          </w:rPr>
          <w:t>GDAT sertifikacijai</w:t>
        </w:r>
      </w:hyperlink>
      <w:r w:rsidRPr="00E153DF">
        <w:rPr>
          <w:rFonts w:cstheme="minorHAnsi"/>
          <w:sz w:val="21"/>
          <w:szCs w:val="21"/>
        </w:rPr>
        <w:t xml:space="preserve"> įgyti reikalingų žinių turinį.</w:t>
      </w:r>
    </w:p>
    <w:p w14:paraId="1199596E" w14:textId="77777777" w:rsidR="002F2FA7" w:rsidRPr="00E153DF" w:rsidRDefault="002F2FA7" w:rsidP="006A7AAF">
      <w:pPr>
        <w:spacing w:after="0" w:line="240" w:lineRule="auto"/>
        <w:jc w:val="both"/>
        <w:rPr>
          <w:rFonts w:cstheme="minorHAnsi"/>
          <w:sz w:val="21"/>
          <w:szCs w:val="21"/>
        </w:rPr>
      </w:pPr>
      <w:r w:rsidRPr="00E153DF">
        <w:rPr>
          <w:rFonts w:cstheme="minorHAnsi"/>
          <w:sz w:val="21"/>
          <w:szCs w:val="21"/>
        </w:rPr>
        <w:t xml:space="preserve">9.3. Programa turi būti dėstoma anglų kalba, pagrindinės programos temos: </w:t>
      </w:r>
      <w:r w:rsidRPr="00E153DF">
        <w:rPr>
          <w:rFonts w:cstheme="minorHAnsi"/>
          <w:i/>
          <w:sz w:val="21"/>
          <w:szCs w:val="21"/>
        </w:rPr>
        <w:t>Introduction and Reconnaissance (Course Outline and Lab Setup; Adversary Emulation and the Purple Team; Reconnaissance), Payload Delivery and Execution (Common Delivery Mechanisms; Hindering Payload Delivery; Preventing Payload Execution), Exploitation, Persistence, and Command and Control (Protecting Applications from Exploitation; Avoiding Installation; Foiling Command and Control), Lateral Movement (Protecting Administrative Access; Key Attack Strategies against AD; How Can We Detect Lateral Movement?), Action on Objectives, Threat Hunting, and Incident Response (Domain Dominance; Data Exfiltration; Leveraging Threat Intelligence; Threat Hunting and Incident Response), APT Defender Capstone (Applying Previously Covered Security Controls In-depth; Reconnaissance; Weaponization; Delivery; Exploitation; Installation; Command and Control; Action on Objectives)</w:t>
      </w:r>
      <w:r w:rsidRPr="00E153DF">
        <w:rPr>
          <w:rFonts w:cstheme="minorHAnsi"/>
          <w:sz w:val="21"/>
          <w:szCs w:val="21"/>
        </w:rPr>
        <w:t>.</w:t>
      </w:r>
    </w:p>
    <w:p w14:paraId="7038D654" w14:textId="76A6A740" w:rsidR="00DE33E9" w:rsidRPr="00E153DF" w:rsidRDefault="00DE33E9" w:rsidP="006A7AAF">
      <w:pPr>
        <w:spacing w:after="0" w:line="240" w:lineRule="auto"/>
        <w:jc w:val="both"/>
        <w:rPr>
          <w:rFonts w:cstheme="minorHAnsi"/>
          <w:b/>
          <w:sz w:val="21"/>
          <w:szCs w:val="21"/>
        </w:rPr>
      </w:pPr>
      <w:r w:rsidRPr="00E153DF">
        <w:rPr>
          <w:rFonts w:cstheme="minorHAnsi"/>
          <w:b/>
          <w:sz w:val="21"/>
          <w:szCs w:val="21"/>
        </w:rPr>
        <w:lastRenderedPageBreak/>
        <w:t>Mokymų paaiškinimai:</w:t>
      </w:r>
    </w:p>
    <w:p w14:paraId="0166E0B4" w14:textId="78AD0698" w:rsidR="004F0D0B" w:rsidRPr="00E153DF" w:rsidRDefault="004F0D0B" w:rsidP="00DA5E5D">
      <w:pPr>
        <w:pStyle w:val="ListParagraph"/>
        <w:numPr>
          <w:ilvl w:val="0"/>
          <w:numId w:val="2"/>
        </w:numPr>
        <w:tabs>
          <w:tab w:val="left" w:pos="284"/>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Mokymų užsakymo forma: </w:t>
      </w:r>
      <w:hyperlink r:id="rId30" w:history="1">
        <w:r w:rsidRPr="00E153DF">
          <w:rPr>
            <w:rStyle w:val="Hyperlink"/>
            <w:rFonts w:asciiTheme="minorHAnsi" w:hAnsiTheme="minorHAnsi" w:cstheme="minorHAnsi"/>
            <w:sz w:val="21"/>
            <w:szCs w:val="21"/>
            <w:lang w:val="lt-LT"/>
          </w:rPr>
          <w:t>https://www.sans.org/group-purchasing/</w:t>
        </w:r>
      </w:hyperlink>
      <w:r w:rsidRPr="00E153DF">
        <w:rPr>
          <w:rFonts w:asciiTheme="minorHAnsi" w:hAnsiTheme="minorHAnsi" w:cstheme="minorHAnsi"/>
          <w:sz w:val="21"/>
          <w:szCs w:val="21"/>
          <w:lang w:val="lt-LT"/>
        </w:rPr>
        <w:t>.</w:t>
      </w:r>
    </w:p>
    <w:p w14:paraId="6F3C859E" w14:textId="77777777" w:rsidR="002F2FA7" w:rsidRPr="00E153DF" w:rsidRDefault="002F2FA7" w:rsidP="00DA5E5D">
      <w:pPr>
        <w:pStyle w:val="ListParagraph"/>
        <w:numPr>
          <w:ilvl w:val="0"/>
          <w:numId w:val="2"/>
        </w:numPr>
        <w:tabs>
          <w:tab w:val="left" w:pos="284"/>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Kiekviena mokymų programa privalo trukti ne trumpiau nei 5 (penkias) dienas (40 (keturiasdešimt) akademinių valandų).</w:t>
      </w:r>
    </w:p>
    <w:p w14:paraId="29A92262" w14:textId="77777777" w:rsidR="002F2FA7" w:rsidRPr="00E153DF" w:rsidRDefault="002F2FA7" w:rsidP="00DA5E5D">
      <w:pPr>
        <w:pStyle w:val="ListParagraph"/>
        <w:numPr>
          <w:ilvl w:val="0"/>
          <w:numId w:val="2"/>
        </w:numPr>
        <w:tabs>
          <w:tab w:val="left" w:pos="284"/>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Kiti reikalavimai:</w:t>
      </w:r>
    </w:p>
    <w:p w14:paraId="5898CDDC" w14:textId="3FA00E87"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.1. Mokymo programos turi būti parengtos specialiai konkrečiai sertifikacijai įgyti.</w:t>
      </w:r>
    </w:p>
    <w:p w14:paraId="791E5CF7" w14:textId="70EC891B"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 xml:space="preserve">.2. Mokymai turi būti sudaryti tiek iš teorinės, tiek iš praktinės (angl. </w:t>
      </w:r>
      <w:r w:rsidR="002F2FA7" w:rsidRPr="00E153DF">
        <w:rPr>
          <w:rFonts w:asciiTheme="minorHAnsi" w:hAnsiTheme="minorHAnsi" w:cstheme="minorHAnsi"/>
          <w:iCs/>
          <w:sz w:val="21"/>
          <w:szCs w:val="21"/>
          <w:lang w:val="lt-LT"/>
        </w:rPr>
        <w:t>hands-on</w:t>
      </w:r>
      <w:r w:rsidR="002F2FA7" w:rsidRPr="00E153DF">
        <w:rPr>
          <w:rFonts w:asciiTheme="minorHAnsi" w:hAnsiTheme="minorHAnsi" w:cstheme="minorHAnsi"/>
          <w:sz w:val="21"/>
          <w:szCs w:val="21"/>
          <w:lang w:val="lt-LT"/>
        </w:rPr>
        <w:t>) dalių.</w:t>
      </w:r>
    </w:p>
    <w:p w14:paraId="1CE16D17" w14:textId="78B27F8B"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.3. Dalyviams turi būti suteikiama mokymo medžiaga (vadovėliai) ir prieigos prie su įrankių (jei taikoma), naudojamais konkrečioje programoje.</w:t>
      </w:r>
    </w:p>
    <w:p w14:paraId="0F22BA7D" w14:textId="06943069"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 xml:space="preserve">.4. Dalyviams turi būti suteikta prieiga prie internetu veikiančios (angl. online) virtualios mokymosi platformos prie kurios prisijungę dalyviai galėtų mokytis pagal atitinkamą programą visą parą nepriklausomai nuo jų geografinės </w:t>
      </w:r>
      <w:r w:rsidR="007574F2" w:rsidRPr="00E153DF">
        <w:rPr>
          <w:rFonts w:asciiTheme="minorHAnsi" w:hAnsiTheme="minorHAnsi" w:cstheme="minorHAnsi"/>
          <w:sz w:val="21"/>
          <w:szCs w:val="21"/>
          <w:lang w:val="lt-LT"/>
        </w:rPr>
        <w:t>vietos</w:t>
      </w:r>
      <w:r w:rsidR="002F2FA7" w:rsidRPr="00E153DF">
        <w:rPr>
          <w:rFonts w:asciiTheme="minorHAnsi" w:hAnsiTheme="minorHAnsi" w:cstheme="minorHAnsi"/>
          <w:sz w:val="21"/>
          <w:szCs w:val="21"/>
          <w:lang w:val="lt-LT"/>
        </w:rPr>
        <w:t xml:space="preserve"> („OnD</w:t>
      </w:r>
      <w:r w:rsidR="007574F2" w:rsidRPr="00E153DF">
        <w:rPr>
          <w:rFonts w:asciiTheme="minorHAnsi" w:hAnsiTheme="minorHAnsi" w:cstheme="minorHAnsi"/>
          <w:sz w:val="21"/>
          <w:szCs w:val="21"/>
          <w:lang w:val="lt-LT"/>
        </w:rPr>
        <w:t>emand“ platforma</w:t>
      </w:r>
      <w:r w:rsidR="002F2FA7" w:rsidRPr="00E153DF">
        <w:rPr>
          <w:rFonts w:asciiTheme="minorHAnsi" w:hAnsiTheme="minorHAnsi" w:cstheme="minorHAnsi"/>
          <w:sz w:val="21"/>
          <w:szCs w:val="21"/>
          <w:lang w:val="lt-LT"/>
        </w:rPr>
        <w:t>). Pateikiama nuorodą į virtualios mokymosi platformos demonstracinę versiją arba kitomis priemonėmis įrodo NKSC, kad yra galimybė naudotis virtualia mokymosi platforma.</w:t>
      </w:r>
    </w:p>
    <w:p w14:paraId="06E15714" w14:textId="77777777" w:rsidR="00EC6626" w:rsidRPr="00E153DF" w:rsidRDefault="00EC6626" w:rsidP="00DA5E5D">
      <w:pPr>
        <w:pStyle w:val="ListParagraph"/>
        <w:tabs>
          <w:tab w:val="left" w:pos="426"/>
        </w:tabs>
        <w:ind w:left="0"/>
        <w:jc w:val="both"/>
        <w:rPr>
          <w:rFonts w:asciiTheme="minorHAnsi" w:hAnsiTheme="minorHAnsi" w:cstheme="minorHAnsi"/>
          <w:sz w:val="21"/>
          <w:szCs w:val="21"/>
          <w:lang w:val="lt-LT"/>
        </w:rPr>
      </w:pPr>
    </w:p>
    <w:p w14:paraId="7E11E948" w14:textId="2E97C900" w:rsidR="007574F2" w:rsidRPr="00E153DF" w:rsidRDefault="007574F2" w:rsidP="00DA5E5D">
      <w:pPr>
        <w:pStyle w:val="ListParagraph"/>
        <w:tabs>
          <w:tab w:val="left" w:pos="426"/>
        </w:tabs>
        <w:ind w:left="0"/>
        <w:jc w:val="both"/>
        <w:rPr>
          <w:rFonts w:asciiTheme="minorHAnsi" w:hAnsiTheme="minorHAnsi" w:cstheme="minorHAnsi"/>
          <w:b/>
          <w:sz w:val="21"/>
          <w:szCs w:val="21"/>
          <w:lang w:val="lt-LT"/>
        </w:rPr>
      </w:pPr>
      <w:r w:rsidRPr="00E153DF">
        <w:rPr>
          <w:rFonts w:asciiTheme="minorHAnsi" w:hAnsiTheme="minorHAnsi" w:cstheme="minorHAnsi"/>
          <w:b/>
          <w:sz w:val="21"/>
          <w:szCs w:val="21"/>
          <w:lang w:val="lt-LT"/>
        </w:rPr>
        <w:t>Apie SANS Institute:</w:t>
      </w:r>
    </w:p>
    <w:p w14:paraId="0624D169" w14:textId="46466661"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SANS Institute – tarptautiniu mastu pripažinta privati organizacija, veikianti nuo 1989 m., orientuota į informacijos saugumo mokymus ir </w:t>
      </w:r>
      <w:r w:rsidR="007574F2" w:rsidRPr="00E153DF">
        <w:rPr>
          <w:rFonts w:asciiTheme="minorHAnsi" w:hAnsiTheme="minorHAnsi" w:cstheme="minorHAnsi"/>
          <w:sz w:val="21"/>
          <w:szCs w:val="21"/>
          <w:lang w:val="lt-LT"/>
        </w:rPr>
        <w:t>tų žinių</w:t>
      </w:r>
      <w:r w:rsidRPr="00E153DF">
        <w:rPr>
          <w:rFonts w:asciiTheme="minorHAnsi" w:hAnsiTheme="minorHAnsi" w:cstheme="minorHAnsi"/>
          <w:sz w:val="21"/>
          <w:szCs w:val="21"/>
          <w:lang w:val="lt-LT"/>
        </w:rPr>
        <w:t xml:space="preserve"> sertifikavimą </w:t>
      </w:r>
    </w:p>
    <w:p w14:paraId="21B5A4B9" w14:textId="21075C56"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Nepriklausomybė nuo tiekėjų (</w:t>
      </w:r>
      <w:r w:rsidR="007574F2" w:rsidRPr="00E153DF">
        <w:rPr>
          <w:rFonts w:asciiTheme="minorHAnsi" w:hAnsiTheme="minorHAnsi" w:cstheme="minorHAnsi"/>
          <w:sz w:val="21"/>
          <w:szCs w:val="21"/>
          <w:lang w:val="lt-LT"/>
        </w:rPr>
        <w:t xml:space="preserve">angl. </w:t>
      </w:r>
      <w:r w:rsidRPr="00E153DF">
        <w:rPr>
          <w:rFonts w:asciiTheme="minorHAnsi" w:hAnsiTheme="minorHAnsi" w:cstheme="minorHAnsi"/>
          <w:sz w:val="21"/>
          <w:szCs w:val="21"/>
          <w:lang w:val="lt-LT"/>
        </w:rPr>
        <w:t>vendor-neutral)</w:t>
      </w:r>
      <w:r w:rsidR="00D2708F" w:rsidRPr="00E153DF">
        <w:rPr>
          <w:rFonts w:asciiTheme="minorHAnsi" w:hAnsiTheme="minorHAnsi" w:cstheme="minorHAnsi"/>
          <w:sz w:val="21"/>
          <w:szCs w:val="21"/>
          <w:lang w:val="lt-LT"/>
        </w:rPr>
        <w:t xml:space="preserve">. Mokymų turinys </w:t>
      </w:r>
      <w:r w:rsidRPr="00E153DF">
        <w:rPr>
          <w:rFonts w:asciiTheme="minorHAnsi" w:hAnsiTheme="minorHAnsi" w:cstheme="minorHAnsi"/>
          <w:sz w:val="21"/>
          <w:szCs w:val="21"/>
          <w:lang w:val="lt-LT"/>
        </w:rPr>
        <w:t>nėra priklausomas nuo konkretaus gamintojo ar technologijos – dėmesys skiriamas bendrai saugumo archit</w:t>
      </w:r>
      <w:r w:rsidR="00D2708F" w:rsidRPr="00E153DF">
        <w:rPr>
          <w:rFonts w:asciiTheme="minorHAnsi" w:hAnsiTheme="minorHAnsi" w:cstheme="minorHAnsi"/>
          <w:sz w:val="21"/>
          <w:szCs w:val="21"/>
          <w:lang w:val="lt-LT"/>
        </w:rPr>
        <w:t>ektūrai ir gerosioms praktikoms</w:t>
      </w:r>
      <w:r w:rsidRPr="00E153DF">
        <w:rPr>
          <w:rFonts w:asciiTheme="minorHAnsi" w:hAnsiTheme="minorHAnsi" w:cstheme="minorHAnsi"/>
          <w:sz w:val="21"/>
          <w:szCs w:val="21"/>
          <w:lang w:val="lt-LT"/>
        </w:rPr>
        <w:t>.</w:t>
      </w:r>
    </w:p>
    <w:p w14:paraId="78F46051" w14:textId="58089C7E"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SANS siūlo nemokamus </w:t>
      </w:r>
      <w:r w:rsidR="00D2708F" w:rsidRPr="00E153DF">
        <w:rPr>
          <w:rFonts w:asciiTheme="minorHAnsi" w:hAnsiTheme="minorHAnsi" w:cstheme="minorHAnsi"/>
          <w:sz w:val="21"/>
          <w:szCs w:val="21"/>
          <w:lang w:val="lt-LT"/>
        </w:rPr>
        <w:t>išteklius</w:t>
      </w:r>
      <w:r w:rsidRPr="00E153DF">
        <w:rPr>
          <w:rFonts w:asciiTheme="minorHAnsi" w:hAnsiTheme="minorHAnsi" w:cstheme="minorHAnsi"/>
          <w:sz w:val="21"/>
          <w:szCs w:val="21"/>
          <w:lang w:val="lt-LT"/>
        </w:rPr>
        <w:t>: įmonių tyrimų bibliote</w:t>
      </w:r>
      <w:r w:rsidR="00D2708F" w:rsidRPr="00E153DF">
        <w:rPr>
          <w:rFonts w:asciiTheme="minorHAnsi" w:hAnsiTheme="minorHAnsi" w:cstheme="minorHAnsi"/>
          <w:sz w:val="21"/>
          <w:szCs w:val="21"/>
          <w:lang w:val="lt-LT"/>
        </w:rPr>
        <w:t xml:space="preserve">kas (Reading Room), </w:t>
      </w:r>
      <w:r w:rsidR="0059188B" w:rsidRPr="00E153DF">
        <w:rPr>
          <w:rFonts w:asciiTheme="minorHAnsi" w:hAnsiTheme="minorHAnsi" w:cstheme="minorHAnsi"/>
          <w:i/>
          <w:sz w:val="21"/>
          <w:szCs w:val="21"/>
          <w:lang w:val="lt-LT"/>
        </w:rPr>
        <w:t>v</w:t>
      </w:r>
      <w:r w:rsidR="00D2708F" w:rsidRPr="00E153DF">
        <w:rPr>
          <w:rFonts w:asciiTheme="minorHAnsi" w:hAnsiTheme="minorHAnsi" w:cstheme="minorHAnsi"/>
          <w:i/>
          <w:sz w:val="21"/>
          <w:szCs w:val="21"/>
          <w:lang w:val="lt-LT"/>
        </w:rPr>
        <w:t>ebinarus</w:t>
      </w:r>
      <w:r w:rsidRPr="00E153DF">
        <w:rPr>
          <w:rFonts w:asciiTheme="minorHAnsi" w:hAnsiTheme="minorHAnsi" w:cstheme="minorHAnsi"/>
          <w:sz w:val="21"/>
          <w:szCs w:val="21"/>
          <w:lang w:val="lt-LT"/>
        </w:rPr>
        <w:t xml:space="preserve">, </w:t>
      </w:r>
      <w:r w:rsidR="00D2708F" w:rsidRPr="00E153DF">
        <w:rPr>
          <w:rFonts w:asciiTheme="minorHAnsi" w:hAnsiTheme="minorHAnsi" w:cstheme="minorHAnsi"/>
          <w:sz w:val="21"/>
          <w:szCs w:val="21"/>
          <w:lang w:val="lt-LT"/>
        </w:rPr>
        <w:t>tinklalaides ir pan.</w:t>
      </w:r>
    </w:p>
    <w:p w14:paraId="1F7D632C" w14:textId="662F7AF9"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SANS instruktoriai Lietuvoje esančius lektorius lenkia įgūdžių, patirties ir tarptautinės pripažinimo prasme </w:t>
      </w:r>
      <w:r w:rsidR="00D2708F" w:rsidRPr="00E153DF">
        <w:rPr>
          <w:rFonts w:asciiTheme="minorHAnsi" w:hAnsiTheme="minorHAnsi" w:cstheme="minorHAnsi"/>
          <w:sz w:val="21"/>
          <w:szCs w:val="21"/>
          <w:lang w:val="lt-LT"/>
        </w:rPr>
        <w:t>keliais akivaizdžiais aspektais.</w:t>
      </w:r>
    </w:p>
    <w:p w14:paraId="03F278F3" w14:textId="77662CBC"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SANS lektoriai yra aktyvūs kibernetinio saugumo srities praktikantai – dirba CISO</w:t>
      </w:r>
      <w:r w:rsidR="00D2708F" w:rsidRPr="00E153DF">
        <w:rPr>
          <w:rFonts w:asciiTheme="minorHAnsi" w:hAnsiTheme="minorHAnsi" w:cstheme="minorHAnsi"/>
          <w:sz w:val="21"/>
          <w:szCs w:val="21"/>
          <w:lang w:val="lt-LT"/>
        </w:rPr>
        <w:t xml:space="preserve"> (angl. Chief Information Security Officer)</w:t>
      </w:r>
      <w:r w:rsidRPr="00E153DF">
        <w:rPr>
          <w:rFonts w:asciiTheme="minorHAnsi" w:hAnsiTheme="minorHAnsi" w:cstheme="minorHAnsi"/>
          <w:sz w:val="21"/>
          <w:szCs w:val="21"/>
          <w:lang w:val="lt-LT"/>
        </w:rPr>
        <w:t xml:space="preserve">, tyrėjų vaidmenyse arba kuria atvirus saugumo įrankius. Dauguma </w:t>
      </w:r>
      <w:r w:rsidR="00D2708F" w:rsidRPr="00E153DF">
        <w:rPr>
          <w:rFonts w:asciiTheme="minorHAnsi" w:hAnsiTheme="minorHAnsi" w:cstheme="minorHAnsi"/>
          <w:sz w:val="21"/>
          <w:szCs w:val="21"/>
          <w:lang w:val="lt-LT"/>
        </w:rPr>
        <w:t xml:space="preserve">jų </w:t>
      </w:r>
      <w:r w:rsidRPr="00E153DF">
        <w:rPr>
          <w:rFonts w:asciiTheme="minorHAnsi" w:hAnsiTheme="minorHAnsi" w:cstheme="minorHAnsi"/>
          <w:sz w:val="21"/>
          <w:szCs w:val="21"/>
          <w:lang w:val="lt-LT"/>
        </w:rPr>
        <w:t>turi 16+ metų patirtį realiose operacijose, įskaitant vyriausybines institucijas, tokių kaip JAV Gynybos Departame</w:t>
      </w:r>
      <w:r w:rsidR="00D2708F" w:rsidRPr="00E153DF">
        <w:rPr>
          <w:rFonts w:asciiTheme="minorHAnsi" w:hAnsiTheme="minorHAnsi" w:cstheme="minorHAnsi"/>
          <w:sz w:val="21"/>
          <w:szCs w:val="21"/>
          <w:lang w:val="lt-LT"/>
        </w:rPr>
        <w:t>ntas ar specialiosios tarnybos.</w:t>
      </w:r>
      <w:r w:rsidR="00815FC3" w:rsidRPr="00E153DF">
        <w:rPr>
          <w:rFonts w:asciiTheme="minorHAnsi" w:hAnsiTheme="minorHAnsi" w:cstheme="minorHAnsi"/>
          <w:sz w:val="21"/>
          <w:szCs w:val="21"/>
          <w:lang w:val="lt-LT"/>
        </w:rPr>
        <w:t xml:space="preserve"> Taip pat mokė šių institucijų darbuotojus.</w:t>
      </w:r>
    </w:p>
    <w:p w14:paraId="0E01AC31" w14:textId="5D6877A5"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Jie mokė tiek aukščiausio lygio vyriausybines institucijas (pvz.</w:t>
      </w:r>
      <w:r w:rsidR="0059188B" w:rsidRPr="00E153DF">
        <w:rPr>
          <w:rFonts w:asciiTheme="minorHAnsi" w:hAnsiTheme="minorHAnsi" w:cstheme="minorHAnsi"/>
          <w:sz w:val="21"/>
          <w:szCs w:val="21"/>
          <w:lang w:val="lt-LT"/>
        </w:rPr>
        <w:t>,</w:t>
      </w:r>
      <w:r w:rsidRPr="00E153DF">
        <w:rPr>
          <w:rFonts w:asciiTheme="minorHAnsi" w:hAnsiTheme="minorHAnsi" w:cstheme="minorHAnsi"/>
          <w:sz w:val="21"/>
          <w:szCs w:val="21"/>
          <w:lang w:val="lt-LT"/>
        </w:rPr>
        <w:t xml:space="preserve"> FBI, CIA, USAF), tiek korporacijas visuose regionuose .</w:t>
      </w:r>
    </w:p>
    <w:p w14:paraId="1AD7EEAA" w14:textId="2B408214" w:rsidR="00EC6626" w:rsidRPr="00E153DF" w:rsidRDefault="00815FC3"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Lietuvoje IT</w:t>
      </w:r>
      <w:r w:rsidR="00EC6626" w:rsidRPr="00E153DF">
        <w:rPr>
          <w:rFonts w:asciiTheme="minorHAnsi" w:hAnsiTheme="minorHAnsi" w:cstheme="minorHAnsi"/>
          <w:sz w:val="21"/>
          <w:szCs w:val="21"/>
          <w:lang w:val="lt-LT"/>
        </w:rPr>
        <w:t xml:space="preserve"> mokymai dažniausiai vykdomi universitetų, mokymo centrų ar IT paslaugų bendrovių, dažnai dėstomi nuotoliniai arba vietos ekspertų, turin</w:t>
      </w:r>
      <w:r w:rsidRPr="00E153DF">
        <w:rPr>
          <w:rFonts w:asciiTheme="minorHAnsi" w:hAnsiTheme="minorHAnsi" w:cstheme="minorHAnsi"/>
          <w:sz w:val="21"/>
          <w:szCs w:val="21"/>
          <w:lang w:val="lt-LT"/>
        </w:rPr>
        <w:t>čių ribotą tarptautinę patirtį.</w:t>
      </w:r>
    </w:p>
    <w:p w14:paraId="00212FCB" w14:textId="77777777" w:rsidR="00815FC3" w:rsidRPr="00E153DF" w:rsidRDefault="00815FC3" w:rsidP="00815FC3">
      <w:pPr>
        <w:tabs>
          <w:tab w:val="left" w:pos="426"/>
        </w:tabs>
        <w:spacing w:after="0" w:line="240" w:lineRule="auto"/>
        <w:jc w:val="both"/>
        <w:rPr>
          <w:rFonts w:cstheme="minorHAnsi"/>
          <w:sz w:val="21"/>
          <w:szCs w:val="21"/>
        </w:rPr>
      </w:pPr>
      <w:r w:rsidRPr="00E153DF">
        <w:rPr>
          <w:rFonts w:cstheme="minorHAnsi"/>
          <w:sz w:val="21"/>
          <w:szCs w:val="21"/>
        </w:rPr>
        <w:t>SANS mokymai yra daugiau nei kvalifikacijos kėlimas – tai investicija į valstybės kibernetinį atsparumą. Jie atveria galimybes Lietuvos viešojo sektoriaus specialistams įgyti tarptautiniu mastu pripažįstamus gebėjimus, taikytinus tiek taktinėse (incidentų valdymas), tiek strateginėse (žvalgyba, prevencija) veiklos srityse. NKSC, pasitelkdama tokią metodiką, galėtų dar labiau sustiprinti Lietuvos, kaip atsparios, analitiškai mąstančios ir aktyvios kibernetinės valstybės poziciją Europoje.</w:t>
      </w:r>
    </w:p>
    <w:p w14:paraId="357C1AE9" w14:textId="77777777" w:rsidR="005835A5" w:rsidRPr="00E153DF" w:rsidRDefault="005835A5" w:rsidP="00815FC3">
      <w:pPr>
        <w:tabs>
          <w:tab w:val="left" w:pos="426"/>
        </w:tabs>
        <w:spacing w:after="0" w:line="240" w:lineRule="auto"/>
        <w:jc w:val="both"/>
        <w:rPr>
          <w:rFonts w:cstheme="minorHAnsi"/>
          <w:sz w:val="21"/>
          <w:szCs w:val="21"/>
        </w:rPr>
      </w:pPr>
    </w:p>
    <w:p w14:paraId="6CF6A574" w14:textId="27C7C277" w:rsidR="007419E0" w:rsidRPr="00E153DF" w:rsidRDefault="007419E0" w:rsidP="00DE33E9">
      <w:pPr>
        <w:spacing w:after="0" w:line="240" w:lineRule="auto"/>
        <w:jc w:val="both"/>
        <w:rPr>
          <w:rFonts w:cstheme="minorHAnsi"/>
          <w:b/>
          <w:color w:val="000000" w:themeColor="text1"/>
          <w:sz w:val="21"/>
          <w:szCs w:val="21"/>
        </w:rPr>
      </w:pPr>
      <w:r w:rsidRPr="00E153DF">
        <w:rPr>
          <w:rFonts w:cstheme="minorHAnsi"/>
          <w:b/>
          <w:color w:val="000000" w:themeColor="text1"/>
          <w:sz w:val="21"/>
          <w:szCs w:val="21"/>
        </w:rPr>
        <w:t>Nacionalinio saugumo reikalavimai teikėjams</w:t>
      </w:r>
      <w:r w:rsidR="005835A5" w:rsidRPr="00E153DF">
        <w:rPr>
          <w:rFonts w:cstheme="minorHAnsi"/>
          <w:b/>
          <w:color w:val="000000" w:themeColor="text1"/>
          <w:sz w:val="21"/>
          <w:szCs w:val="21"/>
        </w:rPr>
        <w:t>:</w:t>
      </w:r>
    </w:p>
    <w:p w14:paraId="4D363200" w14:textId="77777777" w:rsidR="007419E0" w:rsidRPr="00E153DF" w:rsidRDefault="007419E0" w:rsidP="00DE33E9">
      <w:pPr>
        <w:spacing w:after="0" w:line="240" w:lineRule="auto"/>
        <w:jc w:val="both"/>
        <w:rPr>
          <w:rFonts w:cstheme="minorHAnsi"/>
          <w:color w:val="000000" w:themeColor="text1"/>
          <w:sz w:val="21"/>
          <w:szCs w:val="21"/>
        </w:rPr>
      </w:pPr>
      <w:r w:rsidRPr="00E153DF">
        <w:rPr>
          <w:rFonts w:cstheme="minorHAnsi"/>
          <w:color w:val="000000" w:themeColor="text1"/>
          <w:sz w:val="21"/>
          <w:szCs w:val="21"/>
        </w:rPr>
        <w:t>Mokymuose neturi būti naudojama įranga gamintojų, kuriuos kontroliuojantys asmenys yra registruoti: Rusijos Federacijoje, Baltarusijos Respublikoje ar Kinijos Liaudies Respublikoje.</w:t>
      </w:r>
    </w:p>
    <w:p w14:paraId="33290257" w14:textId="77777777" w:rsidR="007419E0" w:rsidRPr="00E153DF" w:rsidRDefault="007419E0" w:rsidP="00DE33E9">
      <w:pPr>
        <w:spacing w:after="0" w:line="240" w:lineRule="auto"/>
        <w:jc w:val="both"/>
        <w:rPr>
          <w:rFonts w:cstheme="minorHAnsi"/>
          <w:color w:val="000000" w:themeColor="text1"/>
          <w:sz w:val="21"/>
          <w:szCs w:val="21"/>
        </w:rPr>
      </w:pPr>
      <w:r w:rsidRPr="00E153DF">
        <w:rPr>
          <w:rFonts w:cstheme="minorHAnsi"/>
          <w:color w:val="000000" w:themeColor="text1"/>
          <w:sz w:val="21"/>
          <w:szCs w:val="21"/>
        </w:rPr>
        <w:t>Mokymai turi būti vedami ar organizuojami ne iš Rusijos Federacijos, Baltarusijos Respublikos ar Kinijos Liaudies Respublikos teritorijos ir ne šių šalių piliečių. Negalima remtis šių valstybių piliečių ar šių šalių juridinių asmenų pajėgumais.</w:t>
      </w:r>
    </w:p>
    <w:p w14:paraId="474BA35D" w14:textId="77777777" w:rsidR="007419E0" w:rsidRPr="00E153DF" w:rsidRDefault="007419E0" w:rsidP="00DE33E9">
      <w:pPr>
        <w:spacing w:after="0" w:line="240" w:lineRule="auto"/>
        <w:jc w:val="both"/>
        <w:rPr>
          <w:rFonts w:cstheme="minorHAnsi"/>
          <w:color w:val="000000" w:themeColor="text1"/>
          <w:sz w:val="21"/>
          <w:szCs w:val="21"/>
        </w:rPr>
      </w:pPr>
      <w:r w:rsidRPr="00E153DF">
        <w:rPr>
          <w:rFonts w:cstheme="minorHAnsi"/>
          <w:color w:val="000000" w:themeColor="text1"/>
          <w:sz w:val="21"/>
          <w:szCs w:val="21"/>
        </w:rPr>
        <w:t>Mokymų organizatoriai ar Mokymus vedantys specialistai neturi turėti prieigos prie NKSC ryšių ir informacinių sistemų (ar jų dalių) ar duomenų bazių.</w:t>
      </w:r>
    </w:p>
    <w:p w14:paraId="4D0D304B" w14:textId="77777777" w:rsidR="0059188B" w:rsidRPr="00E153DF" w:rsidRDefault="0059188B" w:rsidP="00DE33E9">
      <w:pPr>
        <w:spacing w:after="0" w:line="240" w:lineRule="auto"/>
        <w:jc w:val="both"/>
        <w:rPr>
          <w:rFonts w:cstheme="minorHAnsi"/>
          <w:color w:val="000000" w:themeColor="text1"/>
          <w:sz w:val="21"/>
          <w:szCs w:val="21"/>
        </w:rPr>
      </w:pPr>
    </w:p>
    <w:p w14:paraId="0E02867D" w14:textId="196493C9" w:rsidR="0059188B" w:rsidRPr="00E153DF" w:rsidRDefault="004B110C" w:rsidP="004B110C">
      <w:pPr>
        <w:spacing w:after="0" w:line="240" w:lineRule="auto"/>
        <w:jc w:val="center"/>
        <w:rPr>
          <w:rFonts w:cstheme="minorHAnsi"/>
          <w:color w:val="000000" w:themeColor="text1"/>
          <w:sz w:val="21"/>
          <w:szCs w:val="21"/>
        </w:rPr>
      </w:pPr>
      <w:r w:rsidRPr="00E153DF">
        <w:rPr>
          <w:rFonts w:cstheme="minorHAnsi"/>
          <w:color w:val="000000" w:themeColor="text1"/>
          <w:sz w:val="21"/>
          <w:szCs w:val="21"/>
          <w:lang w:eastAsia="lt-LT"/>
        </w:rPr>
        <w:lastRenderedPageBreak/>
        <w:drawing>
          <wp:inline distT="0" distB="0" distL="0" distR="0" wp14:anchorId="428647CF" wp14:editId="1A12621E">
            <wp:extent cx="7286625" cy="485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courses.png"/>
                    <pic:cNvPicPr/>
                  </pic:nvPicPr>
                  <pic:blipFill>
                    <a:blip r:embed="rId31">
                      <a:extLst>
                        <a:ext uri="{28A0092B-C50C-407E-A947-70E740481C1C}">
                          <a14:useLocalDpi xmlns:a14="http://schemas.microsoft.com/office/drawing/2010/main" val="0"/>
                        </a:ext>
                      </a:extLst>
                    </a:blip>
                    <a:stretch>
                      <a:fillRect/>
                    </a:stretch>
                  </pic:blipFill>
                  <pic:spPr>
                    <a:xfrm>
                      <a:off x="0" y="0"/>
                      <a:ext cx="7297601" cy="4865067"/>
                    </a:xfrm>
                    <a:prstGeom prst="rect">
                      <a:avLst/>
                    </a:prstGeom>
                  </pic:spPr>
                </pic:pic>
              </a:graphicData>
            </a:graphic>
          </wp:inline>
        </w:drawing>
      </w:r>
    </w:p>
    <w:p w14:paraId="0E0D8404" w14:textId="77777777" w:rsidR="004B110C" w:rsidRPr="00E153DF" w:rsidRDefault="004B110C" w:rsidP="00DE33E9">
      <w:pPr>
        <w:spacing w:after="0" w:line="240" w:lineRule="auto"/>
        <w:jc w:val="both"/>
        <w:rPr>
          <w:rFonts w:cstheme="minorHAnsi"/>
          <w:color w:val="000000" w:themeColor="text1"/>
          <w:sz w:val="21"/>
          <w:szCs w:val="21"/>
        </w:rPr>
      </w:pPr>
    </w:p>
    <w:p w14:paraId="11EE29B4" w14:textId="78C28C05" w:rsidR="0059188B" w:rsidRPr="00E153DF" w:rsidRDefault="0059188B" w:rsidP="0059188B">
      <w:pPr>
        <w:spacing w:after="0" w:line="240" w:lineRule="auto"/>
        <w:jc w:val="center"/>
        <w:rPr>
          <w:rFonts w:cstheme="minorHAnsi"/>
          <w:color w:val="000000" w:themeColor="text1"/>
          <w:sz w:val="21"/>
          <w:szCs w:val="21"/>
        </w:rPr>
      </w:pPr>
      <w:r w:rsidRPr="00E153DF">
        <w:rPr>
          <w:rFonts w:cstheme="minorHAnsi"/>
          <w:color w:val="000000" w:themeColor="text1"/>
          <w:sz w:val="21"/>
          <w:szCs w:val="21"/>
        </w:rPr>
        <w:t>________________________</w:t>
      </w:r>
    </w:p>
    <w:p w14:paraId="3BC705DF" w14:textId="77777777" w:rsidR="007419E0" w:rsidRPr="00E153DF" w:rsidRDefault="007419E0" w:rsidP="007419E0">
      <w:pPr>
        <w:spacing w:after="0" w:line="240" w:lineRule="auto"/>
        <w:jc w:val="both"/>
        <w:rPr>
          <w:rFonts w:cstheme="minorHAnsi"/>
          <w:color w:val="000000" w:themeColor="text1"/>
          <w:sz w:val="21"/>
          <w:szCs w:val="21"/>
        </w:rPr>
      </w:pPr>
    </w:p>
    <w:sectPr w:rsidR="007419E0" w:rsidRPr="00E153DF" w:rsidSect="001251FF">
      <w:pgSz w:w="15840" w:h="12240" w:orient="landscape"/>
      <w:pgMar w:top="1418"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7F1F7" w14:textId="77777777" w:rsidR="00833C29" w:rsidRDefault="00833C29" w:rsidP="00B001FF">
      <w:pPr>
        <w:spacing w:after="0" w:line="240" w:lineRule="auto"/>
      </w:pPr>
      <w:r>
        <w:separator/>
      </w:r>
    </w:p>
  </w:endnote>
  <w:endnote w:type="continuationSeparator" w:id="0">
    <w:p w14:paraId="5CD45F51" w14:textId="77777777" w:rsidR="00833C29" w:rsidRDefault="00833C29" w:rsidP="00B00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65A2C" w14:textId="77777777" w:rsidR="00833C29" w:rsidRDefault="00833C29" w:rsidP="00B001FF">
      <w:pPr>
        <w:spacing w:after="0" w:line="240" w:lineRule="auto"/>
      </w:pPr>
      <w:r>
        <w:separator/>
      </w:r>
    </w:p>
  </w:footnote>
  <w:footnote w:type="continuationSeparator" w:id="0">
    <w:p w14:paraId="6BD8DEBB" w14:textId="77777777" w:rsidR="00833C29" w:rsidRDefault="00833C29" w:rsidP="00B001FF">
      <w:pPr>
        <w:spacing w:after="0" w:line="240" w:lineRule="auto"/>
      </w:pPr>
      <w:r>
        <w:continuationSeparator/>
      </w:r>
    </w:p>
  </w:footnote>
  <w:footnote w:id="1">
    <w:p w14:paraId="7B748E73" w14:textId="77777777" w:rsidR="00B001FF" w:rsidRPr="00023DCF" w:rsidRDefault="00B001FF" w:rsidP="00B001FF">
      <w:pPr>
        <w:pStyle w:val="FootnoteText"/>
        <w:rPr>
          <w:rFonts w:asciiTheme="minorHAnsi" w:hAnsiTheme="minorHAnsi" w:cstheme="minorHAnsi"/>
          <w:sz w:val="17"/>
          <w:szCs w:val="17"/>
        </w:rPr>
      </w:pPr>
      <w:r w:rsidRPr="00023DCF">
        <w:rPr>
          <w:rStyle w:val="FootnoteReference"/>
          <w:rFonts w:asciiTheme="minorHAnsi" w:hAnsiTheme="minorHAnsi" w:cstheme="minorHAnsi"/>
          <w:sz w:val="17"/>
          <w:szCs w:val="17"/>
        </w:rPr>
        <w:footnoteRef/>
      </w:r>
      <w:r w:rsidRPr="00023DCF">
        <w:rPr>
          <w:rFonts w:asciiTheme="minorHAnsi" w:hAnsiTheme="minorHAnsi" w:cstheme="minorHAnsi"/>
          <w:sz w:val="17"/>
          <w:szCs w:val="17"/>
        </w:rPr>
        <w:t xml:space="preserve"> </w:t>
      </w:r>
      <w:hyperlink r:id="rId1">
        <w:r w:rsidRPr="00023DCF">
          <w:rPr>
            <w:rStyle w:val="Hyperlink"/>
            <w:rFonts w:asciiTheme="minorHAnsi" w:hAnsiTheme="minorHAnsi" w:cstheme="minorHAnsi"/>
            <w:sz w:val="17"/>
            <w:szCs w:val="17"/>
          </w:rPr>
          <w:t>https://www.sans.org/cyber-security-courses/building-leading-security-operations-centers/</w:t>
        </w:r>
      </w:hyperlink>
      <w:r w:rsidRPr="00023DCF">
        <w:rPr>
          <w:rFonts w:asciiTheme="minorHAnsi" w:hAnsiTheme="minorHAnsi" w:cstheme="minorHAnsi"/>
          <w:sz w:val="17"/>
          <w:szCs w:val="17"/>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171E3"/>
    <w:multiLevelType w:val="multilevel"/>
    <w:tmpl w:val="0409001F"/>
    <w:lvl w:ilvl="0">
      <w:start w:val="1"/>
      <w:numFmt w:val="decimal"/>
      <w:lvlText w:val="%1."/>
      <w:lvlJc w:val="left"/>
      <w:pPr>
        <w:ind w:left="1656" w:hanging="360"/>
      </w:pPr>
    </w:lvl>
    <w:lvl w:ilvl="1">
      <w:start w:val="1"/>
      <w:numFmt w:val="decimal"/>
      <w:lvlText w:val="%1.%2."/>
      <w:lvlJc w:val="left"/>
      <w:pPr>
        <w:ind w:left="2088" w:hanging="432"/>
      </w:pPr>
    </w:lvl>
    <w:lvl w:ilvl="2">
      <w:start w:val="1"/>
      <w:numFmt w:val="decimal"/>
      <w:lvlText w:val="%1.%2.%3."/>
      <w:lvlJc w:val="left"/>
      <w:pPr>
        <w:ind w:left="2520" w:hanging="504"/>
      </w:pPr>
    </w:lvl>
    <w:lvl w:ilvl="3">
      <w:start w:val="1"/>
      <w:numFmt w:val="decimal"/>
      <w:lvlText w:val="%1.%2.%3.%4."/>
      <w:lvlJc w:val="left"/>
      <w:pPr>
        <w:ind w:left="3024" w:hanging="648"/>
      </w:pPr>
    </w:lvl>
    <w:lvl w:ilvl="4">
      <w:start w:val="1"/>
      <w:numFmt w:val="decimal"/>
      <w:lvlText w:val="%1.%2.%3.%4.%5."/>
      <w:lvlJc w:val="left"/>
      <w:pPr>
        <w:ind w:left="3528" w:hanging="792"/>
      </w:pPr>
    </w:lvl>
    <w:lvl w:ilvl="5">
      <w:start w:val="1"/>
      <w:numFmt w:val="decimal"/>
      <w:lvlText w:val="%1.%2.%3.%4.%5.%6."/>
      <w:lvlJc w:val="left"/>
      <w:pPr>
        <w:ind w:left="4032" w:hanging="936"/>
      </w:pPr>
    </w:lvl>
    <w:lvl w:ilvl="6">
      <w:start w:val="1"/>
      <w:numFmt w:val="decimal"/>
      <w:lvlText w:val="%1.%2.%3.%4.%5.%6.%7."/>
      <w:lvlJc w:val="left"/>
      <w:pPr>
        <w:ind w:left="4536" w:hanging="1080"/>
      </w:pPr>
    </w:lvl>
    <w:lvl w:ilvl="7">
      <w:start w:val="1"/>
      <w:numFmt w:val="decimal"/>
      <w:lvlText w:val="%1.%2.%3.%4.%5.%6.%7.%8."/>
      <w:lvlJc w:val="left"/>
      <w:pPr>
        <w:ind w:left="5040" w:hanging="1224"/>
      </w:pPr>
    </w:lvl>
    <w:lvl w:ilvl="8">
      <w:start w:val="1"/>
      <w:numFmt w:val="decimal"/>
      <w:lvlText w:val="%1.%2.%3.%4.%5.%6.%7.%8.%9."/>
      <w:lvlJc w:val="left"/>
      <w:pPr>
        <w:ind w:left="5616" w:hanging="1440"/>
      </w:pPr>
    </w:lvl>
  </w:abstractNum>
  <w:abstractNum w:abstractNumId="1" w15:restartNumberingAfterBreak="0">
    <w:nsid w:val="7896587F"/>
    <w:multiLevelType w:val="multilevel"/>
    <w:tmpl w:val="330CD0D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870"/>
    <w:rsid w:val="00017F15"/>
    <w:rsid w:val="00023DCF"/>
    <w:rsid w:val="0007532A"/>
    <w:rsid w:val="001251FF"/>
    <w:rsid w:val="00143E93"/>
    <w:rsid w:val="00162F74"/>
    <w:rsid w:val="001C385B"/>
    <w:rsid w:val="002217C7"/>
    <w:rsid w:val="002645FE"/>
    <w:rsid w:val="00277B4E"/>
    <w:rsid w:val="00287C8F"/>
    <w:rsid w:val="002D2E4E"/>
    <w:rsid w:val="002F2FA7"/>
    <w:rsid w:val="00312974"/>
    <w:rsid w:val="00426774"/>
    <w:rsid w:val="004975BF"/>
    <w:rsid w:val="004A2C59"/>
    <w:rsid w:val="004B110C"/>
    <w:rsid w:val="004F0D0B"/>
    <w:rsid w:val="00573D5A"/>
    <w:rsid w:val="005835A5"/>
    <w:rsid w:val="0059188B"/>
    <w:rsid w:val="006170D3"/>
    <w:rsid w:val="006A7AAF"/>
    <w:rsid w:val="00721EFC"/>
    <w:rsid w:val="007419E0"/>
    <w:rsid w:val="00756776"/>
    <w:rsid w:val="007574F2"/>
    <w:rsid w:val="00815FC3"/>
    <w:rsid w:val="008270C7"/>
    <w:rsid w:val="00833C29"/>
    <w:rsid w:val="008B1870"/>
    <w:rsid w:val="00905830"/>
    <w:rsid w:val="00916FD2"/>
    <w:rsid w:val="00A927C2"/>
    <w:rsid w:val="00B001FF"/>
    <w:rsid w:val="00BD45B9"/>
    <w:rsid w:val="00D10C58"/>
    <w:rsid w:val="00D2708F"/>
    <w:rsid w:val="00DA5E5D"/>
    <w:rsid w:val="00DC0706"/>
    <w:rsid w:val="00DE33E9"/>
    <w:rsid w:val="00E153DF"/>
    <w:rsid w:val="00E6736C"/>
    <w:rsid w:val="00EB2CE8"/>
    <w:rsid w:val="00EB5C33"/>
    <w:rsid w:val="00EC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2FA53"/>
  <w15:chartTrackingRefBased/>
  <w15:docId w15:val="{AD433F4A-E418-405C-830E-5DEA9218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2CE8"/>
    <w:rPr>
      <w:color w:val="0563C1" w:themeColor="hyperlink"/>
      <w:u w:val="single"/>
    </w:rPr>
  </w:style>
  <w:style w:type="paragraph" w:styleId="FootnoteText">
    <w:name w:val="footnote text"/>
    <w:basedOn w:val="Normal"/>
    <w:link w:val="FootnoteTextChar"/>
    <w:uiPriority w:val="99"/>
    <w:semiHidden/>
    <w:unhideWhenUsed/>
    <w:rsid w:val="00B001F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lt-LT"/>
    </w:rPr>
  </w:style>
  <w:style w:type="character" w:customStyle="1" w:styleId="FootnoteTextChar">
    <w:name w:val="Footnote Text Char"/>
    <w:basedOn w:val="DefaultParagraphFont"/>
    <w:link w:val="FootnoteText"/>
    <w:uiPriority w:val="99"/>
    <w:semiHidden/>
    <w:rsid w:val="00B001FF"/>
    <w:rPr>
      <w:rFonts w:ascii="Times New Roman" w:eastAsia="Times New Roman" w:hAnsi="Times New Roman" w:cs="Times New Roman"/>
      <w:sz w:val="20"/>
      <w:szCs w:val="20"/>
      <w:lang w:val="lt-LT" w:eastAsia="lt-LT"/>
    </w:rPr>
  </w:style>
  <w:style w:type="character" w:styleId="FootnoteReference">
    <w:name w:val="footnote reference"/>
    <w:basedOn w:val="DefaultParagraphFont"/>
    <w:uiPriority w:val="99"/>
    <w:semiHidden/>
    <w:unhideWhenUsed/>
    <w:rsid w:val="00B001FF"/>
    <w:rPr>
      <w:vertAlign w:val="superscript"/>
    </w:rPr>
  </w:style>
  <w:style w:type="paragraph" w:styleId="ListParagraph">
    <w:name w:val="List Paragraph"/>
    <w:basedOn w:val="Normal"/>
    <w:uiPriority w:val="34"/>
    <w:qFormat/>
    <w:rsid w:val="00B001F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Times New Roman" w:eastAsia="Times New Roman" w:hAnsi="Times New Roman" w:cs="Times New Roman"/>
      <w:sz w:val="24"/>
      <w:szCs w:val="24"/>
      <w:lang w:val="en-US" w:eastAsia="ar-SA"/>
    </w:rPr>
  </w:style>
  <w:style w:type="character" w:styleId="CommentReference">
    <w:name w:val="annotation reference"/>
    <w:basedOn w:val="DefaultParagraphFont"/>
    <w:uiPriority w:val="99"/>
    <w:semiHidden/>
    <w:unhideWhenUsed/>
    <w:rsid w:val="006A7AAF"/>
    <w:rPr>
      <w:sz w:val="16"/>
      <w:szCs w:val="16"/>
    </w:rPr>
  </w:style>
  <w:style w:type="paragraph" w:styleId="CommentText">
    <w:name w:val="annotation text"/>
    <w:basedOn w:val="Normal"/>
    <w:link w:val="CommentTextChar"/>
    <w:uiPriority w:val="99"/>
    <w:semiHidden/>
    <w:unhideWhenUsed/>
    <w:rsid w:val="006A7AAF"/>
    <w:pPr>
      <w:spacing w:line="240" w:lineRule="auto"/>
    </w:pPr>
    <w:rPr>
      <w:sz w:val="20"/>
      <w:szCs w:val="20"/>
    </w:rPr>
  </w:style>
  <w:style w:type="character" w:customStyle="1" w:styleId="CommentTextChar">
    <w:name w:val="Comment Text Char"/>
    <w:basedOn w:val="DefaultParagraphFont"/>
    <w:link w:val="CommentText"/>
    <w:uiPriority w:val="99"/>
    <w:semiHidden/>
    <w:rsid w:val="006A7AAF"/>
    <w:rPr>
      <w:sz w:val="20"/>
      <w:szCs w:val="20"/>
      <w:lang w:val="lt-LT"/>
    </w:rPr>
  </w:style>
  <w:style w:type="paragraph" w:styleId="CommentSubject">
    <w:name w:val="annotation subject"/>
    <w:basedOn w:val="CommentText"/>
    <w:next w:val="CommentText"/>
    <w:link w:val="CommentSubjectChar"/>
    <w:uiPriority w:val="99"/>
    <w:semiHidden/>
    <w:unhideWhenUsed/>
    <w:rsid w:val="006A7AAF"/>
    <w:rPr>
      <w:b/>
      <w:bCs/>
    </w:rPr>
  </w:style>
  <w:style w:type="character" w:customStyle="1" w:styleId="CommentSubjectChar">
    <w:name w:val="Comment Subject Char"/>
    <w:basedOn w:val="CommentTextChar"/>
    <w:link w:val="CommentSubject"/>
    <w:uiPriority w:val="99"/>
    <w:semiHidden/>
    <w:rsid w:val="006A7AAF"/>
    <w:rPr>
      <w:b/>
      <w:bCs/>
      <w:sz w:val="20"/>
      <w:szCs w:val="20"/>
      <w:lang w:val="lt-LT"/>
    </w:rPr>
  </w:style>
  <w:style w:type="paragraph" w:styleId="BalloonText">
    <w:name w:val="Balloon Text"/>
    <w:basedOn w:val="Normal"/>
    <w:link w:val="BalloonTextChar"/>
    <w:uiPriority w:val="99"/>
    <w:semiHidden/>
    <w:unhideWhenUsed/>
    <w:rsid w:val="006A7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AAF"/>
    <w:rPr>
      <w:rFonts w:ascii="Segoe UI" w:hAnsi="Segoe UI" w:cs="Segoe UI"/>
      <w:sz w:val="18"/>
      <w:szCs w:val="18"/>
      <w:lang w:val="lt-LT"/>
    </w:rPr>
  </w:style>
  <w:style w:type="character" w:styleId="FollowedHyperlink">
    <w:name w:val="FollowedHyperlink"/>
    <w:basedOn w:val="DefaultParagraphFont"/>
    <w:uiPriority w:val="99"/>
    <w:semiHidden/>
    <w:unhideWhenUsed/>
    <w:rsid w:val="007574F2"/>
    <w:rPr>
      <w:color w:val="954F72" w:themeColor="followedHyperlink"/>
      <w:u w:val="single"/>
    </w:rPr>
  </w:style>
  <w:style w:type="paragraph" w:styleId="Header">
    <w:name w:val="header"/>
    <w:basedOn w:val="Normal"/>
    <w:link w:val="HeaderChar"/>
    <w:uiPriority w:val="99"/>
    <w:unhideWhenUsed/>
    <w:rsid w:val="001251FF"/>
    <w:pPr>
      <w:tabs>
        <w:tab w:val="center" w:pos="4819"/>
        <w:tab w:val="right" w:pos="9638"/>
      </w:tabs>
      <w:spacing w:after="0" w:line="240" w:lineRule="auto"/>
    </w:pPr>
  </w:style>
  <w:style w:type="character" w:customStyle="1" w:styleId="HeaderChar">
    <w:name w:val="Header Char"/>
    <w:basedOn w:val="DefaultParagraphFont"/>
    <w:link w:val="Header"/>
    <w:uiPriority w:val="99"/>
    <w:rsid w:val="001251FF"/>
    <w:rPr>
      <w:lang w:val="lt-LT"/>
    </w:rPr>
  </w:style>
  <w:style w:type="paragraph" w:styleId="Footer">
    <w:name w:val="footer"/>
    <w:basedOn w:val="Normal"/>
    <w:link w:val="FooterChar"/>
    <w:uiPriority w:val="99"/>
    <w:unhideWhenUsed/>
    <w:rsid w:val="001251FF"/>
    <w:pPr>
      <w:tabs>
        <w:tab w:val="center" w:pos="4819"/>
        <w:tab w:val="right" w:pos="9638"/>
      </w:tabs>
      <w:spacing w:after="0" w:line="240" w:lineRule="auto"/>
    </w:pPr>
  </w:style>
  <w:style w:type="character" w:customStyle="1" w:styleId="FooterChar">
    <w:name w:val="Footer Char"/>
    <w:basedOn w:val="DefaultParagraphFont"/>
    <w:link w:val="Footer"/>
    <w:uiPriority w:val="99"/>
    <w:rsid w:val="001251FF"/>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8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s.org/emea/" TargetMode="External"/><Relationship Id="rId13" Type="http://schemas.openxmlformats.org/officeDocument/2006/relationships/hyperlink" Target="https://www.sans.org/cyber-security-courses/building-leading-security-operations-centers/" TargetMode="External"/><Relationship Id="rId18" Type="http://schemas.openxmlformats.org/officeDocument/2006/relationships/hyperlink" Target="https://www.giac.org/certifications/enterprise-incident-responder-geir/" TargetMode="External"/><Relationship Id="rId26" Type="http://schemas.openxmlformats.org/officeDocument/2006/relationships/hyperlink" Target="https://www.sans.org/cyber-security-courses/automating-information-security-with-python/" TargetMode="External"/><Relationship Id="rId3" Type="http://schemas.openxmlformats.org/officeDocument/2006/relationships/styles" Target="styles.xml"/><Relationship Id="rId21" Type="http://schemas.openxmlformats.org/officeDocument/2006/relationships/hyperlink" Target="https://www.sans.org/cyber-security-courses/cybersecurity-engineering-advanced-threat-detection-monitoring/" TargetMode="External"/><Relationship Id="rId7" Type="http://schemas.openxmlformats.org/officeDocument/2006/relationships/endnotes" Target="endnotes.xml"/><Relationship Id="rId12" Type="http://schemas.openxmlformats.org/officeDocument/2006/relationships/hyperlink" Target="https://www.sans.org/cyber-security-courses/?training-format=in_person" TargetMode="External"/><Relationship Id="rId17" Type="http://schemas.openxmlformats.org/officeDocument/2006/relationships/hyperlink" Target="https://www.sans.org/blog/new-dfir-course-for608-enterprise-class-incident-response-threat-hunting/" TargetMode="External"/><Relationship Id="rId25" Type="http://schemas.openxmlformats.org/officeDocument/2006/relationships/hyperlink" Target="https://www.giac.org/certifications/cloud-security-automation-gcs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iac.org/certifications/certified-forensic-analyst-gcfa/" TargetMode="External"/><Relationship Id="rId20" Type="http://schemas.openxmlformats.org/officeDocument/2006/relationships/hyperlink" Target="https://www.giac.org/certifications/cyber-incident-leader-gcil/" TargetMode="External"/><Relationship Id="rId29" Type="http://schemas.openxmlformats.org/officeDocument/2006/relationships/hyperlink" Target="https://www.giac.org/certifications/defending-advanced-threats-g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investicijos.lt/sutartys/nacionalines-soc-csirt-modulines-sistemos-sukurimas" TargetMode="External"/><Relationship Id="rId24" Type="http://schemas.openxmlformats.org/officeDocument/2006/relationships/hyperlink" Target="https://www.sans.org/cyber-security-courses/cloud-native-security-devsecops-automa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ns.org/cyber-security-courses/advanced-incident-response-threat-hunting-training/" TargetMode="External"/><Relationship Id="rId23" Type="http://schemas.openxmlformats.org/officeDocument/2006/relationships/hyperlink" Target="https://www.sans.org/cyber-security-courses/defensible-security-architecture-and-engineering/" TargetMode="External"/><Relationship Id="rId28" Type="http://schemas.openxmlformats.org/officeDocument/2006/relationships/hyperlink" Target="https://www.sans.org/cyber-security-courses/defeating-advanced-adversaries-kill-chain-defenses/" TargetMode="External"/><Relationship Id="rId10" Type="http://schemas.openxmlformats.org/officeDocument/2006/relationships/hyperlink" Target="https://www.sans.org/profiles/instructors/" TargetMode="External"/><Relationship Id="rId19" Type="http://schemas.openxmlformats.org/officeDocument/2006/relationships/hyperlink" Target="https://www.sans.org/cyber-security-courses/cyber-incident-management-training/"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ns.org/cyber-security-courses/?training-format=in_person" TargetMode="External"/><Relationship Id="rId14" Type="http://schemas.openxmlformats.org/officeDocument/2006/relationships/hyperlink" Target="https://www.giac.org/certifications/security-operations-manager-gsom/" TargetMode="External"/><Relationship Id="rId22" Type="http://schemas.openxmlformats.org/officeDocument/2006/relationships/hyperlink" Target="https://www.giac.org/certifications/continuous-monitoring-certification-gmon/" TargetMode="External"/><Relationship Id="rId27" Type="http://schemas.openxmlformats.org/officeDocument/2006/relationships/hyperlink" Target="https://www.giac.org/certifications/python-coder-gpyc/" TargetMode="External"/><Relationship Id="rId30" Type="http://schemas.openxmlformats.org/officeDocument/2006/relationships/hyperlink" Target="https://www.sans.org/group-purchas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ns.org/cyber-security-courses/building-leading-security-operations-ce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9E17C-C07B-4D36-97E3-9E1759133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15036</Words>
  <Characters>8572</Characters>
  <DocSecurity>0</DocSecurity>
  <Lines>71</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2025-07-08T11:33:00Z</dcterms:created>
  <dcterms:modified xsi:type="dcterms:W3CDTF">2025-07-28T05:35:00Z</dcterms:modified>
</cp:coreProperties>
</file>