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4EF8" w14:textId="3144A0FB" w:rsidR="001C6464" w:rsidRPr="001E3769" w:rsidRDefault="001C6464" w:rsidP="001C6464">
      <w:pPr>
        <w:shd w:val="clear" w:color="auto" w:fill="FFFFFF"/>
        <w:spacing w:line="360" w:lineRule="auto"/>
        <w:jc w:val="center"/>
        <w:rPr>
          <w:b/>
        </w:rPr>
      </w:pPr>
      <w:r w:rsidRPr="001E3769">
        <w:rPr>
          <w:b/>
        </w:rPr>
        <w:t>TECHNINĖ SPECIFIKACIJA</w:t>
      </w:r>
    </w:p>
    <w:p w14:paraId="7E558B62" w14:textId="77777777" w:rsidR="001C6464" w:rsidRPr="001E3769" w:rsidRDefault="001C6464" w:rsidP="001C6464">
      <w:pPr>
        <w:spacing w:line="360" w:lineRule="auto"/>
        <w:rPr>
          <w:bCs/>
        </w:rPr>
      </w:pPr>
    </w:p>
    <w:p w14:paraId="32D12238" w14:textId="77777777" w:rsidR="001C6464" w:rsidRPr="001E3769" w:rsidRDefault="001C6464" w:rsidP="001C6464">
      <w:pPr>
        <w:spacing w:line="360" w:lineRule="auto"/>
        <w:jc w:val="center"/>
        <w:rPr>
          <w:b/>
        </w:rPr>
      </w:pPr>
      <w:r w:rsidRPr="001E3769">
        <w:rPr>
          <w:b/>
        </w:rPr>
        <w:t>1. BENDRA INFORMACIJA</w:t>
      </w:r>
    </w:p>
    <w:p w14:paraId="1C1A7C50" w14:textId="433A2AA0" w:rsidR="001C6464" w:rsidRPr="001E3769" w:rsidRDefault="001C6464" w:rsidP="007E7172">
      <w:pPr>
        <w:spacing w:line="360" w:lineRule="auto"/>
        <w:ind w:firstLine="284"/>
        <w:jc w:val="both"/>
        <w:rPr>
          <w:bCs/>
        </w:rPr>
      </w:pPr>
      <w:r w:rsidRPr="001E3769">
        <w:rPr>
          <w:bCs/>
        </w:rPr>
        <w:t xml:space="preserve">Jurbarko rajono savivaldybės administracija, įmonės kodas 188713933 (toliau – Perkančioji organizacija), perka </w:t>
      </w:r>
      <w:r w:rsidR="00B10999" w:rsidRPr="001E3769">
        <w:rPr>
          <w:bCs/>
        </w:rPr>
        <w:t>ši</w:t>
      </w:r>
      <w:r w:rsidR="003013F4">
        <w:rPr>
          <w:bCs/>
        </w:rPr>
        <w:t>uos</w:t>
      </w:r>
      <w:r w:rsidR="00B10999" w:rsidRPr="001E3769">
        <w:rPr>
          <w:bCs/>
        </w:rPr>
        <w:t xml:space="preserve"> </w:t>
      </w:r>
      <w:r w:rsidR="003013F4">
        <w:rPr>
          <w:bCs/>
        </w:rPr>
        <w:t>darbus</w:t>
      </w:r>
      <w:r w:rsidRPr="001E3769">
        <w:rPr>
          <w:bCs/>
        </w:rPr>
        <w:t xml:space="preserve"> (toliau – </w:t>
      </w:r>
      <w:r w:rsidR="003013F4">
        <w:rPr>
          <w:bCs/>
        </w:rPr>
        <w:t>Darbai</w:t>
      </w:r>
      <w:r w:rsidRPr="001E3769">
        <w:rPr>
          <w:bCs/>
        </w:rPr>
        <w:t>):</w:t>
      </w:r>
    </w:p>
    <w:p w14:paraId="3F1FC4DB" w14:textId="10B929C7" w:rsidR="001C6464" w:rsidRPr="001E3769" w:rsidRDefault="001C6464" w:rsidP="007E7172">
      <w:pPr>
        <w:spacing w:line="360" w:lineRule="auto"/>
        <w:ind w:firstLine="284"/>
        <w:jc w:val="both"/>
        <w:rPr>
          <w:bCs/>
        </w:rPr>
      </w:pPr>
      <w:r w:rsidRPr="001E3769">
        <w:rPr>
          <w:bCs/>
        </w:rPr>
        <w:t xml:space="preserve">1.1. </w:t>
      </w:r>
      <w:r w:rsidR="003013F4" w:rsidRPr="003013F4">
        <w:rPr>
          <w:bCs/>
        </w:rPr>
        <w:t xml:space="preserve">Visuomeninės paskirties pastato – Jurbarko krašto muziejaus padalinio Istorinės atminties centro </w:t>
      </w:r>
      <w:proofErr w:type="spellStart"/>
      <w:r w:rsidR="003013F4" w:rsidRPr="003013F4">
        <w:rPr>
          <w:bCs/>
        </w:rPr>
        <w:t>Lybiškiuose</w:t>
      </w:r>
      <w:proofErr w:type="spellEnd"/>
      <w:r w:rsidR="003013F4" w:rsidRPr="003013F4">
        <w:rPr>
          <w:bCs/>
        </w:rPr>
        <w:t xml:space="preserve"> kapitalinio remonto darbai uždengiant pastato stogą ir sutvarkant lietaus sistemą</w:t>
      </w:r>
      <w:r w:rsidR="003013F4">
        <w:rPr>
          <w:bCs/>
        </w:rPr>
        <w:t>.</w:t>
      </w:r>
    </w:p>
    <w:p w14:paraId="40CFDD73" w14:textId="77777777" w:rsidR="001C6464" w:rsidRPr="00385F5B" w:rsidRDefault="001C6464" w:rsidP="001C6464">
      <w:pPr>
        <w:spacing w:line="360" w:lineRule="auto"/>
        <w:rPr>
          <w:bCs/>
        </w:rPr>
      </w:pPr>
    </w:p>
    <w:p w14:paraId="016F6118" w14:textId="2EB7C4AA" w:rsidR="001C6464" w:rsidRPr="00385F5B" w:rsidRDefault="001C6464" w:rsidP="001C6464">
      <w:pPr>
        <w:spacing w:line="360" w:lineRule="auto"/>
        <w:jc w:val="center"/>
        <w:rPr>
          <w:b/>
        </w:rPr>
      </w:pPr>
      <w:r w:rsidRPr="00385F5B">
        <w:rPr>
          <w:b/>
        </w:rPr>
        <w:t>2.</w:t>
      </w:r>
      <w:r>
        <w:rPr>
          <w:b/>
        </w:rPr>
        <w:t xml:space="preserve"> </w:t>
      </w:r>
      <w:r w:rsidRPr="00385F5B">
        <w:rPr>
          <w:b/>
        </w:rPr>
        <w:t xml:space="preserve">INFORMACIJA APIE </w:t>
      </w:r>
      <w:r w:rsidR="003013F4">
        <w:rPr>
          <w:b/>
        </w:rPr>
        <w:t>DARBUS</w:t>
      </w:r>
    </w:p>
    <w:p w14:paraId="28EC80CE" w14:textId="7E2B219A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2.1.</w:t>
      </w:r>
      <w:r>
        <w:rPr>
          <w:bCs/>
        </w:rPr>
        <w:t xml:space="preserve"> </w:t>
      </w:r>
      <w:r w:rsidRPr="00385F5B">
        <w:rPr>
          <w:bCs/>
        </w:rPr>
        <w:t xml:space="preserve">Perkamų </w:t>
      </w:r>
      <w:r w:rsidR="003013F4">
        <w:rPr>
          <w:bCs/>
        </w:rPr>
        <w:t>darb</w:t>
      </w:r>
      <w:r w:rsidR="00B10999">
        <w:rPr>
          <w:bCs/>
        </w:rPr>
        <w:t>ų</w:t>
      </w:r>
      <w:r w:rsidRPr="00385F5B">
        <w:rPr>
          <w:bCs/>
        </w:rPr>
        <w:t xml:space="preserve"> atlikimo vieta –</w:t>
      </w:r>
      <w:r w:rsidR="00C51C1B">
        <w:rPr>
          <w:bCs/>
        </w:rPr>
        <w:t xml:space="preserve"> </w:t>
      </w:r>
      <w:r w:rsidR="003013F4" w:rsidRPr="003013F4">
        <w:rPr>
          <w:bCs/>
        </w:rPr>
        <w:t xml:space="preserve">Stoties g. 1, </w:t>
      </w:r>
      <w:proofErr w:type="spellStart"/>
      <w:r w:rsidR="003013F4" w:rsidRPr="003013F4">
        <w:rPr>
          <w:bCs/>
        </w:rPr>
        <w:t>Lybiškių</w:t>
      </w:r>
      <w:proofErr w:type="spellEnd"/>
      <w:r w:rsidR="003013F4" w:rsidRPr="003013F4">
        <w:rPr>
          <w:bCs/>
        </w:rPr>
        <w:t xml:space="preserve"> k., Jurbarko r.</w:t>
      </w:r>
    </w:p>
    <w:p w14:paraId="14162353" w14:textId="7FACA13C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2.2.</w:t>
      </w:r>
      <w:r>
        <w:rPr>
          <w:bCs/>
        </w:rPr>
        <w:t xml:space="preserve"> </w:t>
      </w:r>
      <w:r w:rsidR="00FC6F4A">
        <w:rPr>
          <w:bCs/>
        </w:rPr>
        <w:t>Darbai</w:t>
      </w:r>
      <w:r w:rsidR="001A12D3" w:rsidRPr="001A12D3">
        <w:rPr>
          <w:bCs/>
        </w:rPr>
        <w:t xml:space="preserve"> turi būti atliekam</w:t>
      </w:r>
      <w:r w:rsidR="00FC6F4A">
        <w:rPr>
          <w:bCs/>
        </w:rPr>
        <w:t>i</w:t>
      </w:r>
      <w:r w:rsidR="001A12D3" w:rsidRPr="001A12D3">
        <w:rPr>
          <w:bCs/>
        </w:rPr>
        <w:t xml:space="preserve"> vadovaujantis Lietuvos Respublikos įstatymais bei jų įgyvendinamaisiais teisės aktais, reglamentuojančiais su tuo susijusių </w:t>
      </w:r>
      <w:r w:rsidR="00FC6F4A">
        <w:rPr>
          <w:bCs/>
        </w:rPr>
        <w:t>darb</w:t>
      </w:r>
      <w:r w:rsidR="00BA45C2">
        <w:rPr>
          <w:bCs/>
        </w:rPr>
        <w:t>ų</w:t>
      </w:r>
      <w:r w:rsidR="001A12D3" w:rsidRPr="001A12D3">
        <w:rPr>
          <w:bCs/>
        </w:rPr>
        <w:t xml:space="preserve"> teikimą. Pasikeitus teisės aktų nuostatoms, būtina vadovautis jų aktualiomis redakcijomis.</w:t>
      </w:r>
    </w:p>
    <w:p w14:paraId="3055E6E1" w14:textId="5C56B747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2.3.</w:t>
      </w:r>
      <w:r>
        <w:rPr>
          <w:bCs/>
        </w:rPr>
        <w:t xml:space="preserve"> </w:t>
      </w:r>
      <w:r w:rsidR="00743868">
        <w:rPr>
          <w:bCs/>
        </w:rPr>
        <w:t>Rangovas</w:t>
      </w:r>
      <w:r w:rsidRPr="00385F5B">
        <w:rPr>
          <w:bCs/>
        </w:rPr>
        <w:t xml:space="preserve"> privalo informuoti perkančiąją organizaciją apie </w:t>
      </w:r>
      <w:r w:rsidR="00FC6F4A">
        <w:rPr>
          <w:bCs/>
        </w:rPr>
        <w:t>darb</w:t>
      </w:r>
      <w:r w:rsidR="00B10999">
        <w:rPr>
          <w:bCs/>
        </w:rPr>
        <w:t>ų</w:t>
      </w:r>
      <w:r w:rsidRPr="00385F5B">
        <w:rPr>
          <w:bCs/>
        </w:rPr>
        <w:t xml:space="preserve"> eigą, užtikrinti, kad </w:t>
      </w:r>
      <w:r w:rsidR="00FC6F4A">
        <w:rPr>
          <w:bCs/>
        </w:rPr>
        <w:t>darbai</w:t>
      </w:r>
      <w:r w:rsidRPr="00385F5B">
        <w:rPr>
          <w:bCs/>
        </w:rPr>
        <w:t xml:space="preserve"> būtų </w:t>
      </w:r>
      <w:r w:rsidR="00743868">
        <w:rPr>
          <w:bCs/>
        </w:rPr>
        <w:t>atlikti</w:t>
      </w:r>
      <w:r w:rsidRPr="00385F5B">
        <w:rPr>
          <w:bCs/>
        </w:rPr>
        <w:t xml:space="preserve"> sutartyje bei užsakymuose nustatytais terminais bei garantuoti, kad atlikt</w:t>
      </w:r>
      <w:r w:rsidR="00FC6F4A">
        <w:rPr>
          <w:bCs/>
        </w:rPr>
        <w:t>i</w:t>
      </w:r>
      <w:r w:rsidR="00B10999">
        <w:rPr>
          <w:bCs/>
        </w:rPr>
        <w:t xml:space="preserve"> </w:t>
      </w:r>
      <w:r w:rsidR="00FC6F4A">
        <w:rPr>
          <w:bCs/>
        </w:rPr>
        <w:t>darbai</w:t>
      </w:r>
      <w:r w:rsidR="00B10999">
        <w:rPr>
          <w:bCs/>
        </w:rPr>
        <w:t xml:space="preserve"> </w:t>
      </w:r>
      <w:r w:rsidRPr="00385F5B">
        <w:rPr>
          <w:bCs/>
        </w:rPr>
        <w:t>atitinka teisės aktų nustatytus reikalavimus.</w:t>
      </w:r>
    </w:p>
    <w:p w14:paraId="6A871F03" w14:textId="1D9D76DD" w:rsidR="001C6464" w:rsidRPr="00385F5B" w:rsidRDefault="001C6464" w:rsidP="007E7172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2.4.</w:t>
      </w:r>
      <w:r>
        <w:rPr>
          <w:bCs/>
        </w:rPr>
        <w:t xml:space="preserve"> </w:t>
      </w:r>
      <w:r w:rsidR="00743868">
        <w:rPr>
          <w:bCs/>
        </w:rPr>
        <w:t>Rangovas</w:t>
      </w:r>
      <w:r w:rsidRPr="00385F5B">
        <w:rPr>
          <w:bCs/>
        </w:rPr>
        <w:t>:</w:t>
      </w:r>
    </w:p>
    <w:p w14:paraId="327A5C12" w14:textId="1108699C" w:rsidR="00BA45C2" w:rsidRPr="00F77BDB" w:rsidRDefault="001C6464" w:rsidP="007E7172">
      <w:pPr>
        <w:spacing w:line="360" w:lineRule="auto"/>
        <w:ind w:firstLine="284"/>
        <w:jc w:val="both"/>
        <w:rPr>
          <w:szCs w:val="28"/>
        </w:rPr>
      </w:pPr>
      <w:r w:rsidRPr="00F77BDB">
        <w:rPr>
          <w:bCs/>
        </w:rPr>
        <w:t>2.4.1.</w:t>
      </w:r>
      <w:r w:rsidR="003013F4" w:rsidRPr="003013F4">
        <w:rPr>
          <w:szCs w:val="28"/>
        </w:rPr>
        <w:t xml:space="preserve"> privalo Perkančiajai organizacijai pateikti visų naudotų statybos produktų, įrenginių ir medžiagų atitikties dokumentus, įskaitant statybos gaminių eksploatacinių savybių deklaracijas (atitikties deklaracijas)</w:t>
      </w:r>
      <w:r w:rsidR="003013F4">
        <w:rPr>
          <w:szCs w:val="28"/>
        </w:rPr>
        <w:t xml:space="preserve">. </w:t>
      </w:r>
      <w:r w:rsidR="003013F4" w:rsidRPr="003013F4">
        <w:rPr>
          <w:szCs w:val="28"/>
        </w:rPr>
        <w:t>Visi dokumentai turi atitikti galiojančius Lietuvos Respublikos teisės aktų bei statybos techninio reglamento reikalavimus. Dokumentai turi būti pateikti lietuvių kalba; jei originalai yra kita kalba, turi būti pateiktas jų vertimas į lietuvių kalbą, nebent Perkančioji organizacija nurodo kitaip. Visi dokumentai pateikiami popieriniu arba skaitmeniniu formatu (pagal Perkančiosios organizacijos nurodymą).</w:t>
      </w:r>
    </w:p>
    <w:p w14:paraId="07A0D5EA" w14:textId="36918411" w:rsidR="00920173" w:rsidRDefault="001C6464" w:rsidP="00A44E0D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2.5. įsipareigoja užsakymo vykdymo eigoje derinti informaciją, susijusią su užsakom</w:t>
      </w:r>
      <w:r w:rsidR="003013F4">
        <w:rPr>
          <w:bCs/>
        </w:rPr>
        <w:t>ai</w:t>
      </w:r>
      <w:r w:rsidR="00920173">
        <w:rPr>
          <w:bCs/>
        </w:rPr>
        <w:t>s</w:t>
      </w:r>
      <w:r w:rsidR="003E1057">
        <w:rPr>
          <w:bCs/>
        </w:rPr>
        <w:t xml:space="preserve"> </w:t>
      </w:r>
      <w:r w:rsidR="003013F4">
        <w:rPr>
          <w:bCs/>
        </w:rPr>
        <w:t>darbai</w:t>
      </w:r>
      <w:r w:rsidR="00920173">
        <w:rPr>
          <w:bCs/>
        </w:rPr>
        <w:t>s</w:t>
      </w:r>
      <w:r w:rsidRPr="00385F5B">
        <w:rPr>
          <w:bCs/>
        </w:rPr>
        <w:t>, Perkančiajai organizacijai priimtinu būdu (pvz.: el. paštu, telefonu ar kt.).</w:t>
      </w:r>
      <w:r w:rsidR="00DA1EC9">
        <w:rPr>
          <w:bCs/>
        </w:rPr>
        <w:tab/>
      </w:r>
    </w:p>
    <w:p w14:paraId="49F224A2" w14:textId="662DD713" w:rsidR="00DA1EC9" w:rsidRPr="00385F5B" w:rsidRDefault="00DA1EC9" w:rsidP="001C6464">
      <w:pPr>
        <w:spacing w:line="360" w:lineRule="auto"/>
        <w:rPr>
          <w:bCs/>
        </w:rPr>
      </w:pPr>
      <w:r>
        <w:rPr>
          <w:bCs/>
        </w:rPr>
        <w:tab/>
      </w:r>
    </w:p>
    <w:p w14:paraId="18468848" w14:textId="3F0C9F6C" w:rsidR="001C6464" w:rsidRPr="00A7153B" w:rsidRDefault="00920173" w:rsidP="001C6464">
      <w:pPr>
        <w:spacing w:line="360" w:lineRule="auto"/>
        <w:jc w:val="center"/>
        <w:rPr>
          <w:b/>
        </w:rPr>
      </w:pPr>
      <w:r>
        <w:rPr>
          <w:b/>
        </w:rPr>
        <w:t>3</w:t>
      </w:r>
      <w:r w:rsidR="001C6464" w:rsidRPr="00A7153B">
        <w:rPr>
          <w:b/>
        </w:rPr>
        <w:t>.</w:t>
      </w:r>
      <w:r w:rsidR="001C6464">
        <w:rPr>
          <w:b/>
        </w:rPr>
        <w:t xml:space="preserve"> </w:t>
      </w:r>
      <w:r w:rsidR="003013F4">
        <w:rPr>
          <w:b/>
        </w:rPr>
        <w:t>DARB</w:t>
      </w:r>
      <w:r w:rsidR="003E1057" w:rsidRPr="00A7153B">
        <w:rPr>
          <w:b/>
        </w:rPr>
        <w:t xml:space="preserve">Ų </w:t>
      </w:r>
      <w:r w:rsidR="001C6464" w:rsidRPr="00A7153B">
        <w:rPr>
          <w:b/>
        </w:rPr>
        <w:t>APIMTYS</w:t>
      </w:r>
    </w:p>
    <w:p w14:paraId="64E6F331" w14:textId="034A9C7C" w:rsidR="001C6464" w:rsidRPr="00385F5B" w:rsidRDefault="00920173" w:rsidP="001C6464">
      <w:pPr>
        <w:spacing w:line="360" w:lineRule="auto"/>
        <w:ind w:firstLine="284"/>
        <w:jc w:val="both"/>
        <w:rPr>
          <w:bCs/>
        </w:rPr>
      </w:pPr>
      <w:r>
        <w:rPr>
          <w:bCs/>
        </w:rPr>
        <w:t>3</w:t>
      </w:r>
      <w:r w:rsidR="001C6464" w:rsidRPr="00385F5B">
        <w:rPr>
          <w:bCs/>
        </w:rPr>
        <w:t>.1.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Perkamų </w:t>
      </w:r>
      <w:r w:rsidR="00FC6F4A">
        <w:rPr>
          <w:bCs/>
        </w:rPr>
        <w:t>darbų</w:t>
      </w:r>
      <w:r w:rsidR="001C6464" w:rsidRPr="00385F5B">
        <w:rPr>
          <w:bCs/>
        </w:rPr>
        <w:t xml:space="preserve"> apimtys</w:t>
      </w:r>
      <w:r w:rsidR="00AA3231">
        <w:rPr>
          <w:bCs/>
        </w:rPr>
        <w:t xml:space="preserve"> – 1 </w:t>
      </w:r>
      <w:proofErr w:type="spellStart"/>
      <w:r w:rsidR="00AA3231">
        <w:rPr>
          <w:bCs/>
        </w:rPr>
        <w:t>kompl</w:t>
      </w:r>
      <w:proofErr w:type="spellEnd"/>
      <w:r w:rsidR="001C6464" w:rsidRPr="00385F5B">
        <w:rPr>
          <w:bCs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2"/>
        <w:gridCol w:w="3141"/>
        <w:gridCol w:w="1043"/>
        <w:gridCol w:w="876"/>
        <w:gridCol w:w="4553"/>
      </w:tblGrid>
      <w:tr w:rsidR="00CF7C61" w:rsidRPr="00B373E1" w14:paraId="38A80C20" w14:textId="77777777" w:rsidTr="007003D5">
        <w:trPr>
          <w:trHeight w:val="741"/>
        </w:trPr>
        <w:tc>
          <w:tcPr>
            <w:tcW w:w="583" w:type="dxa"/>
            <w:shd w:val="clear" w:color="auto" w:fill="E7E6E6" w:themeFill="background2"/>
            <w:vAlign w:val="center"/>
          </w:tcPr>
          <w:p w14:paraId="015AC459" w14:textId="4362EE08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Eil. Nr.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0A023ED" w14:textId="570BF8F5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Pavadinimas</w:t>
            </w:r>
          </w:p>
        </w:tc>
        <w:tc>
          <w:tcPr>
            <w:tcW w:w="737" w:type="dxa"/>
            <w:shd w:val="clear" w:color="auto" w:fill="E7E6E6" w:themeFill="background2"/>
            <w:vAlign w:val="center"/>
          </w:tcPr>
          <w:p w14:paraId="49A504FA" w14:textId="67040441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Mato vienetas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1A8EDE17" w14:textId="76D0F71D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Kiekis</w:t>
            </w:r>
          </w:p>
        </w:tc>
        <w:tc>
          <w:tcPr>
            <w:tcW w:w="4759" w:type="dxa"/>
            <w:shd w:val="clear" w:color="auto" w:fill="E7E6E6" w:themeFill="background2"/>
            <w:vAlign w:val="center"/>
          </w:tcPr>
          <w:p w14:paraId="75EAEB86" w14:textId="038B7CC0" w:rsidR="006B52CA" w:rsidRPr="00724587" w:rsidRDefault="006B52CA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724587">
              <w:rPr>
                <w:b/>
                <w:szCs w:val="24"/>
              </w:rPr>
              <w:t>Reikalaujami techniniai parametrai</w:t>
            </w:r>
          </w:p>
        </w:tc>
      </w:tr>
      <w:tr w:rsidR="00CF7C61" w:rsidRPr="00B373E1" w14:paraId="0C8A2401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7E950B9C" w14:textId="3EC3DC9C" w:rsidR="006B52CA" w:rsidRPr="00724587" w:rsidRDefault="00B9177F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C1C210A" w14:textId="79E91301" w:rsidR="006B52CA" w:rsidRPr="007B119D" w:rsidRDefault="00B9177F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Senos asbestcemenčių lakštų dangos ardymas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FD5BB7" w14:textId="06B635E4" w:rsidR="006B52CA" w:rsidRPr="007B119D" w:rsidRDefault="00B9177F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2C4AB5" w14:textId="6A55D569" w:rsidR="006B52CA" w:rsidRPr="007B119D" w:rsidRDefault="00B9177F" w:rsidP="0070356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570,48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343AE5EF" w14:textId="4901CA1E" w:rsidR="006B52CA" w:rsidRPr="007B119D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Nuardoma esama asbestcemenčio šiferio stogo danga.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CE5D55" w:rsidRPr="00B373E1" w14:paraId="0B72889E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4727AE08" w14:textId="09B92570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84C42D2" w14:textId="7A501BF6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Čerpių stogo dangos ardymas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AC4AEF" w14:textId="6E4DB5A2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C361BA" w14:textId="363DFF10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6,74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1E891189" w14:textId="036EE25B" w:rsidR="00CE5D55" w:rsidRPr="00CE5D55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Nuardoma esama čerpių stogo danga.</w:t>
            </w:r>
          </w:p>
        </w:tc>
      </w:tr>
      <w:tr w:rsidR="00CE5D55" w:rsidRPr="00B373E1" w14:paraId="7C592135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2B80DD46" w14:textId="51A9E855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9B57E2E" w14:textId="7DD13A1F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proofErr w:type="spellStart"/>
            <w:r w:rsidRPr="00CE5D55">
              <w:rPr>
                <w:bCs/>
                <w:szCs w:val="24"/>
              </w:rPr>
              <w:t>Fibrocementinių</w:t>
            </w:r>
            <w:proofErr w:type="spellEnd"/>
            <w:r w:rsidRPr="00CE5D55">
              <w:rPr>
                <w:bCs/>
                <w:szCs w:val="24"/>
              </w:rPr>
              <w:t xml:space="preserve"> banguotų</w:t>
            </w:r>
            <w:r>
              <w:rPr>
                <w:bCs/>
                <w:szCs w:val="24"/>
              </w:rPr>
              <w:t xml:space="preserve"> </w:t>
            </w:r>
            <w:r w:rsidRPr="00CE5D55">
              <w:rPr>
                <w:bCs/>
                <w:szCs w:val="24"/>
              </w:rPr>
              <w:t>lakštų stogo dangos</w:t>
            </w:r>
            <w:r>
              <w:rPr>
                <w:bCs/>
                <w:szCs w:val="24"/>
              </w:rPr>
              <w:t xml:space="preserve"> </w:t>
            </w:r>
            <w:r w:rsidRPr="00CE5D55">
              <w:rPr>
                <w:bCs/>
                <w:szCs w:val="24"/>
              </w:rPr>
              <w:t>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2B66396" w14:textId="7343EB1C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171FCB" w14:textId="0F9F8251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570,48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642BB8B0" w14:textId="76DFFC4E" w:rsidR="00CE5D55" w:rsidRPr="00CE5D55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Esama šiferio danga keičiama į naują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 w:rsidRPr="00CE5D55">
              <w:rPr>
                <w:bCs/>
                <w:szCs w:val="24"/>
              </w:rPr>
              <w:t>fibrocementinių</w:t>
            </w:r>
            <w:proofErr w:type="spellEnd"/>
            <w:r w:rsidRPr="00CE5D55">
              <w:rPr>
                <w:bCs/>
                <w:szCs w:val="24"/>
              </w:rPr>
              <w:t xml:space="preserve"> banguotų lakštų stogo dangą (atitiktis </w:t>
            </w:r>
            <w:proofErr w:type="spellStart"/>
            <w:r w:rsidRPr="00CE5D55">
              <w:rPr>
                <w:bCs/>
                <w:szCs w:val="24"/>
              </w:rPr>
              <w:t>Eternit</w:t>
            </w:r>
            <w:proofErr w:type="spellEnd"/>
            <w:r w:rsidRPr="00CE5D55">
              <w:rPr>
                <w:bCs/>
                <w:szCs w:val="24"/>
              </w:rPr>
              <w:t xml:space="preserve"> Gotika, klasikinės raudonos spalvos).</w:t>
            </w:r>
          </w:p>
        </w:tc>
      </w:tr>
      <w:tr w:rsidR="00CE5D55" w:rsidRPr="00B373E1" w14:paraId="79762989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39474947" w14:textId="2B55A6BB" w:rsidR="00CE5D55" w:rsidRPr="00724587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D30028" w14:textId="08841819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Čerpių stogo dangos 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B9F6CA" w14:textId="04DC049E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C3D91C1" w14:textId="07A9C285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6,74</w:t>
            </w:r>
          </w:p>
        </w:tc>
        <w:tc>
          <w:tcPr>
            <w:tcW w:w="4759" w:type="dxa"/>
            <w:shd w:val="clear" w:color="auto" w:fill="auto"/>
          </w:tcPr>
          <w:p w14:paraId="5C68FE29" w14:textId="57FAA37C" w:rsidR="00CE5D55" w:rsidRPr="00CE5D55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 xml:space="preserve">Esama čerpių stogo danga keičiama į naują </w:t>
            </w:r>
          </w:p>
          <w:p w14:paraId="010D6206" w14:textId="42EB4D20" w:rsidR="00CE5D55" w:rsidRPr="007B119D" w:rsidRDefault="00CE5D55" w:rsidP="00CE5D55">
            <w:pPr>
              <w:jc w:val="both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čerpių dangą.</w:t>
            </w:r>
          </w:p>
        </w:tc>
      </w:tr>
      <w:tr w:rsidR="00CE5D55" w:rsidRPr="00B373E1" w14:paraId="25A2DF7A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782001DE" w14:textId="3E88635F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F48A65" w14:textId="5F1E8E71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Ventiliacijos kaminėlių</w:t>
            </w:r>
            <w:r>
              <w:rPr>
                <w:bCs/>
                <w:szCs w:val="24"/>
              </w:rPr>
              <w:t xml:space="preserve"> </w:t>
            </w:r>
            <w:r w:rsidRPr="00CE5D55">
              <w:rPr>
                <w:bCs/>
                <w:szCs w:val="24"/>
              </w:rPr>
              <w:t>apskardinimas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6E4280" w14:textId="5F292785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EF9DB13" w14:textId="1308E1C6" w:rsidR="00CE5D55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21,35</w:t>
            </w:r>
          </w:p>
        </w:tc>
        <w:tc>
          <w:tcPr>
            <w:tcW w:w="4759" w:type="dxa"/>
            <w:shd w:val="clear" w:color="auto" w:fill="auto"/>
          </w:tcPr>
          <w:p w14:paraId="6256590B" w14:textId="2EFBC400" w:rsidR="00CE5D55" w:rsidRPr="00CE5D55" w:rsidRDefault="002A589B" w:rsidP="002A589B">
            <w:pPr>
              <w:ind w:firstLine="28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  <w:r w:rsidRPr="002A589B">
              <w:rPr>
                <w:bCs/>
                <w:szCs w:val="24"/>
              </w:rPr>
              <w:t>ertikaliai apskardinami esami ventiliacijos kaminėliai.</w:t>
            </w:r>
          </w:p>
        </w:tc>
      </w:tr>
      <w:tr w:rsidR="00CE5D55" w:rsidRPr="00B373E1" w14:paraId="786D1282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46B0925B" w14:textId="20E081AE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EB78E2" w14:textId="7A5A2B04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CE5D55">
              <w:rPr>
                <w:bCs/>
                <w:szCs w:val="24"/>
              </w:rPr>
              <w:t>Ventiliacijos kaminėlių</w:t>
            </w:r>
            <w:r>
              <w:rPr>
                <w:bCs/>
                <w:szCs w:val="24"/>
              </w:rPr>
              <w:t xml:space="preserve"> </w:t>
            </w:r>
            <w:r w:rsidRPr="00CE5D55">
              <w:rPr>
                <w:bCs/>
                <w:szCs w:val="24"/>
              </w:rPr>
              <w:t>stogelių 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896F69" w14:textId="48DDF807" w:rsidR="00CE5D55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83EBFA" w14:textId="25CFAF81" w:rsidR="00CE5D55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1,77</w:t>
            </w:r>
          </w:p>
        </w:tc>
        <w:tc>
          <w:tcPr>
            <w:tcW w:w="4759" w:type="dxa"/>
            <w:shd w:val="clear" w:color="auto" w:fill="auto"/>
          </w:tcPr>
          <w:p w14:paraId="6100D80B" w14:textId="561886A8" w:rsidR="00CE5D55" w:rsidRPr="00CE5D55" w:rsidRDefault="002A589B" w:rsidP="002A589B">
            <w:pPr>
              <w:ind w:firstLine="284"/>
              <w:jc w:val="both"/>
              <w:rPr>
                <w:bCs/>
                <w:szCs w:val="24"/>
              </w:rPr>
            </w:pPr>
            <w:r w:rsidRPr="002A589B">
              <w:rPr>
                <w:bCs/>
                <w:szCs w:val="24"/>
              </w:rPr>
              <w:t>Įrengiami esamų ventiliacijos kaminėlių stogeliai.</w:t>
            </w:r>
          </w:p>
        </w:tc>
      </w:tr>
      <w:tr w:rsidR="002A589B" w:rsidRPr="00B373E1" w14:paraId="2E74A32D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364E6E2D" w14:textId="085D67C6" w:rsidR="002A589B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E57994" w14:textId="57A73216" w:rsidR="002A589B" w:rsidRPr="00CE5D55" w:rsidRDefault="002A589B" w:rsidP="002A589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 w:rsidRPr="002A589B">
              <w:rPr>
                <w:bCs/>
                <w:szCs w:val="24"/>
              </w:rPr>
              <w:t>Frontono viršaus</w:t>
            </w:r>
            <w:r>
              <w:rPr>
                <w:bCs/>
                <w:szCs w:val="24"/>
              </w:rPr>
              <w:t xml:space="preserve"> </w:t>
            </w:r>
            <w:r w:rsidRPr="002A589B">
              <w:rPr>
                <w:bCs/>
                <w:szCs w:val="24"/>
              </w:rPr>
              <w:t>apšiltinimas ir apskardinimas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761CAC" w14:textId="2DF035E4" w:rsidR="002A589B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  <w:r w:rsidRPr="00B9177F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36E0B5" w14:textId="584FD831" w:rsidR="002A589B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 w:rsidRPr="002A589B">
              <w:rPr>
                <w:bCs/>
                <w:color w:val="000000"/>
                <w:szCs w:val="24"/>
              </w:rPr>
              <w:t>5,12</w:t>
            </w:r>
          </w:p>
        </w:tc>
        <w:tc>
          <w:tcPr>
            <w:tcW w:w="4759" w:type="dxa"/>
            <w:shd w:val="clear" w:color="auto" w:fill="auto"/>
          </w:tcPr>
          <w:p w14:paraId="75573AB8" w14:textId="4C4812B7" w:rsidR="002A589B" w:rsidRPr="00CE5D55" w:rsidRDefault="002A589B" w:rsidP="002A589B">
            <w:pPr>
              <w:ind w:firstLine="284"/>
              <w:jc w:val="both"/>
              <w:rPr>
                <w:bCs/>
                <w:szCs w:val="24"/>
              </w:rPr>
            </w:pPr>
            <w:r w:rsidRPr="002A589B">
              <w:rPr>
                <w:bCs/>
                <w:szCs w:val="24"/>
              </w:rPr>
              <w:t>Apšiltinamas esamo frontono viršus ir apskardinimas.</w:t>
            </w:r>
          </w:p>
        </w:tc>
      </w:tr>
      <w:tr w:rsidR="00CE5D55" w:rsidRPr="00B373E1" w14:paraId="4149DE80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7C169542" w14:textId="075437F5" w:rsidR="00CE5D55" w:rsidRPr="00724587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A64FE91" w14:textId="7BD10D2B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Latakų ir lietvamzdžių ardymas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012D17" w14:textId="2F12E60B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F86C829" w14:textId="05D3A038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160,20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60B98B4F" w14:textId="68FE7183" w:rsidR="00CE5D55" w:rsidRPr="007B119D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</w:p>
        </w:tc>
      </w:tr>
      <w:tr w:rsidR="00CE5D55" w:rsidRPr="00B373E1" w14:paraId="06EF45B9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1D85610C" w14:textId="484F73F1" w:rsidR="00CE5D55" w:rsidRPr="00B9177F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2DBAAC" w14:textId="52DE7F4A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Lietvamzdžių 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DB29F7" w14:textId="27287518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25F5DC9" w14:textId="22B6326D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51,40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1F9DA0E4" w14:textId="47325857" w:rsidR="00CE5D55" w:rsidRPr="007B119D" w:rsidRDefault="002A589B" w:rsidP="002A589B">
            <w:pPr>
              <w:ind w:firstLine="284"/>
              <w:jc w:val="both"/>
              <w:rPr>
                <w:bCs/>
                <w:szCs w:val="24"/>
              </w:rPr>
            </w:pPr>
            <w:r w:rsidRPr="002A589B">
              <w:rPr>
                <w:bCs/>
                <w:szCs w:val="24"/>
              </w:rPr>
              <w:t>Įrengiami nauji išoriniai lietvamzdžiai, stačiakampio profilio</w:t>
            </w:r>
          </w:p>
        </w:tc>
      </w:tr>
      <w:tr w:rsidR="00CE5D55" w:rsidRPr="00B373E1" w14:paraId="05586AEA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522BCF69" w14:textId="492DD1BC" w:rsidR="00CE5D55" w:rsidRPr="00B9177F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5C0D92A" w14:textId="7A92B16C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Lietlovių</w:t>
            </w:r>
            <w:proofErr w:type="spellEnd"/>
            <w:r>
              <w:rPr>
                <w:bCs/>
                <w:szCs w:val="24"/>
              </w:rPr>
              <w:t xml:space="preserve"> (latakų) 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58214A" w14:textId="456991F2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A01BF45" w14:textId="42B94E46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108,80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00137411" w14:textId="2EDF4673" w:rsidR="00CE5D55" w:rsidRPr="00904881" w:rsidRDefault="002A589B" w:rsidP="002A589B">
            <w:pPr>
              <w:ind w:firstLine="284"/>
              <w:jc w:val="both"/>
              <w:rPr>
                <w:bCs/>
                <w:szCs w:val="24"/>
              </w:rPr>
            </w:pPr>
            <w:r w:rsidRPr="002A589B">
              <w:rPr>
                <w:bCs/>
                <w:szCs w:val="24"/>
              </w:rPr>
              <w:t>Įrengiami nauji latakai, stačiakampio profilio</w:t>
            </w:r>
          </w:p>
        </w:tc>
      </w:tr>
      <w:tr w:rsidR="00CE5D55" w:rsidRPr="00B373E1" w14:paraId="362F5750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1FCB9F70" w14:textId="1FC55D14" w:rsidR="00CE5D55" w:rsidRPr="00B9177F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10106A" w14:textId="378B6569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Apsauginės tvorelės įrengimas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80E519" w14:textId="7E10C9C7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D52AC1E" w14:textId="59FCA2A1" w:rsidR="00CE5D55" w:rsidRPr="007B119D" w:rsidRDefault="00CE5D5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36,30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07A1CD2C" w14:textId="7A8C8807" w:rsidR="00CE5D55" w:rsidRPr="007B119D" w:rsidRDefault="00CE5D55" w:rsidP="00CE5D55">
            <w:pPr>
              <w:ind w:firstLine="284"/>
              <w:jc w:val="both"/>
              <w:rPr>
                <w:bCs/>
                <w:szCs w:val="24"/>
              </w:rPr>
            </w:pPr>
          </w:p>
        </w:tc>
      </w:tr>
      <w:tr w:rsidR="002A589B" w:rsidRPr="00B373E1" w14:paraId="7BECC67B" w14:textId="77777777" w:rsidTr="007003D5">
        <w:trPr>
          <w:trHeight w:val="557"/>
        </w:trPr>
        <w:tc>
          <w:tcPr>
            <w:tcW w:w="583" w:type="dxa"/>
            <w:shd w:val="clear" w:color="auto" w:fill="auto"/>
            <w:vAlign w:val="center"/>
          </w:tcPr>
          <w:p w14:paraId="4A3CF652" w14:textId="17A8DF47" w:rsidR="002A589B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C2932A" w14:textId="330661CA" w:rsidR="002A589B" w:rsidRDefault="002A589B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Atliekų </w:t>
            </w:r>
            <w:r w:rsidR="007003D5">
              <w:rPr>
                <w:bCs/>
                <w:szCs w:val="24"/>
              </w:rPr>
              <w:t>utilizavimas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9470E7" w14:textId="31BC0919" w:rsidR="002A589B" w:rsidRDefault="007003D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kompl</w:t>
            </w:r>
            <w:proofErr w:type="spellEnd"/>
            <w:r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BBFBB4" w14:textId="66597171" w:rsidR="002A589B" w:rsidRDefault="007003D5" w:rsidP="00CE5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51B3DB31" w14:textId="77777777" w:rsidR="002A589B" w:rsidRPr="007B119D" w:rsidRDefault="002A589B" w:rsidP="00CE5D55">
            <w:pPr>
              <w:ind w:firstLine="284"/>
              <w:jc w:val="both"/>
              <w:rPr>
                <w:bCs/>
                <w:szCs w:val="24"/>
              </w:rPr>
            </w:pPr>
          </w:p>
        </w:tc>
      </w:tr>
    </w:tbl>
    <w:p w14:paraId="0B0C921E" w14:textId="77777777" w:rsidR="001C6464" w:rsidRPr="00B373E1" w:rsidRDefault="001C6464" w:rsidP="00B373E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3DFDC986" w14:textId="77777777" w:rsidR="001C6464" w:rsidRPr="00385F5B" w:rsidRDefault="001C6464" w:rsidP="001C6464">
      <w:pPr>
        <w:spacing w:line="360" w:lineRule="auto"/>
        <w:rPr>
          <w:bCs/>
        </w:rPr>
      </w:pPr>
    </w:p>
    <w:p w14:paraId="4C28E49C" w14:textId="3B07840C" w:rsidR="001C6464" w:rsidRPr="00A7153B" w:rsidRDefault="0029688B" w:rsidP="001C6464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1C6464" w:rsidRPr="00A7153B">
        <w:rPr>
          <w:b/>
        </w:rPr>
        <w:t>.</w:t>
      </w:r>
      <w:r w:rsidR="001C6464">
        <w:rPr>
          <w:b/>
        </w:rPr>
        <w:t xml:space="preserve"> </w:t>
      </w:r>
      <w:r w:rsidR="001C6464" w:rsidRPr="00A7153B">
        <w:rPr>
          <w:b/>
        </w:rPr>
        <w:t>KITOS NUOSTATOS</w:t>
      </w:r>
    </w:p>
    <w:p w14:paraId="57D700B9" w14:textId="2F4F0E5D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1C6464" w:rsidRPr="00385F5B">
        <w:rPr>
          <w:bCs/>
        </w:rPr>
        <w:t>.1.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Nustačius </w:t>
      </w:r>
      <w:r w:rsidR="003013F4">
        <w:rPr>
          <w:bCs/>
        </w:rPr>
        <w:t>Darb</w:t>
      </w:r>
      <w:r w:rsidR="00920173">
        <w:rPr>
          <w:bCs/>
        </w:rPr>
        <w:t>ų</w:t>
      </w:r>
      <w:r w:rsidR="001C6464" w:rsidRPr="00385F5B">
        <w:rPr>
          <w:bCs/>
        </w:rPr>
        <w:t xml:space="preserve"> </w:t>
      </w:r>
      <w:r w:rsidR="00743868">
        <w:rPr>
          <w:bCs/>
        </w:rPr>
        <w:t>atlikimo</w:t>
      </w:r>
      <w:r w:rsidR="001C6464" w:rsidRPr="00385F5B">
        <w:rPr>
          <w:bCs/>
        </w:rPr>
        <w:t xml:space="preserve"> trūkumus, </w:t>
      </w:r>
      <w:r w:rsidR="00743868">
        <w:rPr>
          <w:bCs/>
        </w:rPr>
        <w:t>Rangovas</w:t>
      </w:r>
      <w:r w:rsidR="001C6464" w:rsidRPr="00385F5B">
        <w:rPr>
          <w:bCs/>
        </w:rPr>
        <w:t xml:space="preserve"> privalo per </w:t>
      </w:r>
      <w:r w:rsidR="00355381">
        <w:rPr>
          <w:szCs w:val="28"/>
        </w:rPr>
        <w:t>Perkančiosios organizacijos</w:t>
      </w:r>
      <w:r w:rsidR="001C6464" w:rsidRPr="00385F5B">
        <w:rPr>
          <w:bCs/>
        </w:rPr>
        <w:t xml:space="preserve"> nurodytą terminą neatlygintinai ištaisyti visus trūkumus</w:t>
      </w:r>
      <w:r w:rsidR="00B373E1">
        <w:rPr>
          <w:bCs/>
        </w:rPr>
        <w:t>.</w:t>
      </w:r>
    </w:p>
    <w:p w14:paraId="6E43A10E" w14:textId="798A367E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1C6464" w:rsidRPr="00385F5B">
        <w:rPr>
          <w:bCs/>
        </w:rPr>
        <w:t>.2.</w:t>
      </w:r>
      <w:r w:rsidR="001C6464">
        <w:rPr>
          <w:bCs/>
        </w:rPr>
        <w:t xml:space="preserve"> </w:t>
      </w:r>
      <w:r w:rsidR="001C6464" w:rsidRPr="00385F5B">
        <w:rPr>
          <w:bCs/>
        </w:rPr>
        <w:t xml:space="preserve">Perkančioji organizacija už faktiškai </w:t>
      </w:r>
      <w:r w:rsidR="00743868">
        <w:rPr>
          <w:bCs/>
        </w:rPr>
        <w:t>atliktus kokybiškus</w:t>
      </w:r>
      <w:r w:rsidR="001C6464" w:rsidRPr="00385F5B">
        <w:rPr>
          <w:bCs/>
        </w:rPr>
        <w:t xml:space="preserve"> </w:t>
      </w:r>
      <w:r w:rsidR="00B9177F">
        <w:rPr>
          <w:bCs/>
        </w:rPr>
        <w:t>Darbus</w:t>
      </w:r>
      <w:r w:rsidR="001C6464" w:rsidRPr="00385F5B">
        <w:rPr>
          <w:bCs/>
        </w:rPr>
        <w:t xml:space="preserve"> apmoka ne vėliau kaip per 30 (trisdešimt) kalendorinių dienų, </w:t>
      </w:r>
      <w:r w:rsidR="00743868">
        <w:rPr>
          <w:bCs/>
        </w:rPr>
        <w:t>Rangovui</w:t>
      </w:r>
      <w:r w:rsidR="001C6464" w:rsidRPr="00385F5B">
        <w:rPr>
          <w:bCs/>
        </w:rPr>
        <w:t xml:space="preserve"> pateikus parengtus dokumentus, perdavimo ir priėmimo aktus bei sąskaitas faktūras</w:t>
      </w:r>
      <w:r w:rsidR="00E10E68">
        <w:rPr>
          <w:bCs/>
        </w:rPr>
        <w:t>.</w:t>
      </w:r>
    </w:p>
    <w:p w14:paraId="4BD636ED" w14:textId="744081BB" w:rsidR="001C6464" w:rsidRPr="00385F5B" w:rsidRDefault="0029688B" w:rsidP="007E7172">
      <w:pPr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1C6464" w:rsidRPr="00385F5B">
        <w:rPr>
          <w:bCs/>
        </w:rPr>
        <w:t>.3.</w:t>
      </w:r>
      <w:r w:rsidR="001C6464">
        <w:rPr>
          <w:bCs/>
        </w:rPr>
        <w:t xml:space="preserve"> </w:t>
      </w:r>
      <w:r w:rsidR="00B9177F">
        <w:rPr>
          <w:bCs/>
        </w:rPr>
        <w:t>Darb</w:t>
      </w:r>
      <w:r w:rsidR="00920173">
        <w:rPr>
          <w:bCs/>
        </w:rPr>
        <w:t>ų</w:t>
      </w:r>
      <w:r w:rsidR="001C6464" w:rsidRPr="00385F5B">
        <w:rPr>
          <w:bCs/>
        </w:rPr>
        <w:t xml:space="preserve"> kainoje turi būti numatytos visos išlaidos. Jokių papildomų mokėjimų </w:t>
      </w:r>
      <w:r w:rsidR="00743868">
        <w:rPr>
          <w:bCs/>
        </w:rPr>
        <w:t>Rangovas</w:t>
      </w:r>
      <w:r w:rsidR="001C6464" w:rsidRPr="00385F5B">
        <w:rPr>
          <w:bCs/>
        </w:rPr>
        <w:t xml:space="preserve"> už </w:t>
      </w:r>
      <w:r w:rsidR="00B9177F">
        <w:rPr>
          <w:bCs/>
        </w:rPr>
        <w:t>darbus</w:t>
      </w:r>
      <w:r w:rsidR="001C6464" w:rsidRPr="00385F5B">
        <w:rPr>
          <w:bCs/>
        </w:rPr>
        <w:t xml:space="preserve"> reikalauti negali.</w:t>
      </w:r>
    </w:p>
    <w:sectPr w:rsidR="001C6464" w:rsidRPr="00385F5B" w:rsidSect="003013F4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A18" w14:textId="77777777" w:rsidR="00265C9D" w:rsidRDefault="00265C9D" w:rsidP="007610B7">
      <w:r>
        <w:separator/>
      </w:r>
    </w:p>
  </w:endnote>
  <w:endnote w:type="continuationSeparator" w:id="0">
    <w:p w14:paraId="35CA0C74" w14:textId="77777777" w:rsidR="00265C9D" w:rsidRDefault="00265C9D" w:rsidP="0076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744C" w14:textId="77777777" w:rsidR="00265C9D" w:rsidRDefault="00265C9D" w:rsidP="007610B7">
      <w:r>
        <w:separator/>
      </w:r>
    </w:p>
  </w:footnote>
  <w:footnote w:type="continuationSeparator" w:id="0">
    <w:p w14:paraId="75985E0C" w14:textId="77777777" w:rsidR="00265C9D" w:rsidRDefault="00265C9D" w:rsidP="0076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6774"/>
    <w:multiLevelType w:val="hybridMultilevel"/>
    <w:tmpl w:val="522E1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64"/>
    <w:rsid w:val="00000784"/>
    <w:rsid w:val="00026F70"/>
    <w:rsid w:val="00063E50"/>
    <w:rsid w:val="000907DB"/>
    <w:rsid w:val="00094A71"/>
    <w:rsid w:val="000953FD"/>
    <w:rsid w:val="00111DA3"/>
    <w:rsid w:val="001465B4"/>
    <w:rsid w:val="001864C8"/>
    <w:rsid w:val="00191582"/>
    <w:rsid w:val="001A12D3"/>
    <w:rsid w:val="001C6464"/>
    <w:rsid w:val="001D62B3"/>
    <w:rsid w:val="001E3769"/>
    <w:rsid w:val="0020484A"/>
    <w:rsid w:val="00205A03"/>
    <w:rsid w:val="0021398E"/>
    <w:rsid w:val="00220F6C"/>
    <w:rsid w:val="00222004"/>
    <w:rsid w:val="00265C9D"/>
    <w:rsid w:val="0029688B"/>
    <w:rsid w:val="002A589B"/>
    <w:rsid w:val="002D3ED4"/>
    <w:rsid w:val="002F7C50"/>
    <w:rsid w:val="003013F4"/>
    <w:rsid w:val="00311B7F"/>
    <w:rsid w:val="00312E56"/>
    <w:rsid w:val="00324F99"/>
    <w:rsid w:val="003416AE"/>
    <w:rsid w:val="00355194"/>
    <w:rsid w:val="00355381"/>
    <w:rsid w:val="003841E0"/>
    <w:rsid w:val="00393C98"/>
    <w:rsid w:val="003B77B5"/>
    <w:rsid w:val="003D3766"/>
    <w:rsid w:val="003E1057"/>
    <w:rsid w:val="003F2D32"/>
    <w:rsid w:val="00433F9C"/>
    <w:rsid w:val="00434F53"/>
    <w:rsid w:val="00445FBB"/>
    <w:rsid w:val="004602EC"/>
    <w:rsid w:val="004A4604"/>
    <w:rsid w:val="004C181D"/>
    <w:rsid w:val="004F194F"/>
    <w:rsid w:val="00511F08"/>
    <w:rsid w:val="0052258C"/>
    <w:rsid w:val="00533508"/>
    <w:rsid w:val="005510F5"/>
    <w:rsid w:val="00577464"/>
    <w:rsid w:val="005824CF"/>
    <w:rsid w:val="005A16B9"/>
    <w:rsid w:val="005C607E"/>
    <w:rsid w:val="005D0004"/>
    <w:rsid w:val="005E1D5B"/>
    <w:rsid w:val="005F529E"/>
    <w:rsid w:val="00603C91"/>
    <w:rsid w:val="00625C19"/>
    <w:rsid w:val="006318DE"/>
    <w:rsid w:val="006518A7"/>
    <w:rsid w:val="0065548E"/>
    <w:rsid w:val="006A6560"/>
    <w:rsid w:val="006B52CA"/>
    <w:rsid w:val="006B7EFB"/>
    <w:rsid w:val="006D6FAD"/>
    <w:rsid w:val="007003D5"/>
    <w:rsid w:val="00703564"/>
    <w:rsid w:val="00724587"/>
    <w:rsid w:val="00743868"/>
    <w:rsid w:val="0075340D"/>
    <w:rsid w:val="007610B7"/>
    <w:rsid w:val="007B119D"/>
    <w:rsid w:val="007E7172"/>
    <w:rsid w:val="00891C10"/>
    <w:rsid w:val="008C09FA"/>
    <w:rsid w:val="008E256D"/>
    <w:rsid w:val="0090297E"/>
    <w:rsid w:val="00904881"/>
    <w:rsid w:val="00920173"/>
    <w:rsid w:val="009711A5"/>
    <w:rsid w:val="009A5B7C"/>
    <w:rsid w:val="009B4FFF"/>
    <w:rsid w:val="009E2D47"/>
    <w:rsid w:val="009E3BDB"/>
    <w:rsid w:val="009E47BD"/>
    <w:rsid w:val="00A011FE"/>
    <w:rsid w:val="00A01B5F"/>
    <w:rsid w:val="00A13C96"/>
    <w:rsid w:val="00A3783E"/>
    <w:rsid w:val="00A44E0D"/>
    <w:rsid w:val="00A57E26"/>
    <w:rsid w:val="00A77E1B"/>
    <w:rsid w:val="00AA3231"/>
    <w:rsid w:val="00AA792F"/>
    <w:rsid w:val="00AD1F5B"/>
    <w:rsid w:val="00AE00AE"/>
    <w:rsid w:val="00AE356A"/>
    <w:rsid w:val="00B0281A"/>
    <w:rsid w:val="00B10999"/>
    <w:rsid w:val="00B373E1"/>
    <w:rsid w:val="00B70082"/>
    <w:rsid w:val="00B836AC"/>
    <w:rsid w:val="00B9177F"/>
    <w:rsid w:val="00B96B73"/>
    <w:rsid w:val="00BA45C2"/>
    <w:rsid w:val="00BB21F3"/>
    <w:rsid w:val="00BC143B"/>
    <w:rsid w:val="00BC37B1"/>
    <w:rsid w:val="00BD76E5"/>
    <w:rsid w:val="00C13EA0"/>
    <w:rsid w:val="00C46607"/>
    <w:rsid w:val="00C51C1B"/>
    <w:rsid w:val="00C62F7C"/>
    <w:rsid w:val="00C6478A"/>
    <w:rsid w:val="00C82DED"/>
    <w:rsid w:val="00C90B87"/>
    <w:rsid w:val="00C93BF4"/>
    <w:rsid w:val="00CE5D55"/>
    <w:rsid w:val="00CF500E"/>
    <w:rsid w:val="00CF6197"/>
    <w:rsid w:val="00CF7C61"/>
    <w:rsid w:val="00D43559"/>
    <w:rsid w:val="00D62C1F"/>
    <w:rsid w:val="00D6586E"/>
    <w:rsid w:val="00D97750"/>
    <w:rsid w:val="00DA1EC9"/>
    <w:rsid w:val="00DD4832"/>
    <w:rsid w:val="00DF7E52"/>
    <w:rsid w:val="00E10E68"/>
    <w:rsid w:val="00E234FE"/>
    <w:rsid w:val="00E25A9F"/>
    <w:rsid w:val="00E322EE"/>
    <w:rsid w:val="00E36859"/>
    <w:rsid w:val="00EC039A"/>
    <w:rsid w:val="00EC6EC7"/>
    <w:rsid w:val="00EF0FF7"/>
    <w:rsid w:val="00F31390"/>
    <w:rsid w:val="00F70164"/>
    <w:rsid w:val="00F77BDB"/>
    <w:rsid w:val="00FA5A00"/>
    <w:rsid w:val="00FC6F4A"/>
    <w:rsid w:val="00FE0F3D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388B"/>
  <w15:chartTrackingRefBased/>
  <w15:docId w15:val="{2758E26F-2CF2-4AB8-B3AE-C79317CA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46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B373E1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90B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610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10B7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10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10B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56EC-2115-4BEA-BBE9-71762DFE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Zarankiene</dc:creator>
  <cp:keywords/>
  <dc:description/>
  <cp:lastModifiedBy>Roberta Raškevičienė</cp:lastModifiedBy>
  <cp:revision>2</cp:revision>
  <cp:lastPrinted>2025-05-26T06:12:00Z</cp:lastPrinted>
  <dcterms:created xsi:type="dcterms:W3CDTF">2025-07-28T08:38:00Z</dcterms:created>
  <dcterms:modified xsi:type="dcterms:W3CDTF">2025-07-28T08:38:00Z</dcterms:modified>
</cp:coreProperties>
</file>