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B1433" w14:textId="7B90E49E" w:rsidR="00674DC9" w:rsidRPr="0025584A" w:rsidRDefault="002A5571" w:rsidP="002A5571">
      <w:pPr>
        <w:spacing w:after="0" w:line="240" w:lineRule="auto"/>
        <w:jc w:val="center"/>
        <w:rPr>
          <w:rFonts w:ascii="Times New Roman" w:hAnsi="Times New Roman" w:cs="Times New Roman"/>
          <w:b/>
          <w:bCs/>
          <w:sz w:val="24"/>
          <w:szCs w:val="24"/>
        </w:rPr>
      </w:pPr>
      <w:r w:rsidRPr="0025584A">
        <w:rPr>
          <w:rFonts w:ascii="Times New Roman" w:hAnsi="Times New Roman" w:cs="Times New Roman"/>
          <w:b/>
          <w:bCs/>
          <w:sz w:val="24"/>
          <w:szCs w:val="24"/>
        </w:rPr>
        <w:t xml:space="preserve"> ANALITINĖS STUDIJOS „ ANALIZĖ SKIRTA NACIONALINEI SKAITMENINĖS PLĖTROS DARBOTVARKEI PARENGTI“  PARENGIMO PASLAUGŲ VIEŠOJO PIRKIMO </w:t>
      </w:r>
      <w:r w:rsidR="00016503" w:rsidRPr="0025584A">
        <w:rPr>
          <w:rFonts w:ascii="Times New Roman" w:hAnsi="Times New Roman" w:cs="Times New Roman"/>
          <w:b/>
          <w:bCs/>
          <w:sz w:val="24"/>
          <w:szCs w:val="24"/>
        </w:rPr>
        <w:t>R</w:t>
      </w:r>
      <w:r w:rsidR="00234A05" w:rsidRPr="0025584A">
        <w:rPr>
          <w:rFonts w:ascii="Times New Roman" w:hAnsi="Times New Roman" w:cs="Times New Roman"/>
          <w:b/>
          <w:bCs/>
          <w:sz w:val="24"/>
          <w:szCs w:val="24"/>
        </w:rPr>
        <w:t>I</w:t>
      </w:r>
      <w:r w:rsidR="00016503" w:rsidRPr="0025584A">
        <w:rPr>
          <w:rFonts w:ascii="Times New Roman" w:hAnsi="Times New Roman" w:cs="Times New Roman"/>
          <w:b/>
          <w:bCs/>
          <w:sz w:val="24"/>
          <w:szCs w:val="24"/>
        </w:rPr>
        <w:t>NKOS KONSULTACIJOS KLAUSIMYNAS</w:t>
      </w:r>
    </w:p>
    <w:p w14:paraId="5F560C3C" w14:textId="77777777" w:rsidR="00C261EE" w:rsidRPr="0025584A" w:rsidRDefault="00C261EE" w:rsidP="002212CD">
      <w:pPr>
        <w:spacing w:after="0" w:line="240" w:lineRule="auto"/>
        <w:jc w:val="both"/>
        <w:rPr>
          <w:rFonts w:ascii="Times New Roman" w:hAnsi="Times New Roman" w:cs="Times New Roman"/>
          <w:b/>
          <w:sz w:val="24"/>
          <w:szCs w:val="24"/>
        </w:rPr>
      </w:pPr>
    </w:p>
    <w:p w14:paraId="38363B87" w14:textId="3B583A34" w:rsidR="00A92ED1" w:rsidRPr="0025584A" w:rsidRDefault="00234A05" w:rsidP="00AC36E9">
      <w:pPr>
        <w:spacing w:after="0" w:line="240" w:lineRule="auto"/>
        <w:jc w:val="both"/>
        <w:rPr>
          <w:rFonts w:ascii="Times New Roman" w:hAnsi="Times New Roman" w:cs="Times New Roman"/>
          <w:sz w:val="24"/>
          <w:szCs w:val="24"/>
        </w:rPr>
      </w:pPr>
      <w:r w:rsidRPr="0025584A">
        <w:rPr>
          <w:rFonts w:ascii="Times New Roman" w:hAnsi="Times New Roman" w:cs="Times New Roman"/>
          <w:sz w:val="24"/>
          <w:szCs w:val="24"/>
        </w:rPr>
        <w:t>Pirkimo objektas</w:t>
      </w:r>
      <w:r w:rsidR="00F30374" w:rsidRPr="0025584A">
        <w:rPr>
          <w:rFonts w:ascii="Times New Roman" w:hAnsi="Times New Roman" w:cs="Times New Roman"/>
          <w:sz w:val="24"/>
          <w:szCs w:val="24"/>
        </w:rPr>
        <w:t xml:space="preserve"> </w:t>
      </w:r>
      <w:r w:rsidRPr="0025584A">
        <w:rPr>
          <w:rFonts w:ascii="Times New Roman" w:hAnsi="Times New Roman" w:cs="Times New Roman"/>
          <w:sz w:val="24"/>
          <w:szCs w:val="24"/>
        </w:rPr>
        <w:t>–</w:t>
      </w:r>
      <w:r w:rsidR="00F30374" w:rsidRPr="0025584A">
        <w:rPr>
          <w:rFonts w:ascii="Times New Roman" w:hAnsi="Times New Roman" w:cs="Times New Roman"/>
          <w:sz w:val="24"/>
          <w:szCs w:val="24"/>
        </w:rPr>
        <w:t xml:space="preserve"> </w:t>
      </w:r>
      <w:bookmarkStart w:id="0" w:name="_Hlk193956665"/>
      <w:r w:rsidR="002A5571" w:rsidRPr="0025584A">
        <w:rPr>
          <w:rFonts w:ascii="Times New Roman" w:hAnsi="Times New Roman" w:cs="Times New Roman"/>
          <w:sz w:val="24"/>
          <w:szCs w:val="24"/>
        </w:rPr>
        <w:t>Analitinės studijos „</w:t>
      </w:r>
      <w:r w:rsidR="00E70AB3" w:rsidRPr="0025584A">
        <w:rPr>
          <w:rFonts w:ascii="Times New Roman" w:hAnsi="Times New Roman" w:cs="Times New Roman"/>
          <w:sz w:val="24"/>
          <w:szCs w:val="24"/>
        </w:rPr>
        <w:t>A</w:t>
      </w:r>
      <w:r w:rsidR="002A5571" w:rsidRPr="0025584A">
        <w:rPr>
          <w:rFonts w:ascii="Times New Roman" w:hAnsi="Times New Roman" w:cs="Times New Roman"/>
          <w:sz w:val="24"/>
          <w:szCs w:val="24"/>
        </w:rPr>
        <w:t>nalizė skirta nacionalinei skaitmeninės plėtros darbotvarkei parengti“  parengimo paslaugos</w:t>
      </w:r>
      <w:r w:rsidR="007F6EDD">
        <w:rPr>
          <w:rFonts w:ascii="Times New Roman" w:hAnsi="Times New Roman" w:cs="Times New Roman"/>
          <w:sz w:val="24"/>
          <w:szCs w:val="24"/>
        </w:rPr>
        <w:t xml:space="preserve"> (CVP IS ID </w:t>
      </w:r>
      <w:r w:rsidR="007F6EDD" w:rsidRPr="007F6EDD">
        <w:rPr>
          <w:rFonts w:ascii="Times New Roman" w:hAnsi="Times New Roman" w:cs="Times New Roman"/>
          <w:sz w:val="24"/>
          <w:szCs w:val="24"/>
        </w:rPr>
        <w:t>1918126</w:t>
      </w:r>
      <w:r w:rsidR="007F6EDD">
        <w:rPr>
          <w:rFonts w:ascii="Times New Roman" w:hAnsi="Times New Roman" w:cs="Times New Roman"/>
          <w:sz w:val="24"/>
          <w:szCs w:val="24"/>
        </w:rPr>
        <w:t xml:space="preserve">) </w:t>
      </w:r>
      <w:bookmarkStart w:id="1" w:name="_Hlk204180471"/>
      <w:r w:rsidR="007F6EDD" w:rsidRPr="007F6EDD">
        <w:fldChar w:fldCharType="begin"/>
      </w:r>
      <w:r w:rsidR="007F6EDD" w:rsidRPr="007F6EDD">
        <w:instrText>HYPERLINK "https://viesiejipirkimai.lt/epps/pmc/viewPmc.do?resourceId=1918126"</w:instrText>
      </w:r>
      <w:r w:rsidR="007F6EDD" w:rsidRPr="007F6EDD">
        <w:fldChar w:fldCharType="separate"/>
      </w:r>
      <w:proofErr w:type="spellStart"/>
      <w:r w:rsidR="007F6EDD" w:rsidRPr="007F6EDD">
        <w:rPr>
          <w:color w:val="0000FF"/>
          <w:u w:val="single"/>
        </w:rPr>
        <w:t>European</w:t>
      </w:r>
      <w:proofErr w:type="spellEnd"/>
      <w:r w:rsidR="007F6EDD" w:rsidRPr="007F6EDD">
        <w:rPr>
          <w:color w:val="0000FF"/>
          <w:u w:val="single"/>
        </w:rPr>
        <w:t xml:space="preserve"> Dynamics - Peržiūrėti rinkos konsultaciją</w:t>
      </w:r>
      <w:r w:rsidR="007F6EDD" w:rsidRPr="007F6EDD">
        <w:fldChar w:fldCharType="end"/>
      </w:r>
      <w:bookmarkEnd w:id="1"/>
    </w:p>
    <w:bookmarkEnd w:id="0"/>
    <w:p w14:paraId="5501C20C" w14:textId="77777777" w:rsidR="003605BD" w:rsidRPr="0025584A" w:rsidRDefault="003605BD" w:rsidP="00F40C50">
      <w:pPr>
        <w:spacing w:after="0" w:line="240" w:lineRule="auto"/>
        <w:rPr>
          <w:rFonts w:ascii="Times New Roman" w:hAnsi="Times New Roman" w:cs="Times New Roman"/>
          <w:sz w:val="24"/>
          <w:szCs w:val="24"/>
        </w:rPr>
      </w:pPr>
    </w:p>
    <w:p w14:paraId="2032C795" w14:textId="1D4BB414" w:rsidR="007E1646" w:rsidRPr="0025584A" w:rsidRDefault="007E1646" w:rsidP="007E1646">
      <w:pPr>
        <w:rPr>
          <w:rFonts w:ascii="Times New Roman" w:hAnsi="Times New Roman" w:cs="Times New Roman"/>
          <w:b/>
          <w:sz w:val="24"/>
          <w:szCs w:val="24"/>
        </w:rPr>
      </w:pPr>
      <w:r w:rsidRPr="0025584A">
        <w:rPr>
          <w:rFonts w:ascii="Times New Roman" w:hAnsi="Times New Roman" w:cs="Times New Roman"/>
          <w:b/>
          <w:sz w:val="24"/>
          <w:szCs w:val="24"/>
        </w:rPr>
        <w:t>Prašome atsakyti į šiuos klausimus:</w:t>
      </w:r>
    </w:p>
    <w:tbl>
      <w:tblPr>
        <w:tblStyle w:val="TableGrid"/>
        <w:tblW w:w="14029" w:type="dxa"/>
        <w:tblLayout w:type="fixed"/>
        <w:tblLook w:val="04A0" w:firstRow="1" w:lastRow="0" w:firstColumn="1" w:lastColumn="0" w:noHBand="0" w:noVBand="1"/>
      </w:tblPr>
      <w:tblGrid>
        <w:gridCol w:w="562"/>
        <w:gridCol w:w="4536"/>
        <w:gridCol w:w="4252"/>
        <w:gridCol w:w="4679"/>
      </w:tblGrid>
      <w:tr w:rsidR="00A37AD8" w:rsidRPr="0025584A" w14:paraId="5A54E0ED" w14:textId="3A9285AD" w:rsidTr="008D4E0B">
        <w:trPr>
          <w:tblHeader/>
        </w:trPr>
        <w:tc>
          <w:tcPr>
            <w:tcW w:w="562" w:type="dxa"/>
            <w:shd w:val="clear" w:color="auto" w:fill="C6D9F1" w:themeFill="text2" w:themeFillTint="33"/>
            <w:vAlign w:val="center"/>
          </w:tcPr>
          <w:p w14:paraId="571F6ABB" w14:textId="77777777" w:rsidR="00A37AD8" w:rsidRPr="0025584A" w:rsidRDefault="00A37AD8" w:rsidP="0014356A">
            <w:pPr>
              <w:jc w:val="center"/>
              <w:rPr>
                <w:rFonts w:ascii="Times New Roman" w:hAnsi="Times New Roman" w:cs="Times New Roman"/>
                <w:b/>
                <w:bCs/>
              </w:rPr>
            </w:pPr>
            <w:r w:rsidRPr="0025584A">
              <w:rPr>
                <w:rFonts w:ascii="Times New Roman" w:hAnsi="Times New Roman" w:cs="Times New Roman"/>
                <w:b/>
                <w:bCs/>
              </w:rPr>
              <w:t>Eil. Nr.</w:t>
            </w:r>
          </w:p>
        </w:tc>
        <w:tc>
          <w:tcPr>
            <w:tcW w:w="4536" w:type="dxa"/>
            <w:shd w:val="clear" w:color="auto" w:fill="C6D9F1" w:themeFill="text2" w:themeFillTint="33"/>
            <w:vAlign w:val="center"/>
          </w:tcPr>
          <w:p w14:paraId="6B4E6C56" w14:textId="77777777" w:rsidR="00A37AD8" w:rsidRPr="0025584A" w:rsidRDefault="00A37AD8" w:rsidP="003A4F44">
            <w:pPr>
              <w:jc w:val="center"/>
              <w:rPr>
                <w:rFonts w:ascii="Times New Roman" w:hAnsi="Times New Roman" w:cs="Times New Roman"/>
                <w:b/>
                <w:bCs/>
              </w:rPr>
            </w:pPr>
            <w:r w:rsidRPr="0025584A">
              <w:rPr>
                <w:rFonts w:ascii="Times New Roman" w:hAnsi="Times New Roman" w:cs="Times New Roman"/>
                <w:b/>
                <w:bCs/>
              </w:rPr>
              <w:t>Klausimas</w:t>
            </w:r>
          </w:p>
        </w:tc>
        <w:tc>
          <w:tcPr>
            <w:tcW w:w="4252" w:type="dxa"/>
            <w:shd w:val="clear" w:color="auto" w:fill="C6D9F1" w:themeFill="text2" w:themeFillTint="33"/>
            <w:vAlign w:val="center"/>
          </w:tcPr>
          <w:p w14:paraId="3A9F085E" w14:textId="77777777" w:rsidR="00A37AD8" w:rsidRPr="0025584A" w:rsidRDefault="00A37AD8" w:rsidP="00FD3C92">
            <w:pPr>
              <w:jc w:val="center"/>
              <w:rPr>
                <w:rFonts w:ascii="Times New Roman" w:hAnsi="Times New Roman" w:cs="Times New Roman"/>
                <w:b/>
                <w:bCs/>
              </w:rPr>
            </w:pPr>
            <w:r w:rsidRPr="0025584A">
              <w:rPr>
                <w:rFonts w:ascii="Times New Roman" w:hAnsi="Times New Roman" w:cs="Times New Roman"/>
                <w:b/>
                <w:bCs/>
              </w:rPr>
              <w:t>Tiekėjo atsakymas</w:t>
            </w:r>
          </w:p>
        </w:tc>
        <w:tc>
          <w:tcPr>
            <w:tcW w:w="4679" w:type="dxa"/>
            <w:shd w:val="clear" w:color="auto" w:fill="C6D9F1" w:themeFill="text2" w:themeFillTint="33"/>
          </w:tcPr>
          <w:p w14:paraId="221F0CF9" w14:textId="0068CDCF" w:rsidR="00A37AD8" w:rsidRPr="0025584A" w:rsidRDefault="00425229" w:rsidP="00FD3C92">
            <w:pPr>
              <w:jc w:val="center"/>
              <w:rPr>
                <w:rFonts w:ascii="Times New Roman" w:hAnsi="Times New Roman" w:cs="Times New Roman"/>
                <w:b/>
                <w:bCs/>
              </w:rPr>
            </w:pPr>
            <w:r>
              <w:rPr>
                <w:rFonts w:ascii="Times New Roman" w:hAnsi="Times New Roman" w:cs="Times New Roman"/>
                <w:b/>
                <w:bCs/>
              </w:rPr>
              <w:t>Ekonomikos ir inova</w:t>
            </w:r>
            <w:r w:rsidR="001C71E6">
              <w:rPr>
                <w:rFonts w:ascii="Times New Roman" w:hAnsi="Times New Roman" w:cs="Times New Roman"/>
                <w:b/>
                <w:bCs/>
              </w:rPr>
              <w:t>cijų ministerijos kom</w:t>
            </w:r>
            <w:r w:rsidR="00C03FE7">
              <w:rPr>
                <w:rFonts w:ascii="Times New Roman" w:hAnsi="Times New Roman" w:cs="Times New Roman"/>
                <w:b/>
                <w:bCs/>
              </w:rPr>
              <w:t>entaras</w:t>
            </w:r>
          </w:p>
        </w:tc>
      </w:tr>
      <w:tr w:rsidR="009E71BB" w:rsidRPr="0025584A" w14:paraId="39753498" w14:textId="39B9650B" w:rsidTr="008D4E0B">
        <w:trPr>
          <w:trHeight w:val="414"/>
        </w:trPr>
        <w:tc>
          <w:tcPr>
            <w:tcW w:w="562" w:type="dxa"/>
            <w:vMerge w:val="restart"/>
          </w:tcPr>
          <w:p w14:paraId="0545D446" w14:textId="2B4CA15A" w:rsidR="009E71BB" w:rsidRPr="0025584A" w:rsidRDefault="009E71BB" w:rsidP="000D7BDE">
            <w:pPr>
              <w:pStyle w:val="ListParagraph"/>
              <w:numPr>
                <w:ilvl w:val="0"/>
                <w:numId w:val="14"/>
              </w:numPr>
              <w:jc w:val="center"/>
              <w:rPr>
                <w:bCs/>
                <w:szCs w:val="24"/>
              </w:rPr>
            </w:pPr>
          </w:p>
        </w:tc>
        <w:tc>
          <w:tcPr>
            <w:tcW w:w="4536" w:type="dxa"/>
            <w:vMerge w:val="restart"/>
            <w:shd w:val="clear" w:color="auto" w:fill="EAF1DD" w:themeFill="accent3" w:themeFillTint="33"/>
          </w:tcPr>
          <w:p w14:paraId="3E4A9A07" w14:textId="525F68D7" w:rsidR="009E71BB" w:rsidRPr="0025584A" w:rsidRDefault="009E71BB" w:rsidP="000D7BDE">
            <w:pPr>
              <w:jc w:val="both"/>
              <w:rPr>
                <w:rFonts w:ascii="Times New Roman" w:hAnsi="Times New Roman" w:cs="Times New Roman"/>
                <w:bCs/>
                <w:sz w:val="24"/>
                <w:szCs w:val="24"/>
              </w:rPr>
            </w:pPr>
            <w:r w:rsidRPr="0025584A">
              <w:rPr>
                <w:rFonts w:ascii="Times New Roman" w:eastAsia="Times New Roman" w:hAnsi="Times New Roman" w:cs="Times New Roman"/>
                <w:sz w:val="24"/>
                <w:szCs w:val="24"/>
              </w:rPr>
              <w:t xml:space="preserve">Ar teiktumėte pasiūlymą dėl šio pirkimo objekto? </w:t>
            </w:r>
            <w:r w:rsidRPr="0025584A">
              <w:rPr>
                <w:rFonts w:ascii="Times New Roman" w:eastAsia="Times New Roman" w:hAnsi="Times New Roman" w:cs="Times New Roman"/>
                <w:i/>
                <w:iCs/>
                <w:sz w:val="24"/>
                <w:szCs w:val="24"/>
              </w:rPr>
              <w:t>(jei ne, prašome nurodyti priežastis)</w:t>
            </w:r>
          </w:p>
        </w:tc>
        <w:tc>
          <w:tcPr>
            <w:tcW w:w="4252" w:type="dxa"/>
          </w:tcPr>
          <w:p w14:paraId="4F03CA25" w14:textId="1FB71BD2" w:rsidR="009E71BB" w:rsidRPr="0025584A" w:rsidRDefault="009E71BB" w:rsidP="000D7BDE">
            <w:pPr>
              <w:rPr>
                <w:rFonts w:ascii="Times New Roman" w:hAnsi="Times New Roman" w:cs="Times New Roman"/>
                <w:bCs/>
                <w:sz w:val="24"/>
                <w:szCs w:val="24"/>
              </w:rPr>
            </w:pPr>
            <w:r w:rsidRPr="0025584A">
              <w:rPr>
                <w:rFonts w:ascii="Times New Roman" w:hAnsi="Times New Roman" w:cs="Times New Roman"/>
                <w:bCs/>
                <w:sz w:val="24"/>
                <w:szCs w:val="24"/>
              </w:rPr>
              <w:t xml:space="preserve">Taip </w:t>
            </w:r>
          </w:p>
        </w:tc>
        <w:tc>
          <w:tcPr>
            <w:tcW w:w="4679" w:type="dxa"/>
            <w:vMerge w:val="restart"/>
          </w:tcPr>
          <w:p w14:paraId="1866279F" w14:textId="65319CDA" w:rsidR="009E71BB" w:rsidRPr="0025584A" w:rsidRDefault="00867C88" w:rsidP="00867C88">
            <w:pPr>
              <w:jc w:val="both"/>
              <w:rPr>
                <w:rFonts w:ascii="Times New Roman" w:hAnsi="Times New Roman" w:cs="Times New Roman"/>
                <w:bCs/>
                <w:sz w:val="24"/>
                <w:szCs w:val="24"/>
              </w:rPr>
            </w:pPr>
            <w:r>
              <w:rPr>
                <w:rFonts w:ascii="Times New Roman" w:hAnsi="Times New Roman" w:cs="Times New Roman"/>
                <w:bCs/>
                <w:sz w:val="24"/>
                <w:szCs w:val="24"/>
              </w:rPr>
              <w:t xml:space="preserve">Techninė specifikacija ir ekspertų kvalifikaciniai reikalavimai buvo patikslinti </w:t>
            </w:r>
            <w:r w:rsidR="008933E3">
              <w:rPr>
                <w:rFonts w:ascii="Times New Roman" w:hAnsi="Times New Roman" w:cs="Times New Roman"/>
                <w:bCs/>
                <w:sz w:val="24"/>
                <w:szCs w:val="24"/>
              </w:rPr>
              <w:t>įvertinus</w:t>
            </w:r>
            <w:r>
              <w:rPr>
                <w:rFonts w:ascii="Times New Roman" w:hAnsi="Times New Roman" w:cs="Times New Roman"/>
                <w:bCs/>
                <w:sz w:val="24"/>
                <w:szCs w:val="24"/>
              </w:rPr>
              <w:t xml:space="preserve"> konkrečius teikėjų pasiūlymus</w:t>
            </w:r>
          </w:p>
        </w:tc>
      </w:tr>
      <w:tr w:rsidR="009E71BB" w:rsidRPr="0025584A" w14:paraId="40514C9C" w14:textId="77777777" w:rsidTr="008D4E0B">
        <w:trPr>
          <w:trHeight w:val="414"/>
        </w:trPr>
        <w:tc>
          <w:tcPr>
            <w:tcW w:w="562" w:type="dxa"/>
            <w:vMerge/>
          </w:tcPr>
          <w:p w14:paraId="295E0C12" w14:textId="77777777" w:rsidR="009E71BB" w:rsidRPr="0025584A" w:rsidRDefault="009E71BB" w:rsidP="000D7BDE">
            <w:pPr>
              <w:pStyle w:val="ListParagraph"/>
              <w:numPr>
                <w:ilvl w:val="0"/>
                <w:numId w:val="14"/>
              </w:numPr>
              <w:jc w:val="center"/>
              <w:rPr>
                <w:bCs/>
                <w:szCs w:val="24"/>
              </w:rPr>
            </w:pPr>
          </w:p>
        </w:tc>
        <w:tc>
          <w:tcPr>
            <w:tcW w:w="4536" w:type="dxa"/>
            <w:vMerge/>
            <w:shd w:val="clear" w:color="auto" w:fill="EAF1DD" w:themeFill="accent3" w:themeFillTint="33"/>
          </w:tcPr>
          <w:p w14:paraId="1801D067" w14:textId="77777777" w:rsidR="009E71BB" w:rsidRPr="0025584A" w:rsidRDefault="009E71BB" w:rsidP="000D7BDE">
            <w:pPr>
              <w:jc w:val="both"/>
              <w:rPr>
                <w:rFonts w:ascii="Times New Roman" w:eastAsia="Times New Roman" w:hAnsi="Times New Roman" w:cs="Times New Roman"/>
                <w:sz w:val="24"/>
                <w:szCs w:val="24"/>
              </w:rPr>
            </w:pPr>
          </w:p>
        </w:tc>
        <w:tc>
          <w:tcPr>
            <w:tcW w:w="4252" w:type="dxa"/>
          </w:tcPr>
          <w:p w14:paraId="18A4CC4C" w14:textId="39B2AF82" w:rsidR="009E71BB" w:rsidRPr="0025584A" w:rsidRDefault="009E71BB" w:rsidP="00EF1E7C">
            <w:pPr>
              <w:jc w:val="both"/>
              <w:rPr>
                <w:rFonts w:ascii="Times New Roman" w:hAnsi="Times New Roman" w:cs="Times New Roman"/>
                <w:bCs/>
                <w:sz w:val="24"/>
                <w:szCs w:val="24"/>
              </w:rPr>
            </w:pPr>
            <w:r>
              <w:rPr>
                <w:rFonts w:ascii="Times New Roman" w:hAnsi="Times New Roman" w:cs="Times New Roman"/>
                <w:bCs/>
                <w:sz w:val="24"/>
                <w:szCs w:val="24"/>
              </w:rPr>
              <w:t>Taip, tačiau reikėtų atlikti techninės specifikacijos ir ekspertų kvalifikacijos reikalavimų tinkinimo veiklas. Taip pat, būtų pravartu jei PO suteiktų informacijos apie suplanuotą pirkimo biudžetą.</w:t>
            </w:r>
          </w:p>
        </w:tc>
        <w:tc>
          <w:tcPr>
            <w:tcW w:w="4679" w:type="dxa"/>
            <w:vMerge/>
          </w:tcPr>
          <w:p w14:paraId="053E4107" w14:textId="77777777" w:rsidR="009E71BB" w:rsidRPr="0025584A" w:rsidRDefault="009E71BB" w:rsidP="000D7BDE">
            <w:pPr>
              <w:rPr>
                <w:rFonts w:ascii="Times New Roman" w:hAnsi="Times New Roman" w:cs="Times New Roman"/>
                <w:bCs/>
                <w:sz w:val="24"/>
                <w:szCs w:val="24"/>
              </w:rPr>
            </w:pPr>
          </w:p>
        </w:tc>
      </w:tr>
      <w:tr w:rsidR="00B57899" w:rsidRPr="0025584A" w14:paraId="049047F5" w14:textId="590AD6D7" w:rsidTr="008D4E0B">
        <w:trPr>
          <w:trHeight w:val="414"/>
        </w:trPr>
        <w:tc>
          <w:tcPr>
            <w:tcW w:w="562" w:type="dxa"/>
            <w:vMerge w:val="restart"/>
          </w:tcPr>
          <w:p w14:paraId="40FDE63E" w14:textId="43B07951" w:rsidR="00B57899" w:rsidRPr="0025584A" w:rsidRDefault="00B57899" w:rsidP="00862817">
            <w:pPr>
              <w:pStyle w:val="ListParagraph"/>
              <w:numPr>
                <w:ilvl w:val="0"/>
                <w:numId w:val="14"/>
              </w:numPr>
              <w:jc w:val="center"/>
              <w:rPr>
                <w:bCs/>
                <w:szCs w:val="24"/>
              </w:rPr>
            </w:pPr>
          </w:p>
        </w:tc>
        <w:tc>
          <w:tcPr>
            <w:tcW w:w="4536" w:type="dxa"/>
            <w:vMerge w:val="restart"/>
            <w:shd w:val="clear" w:color="auto" w:fill="EAF1DD" w:themeFill="accent3" w:themeFillTint="33"/>
          </w:tcPr>
          <w:p w14:paraId="6776BB6D" w14:textId="3B8E4193" w:rsidR="00B57899" w:rsidRPr="0025584A" w:rsidRDefault="00B57899" w:rsidP="00862817">
            <w:pPr>
              <w:jc w:val="both"/>
              <w:rPr>
                <w:rFonts w:ascii="Times New Roman" w:hAnsi="Times New Roman" w:cs="Times New Roman"/>
                <w:bCs/>
                <w:sz w:val="24"/>
                <w:szCs w:val="24"/>
              </w:rPr>
            </w:pPr>
            <w:r w:rsidRPr="0025584A">
              <w:rPr>
                <w:rFonts w:ascii="Times New Roman" w:eastAsia="Times New Roman" w:hAnsi="Times New Roman" w:cs="Times New Roman"/>
                <w:sz w:val="24"/>
                <w:szCs w:val="24"/>
                <w:lang w:eastAsia="lt-LT"/>
              </w:rPr>
              <w:t xml:space="preserve">Ar preliminarioje techninėje specifikacijoje (toliau – techninė specifikacija) nurodytas pirkimo objektas yra aiškus? </w:t>
            </w:r>
            <w:r w:rsidRPr="0025584A">
              <w:rPr>
                <w:rFonts w:ascii="Times New Roman" w:eastAsia="Times New Roman" w:hAnsi="Times New Roman" w:cs="Times New Roman"/>
                <w:i/>
                <w:iCs/>
                <w:sz w:val="24"/>
                <w:szCs w:val="24"/>
                <w:lang w:eastAsia="lt-LT"/>
              </w:rPr>
              <w:t>(jei ne, prašome nurodyti, kas neaišku ir ką turėtumėme patikslinti)</w:t>
            </w:r>
          </w:p>
        </w:tc>
        <w:tc>
          <w:tcPr>
            <w:tcW w:w="4252" w:type="dxa"/>
          </w:tcPr>
          <w:p w14:paraId="51013BCF" w14:textId="111A4389" w:rsidR="00B57899" w:rsidRPr="0025584A" w:rsidRDefault="00B57899" w:rsidP="00862817">
            <w:pPr>
              <w:rPr>
                <w:rFonts w:ascii="Times New Roman" w:hAnsi="Times New Roman" w:cs="Times New Roman"/>
                <w:bCs/>
                <w:sz w:val="24"/>
                <w:szCs w:val="24"/>
              </w:rPr>
            </w:pPr>
            <w:r w:rsidRPr="0025584A">
              <w:rPr>
                <w:rFonts w:ascii="Times New Roman" w:hAnsi="Times New Roman" w:cs="Times New Roman"/>
                <w:bCs/>
                <w:sz w:val="24"/>
                <w:szCs w:val="24"/>
              </w:rPr>
              <w:t>Taip</w:t>
            </w:r>
          </w:p>
        </w:tc>
        <w:tc>
          <w:tcPr>
            <w:tcW w:w="4679" w:type="dxa"/>
            <w:vMerge w:val="restart"/>
          </w:tcPr>
          <w:p w14:paraId="0FE0CD07" w14:textId="3EA58A61" w:rsidR="00B57899" w:rsidRPr="0025584A" w:rsidRDefault="00B57899" w:rsidP="009E71BB">
            <w:pPr>
              <w:jc w:val="both"/>
              <w:rPr>
                <w:rFonts w:ascii="Times New Roman" w:hAnsi="Times New Roman" w:cs="Times New Roman"/>
                <w:bCs/>
                <w:sz w:val="24"/>
                <w:szCs w:val="24"/>
              </w:rPr>
            </w:pPr>
            <w:r>
              <w:rPr>
                <w:rFonts w:ascii="Times New Roman" w:hAnsi="Times New Roman" w:cs="Times New Roman"/>
                <w:bCs/>
                <w:sz w:val="24"/>
                <w:szCs w:val="24"/>
              </w:rPr>
              <w:t>Siekiant aiškumo techninė specifikacija buvo patikslinta nurodant, kad techninės specifikacijos uždaviniai ir klausimai taikomi visoms 1.3 papunktyje nurodytoms skaitmeninės plėtros sritims. Visoms 1.3 papunktyje nurodytoms skaitmeninės plėtros sritims teikiamas vienodas prioritetas.</w:t>
            </w:r>
          </w:p>
        </w:tc>
      </w:tr>
      <w:tr w:rsidR="00B57899" w:rsidRPr="0025584A" w14:paraId="377A48FC" w14:textId="77777777" w:rsidTr="008D4E0B">
        <w:trPr>
          <w:trHeight w:val="414"/>
        </w:trPr>
        <w:tc>
          <w:tcPr>
            <w:tcW w:w="562" w:type="dxa"/>
            <w:vMerge/>
          </w:tcPr>
          <w:p w14:paraId="2B586721" w14:textId="77777777" w:rsidR="00B57899" w:rsidRPr="0025584A" w:rsidRDefault="00B57899" w:rsidP="00862817">
            <w:pPr>
              <w:pStyle w:val="ListParagraph"/>
              <w:numPr>
                <w:ilvl w:val="0"/>
                <w:numId w:val="14"/>
              </w:numPr>
              <w:jc w:val="center"/>
              <w:rPr>
                <w:bCs/>
                <w:szCs w:val="24"/>
              </w:rPr>
            </w:pPr>
          </w:p>
        </w:tc>
        <w:tc>
          <w:tcPr>
            <w:tcW w:w="4536" w:type="dxa"/>
            <w:vMerge/>
            <w:shd w:val="clear" w:color="auto" w:fill="EAF1DD" w:themeFill="accent3" w:themeFillTint="33"/>
          </w:tcPr>
          <w:p w14:paraId="79792956" w14:textId="77777777" w:rsidR="00B57899" w:rsidRPr="0025584A" w:rsidRDefault="00B57899" w:rsidP="00862817">
            <w:pPr>
              <w:jc w:val="both"/>
              <w:rPr>
                <w:rFonts w:ascii="Times New Roman" w:eastAsia="Times New Roman" w:hAnsi="Times New Roman" w:cs="Times New Roman"/>
                <w:sz w:val="24"/>
                <w:szCs w:val="24"/>
                <w:lang w:eastAsia="lt-LT"/>
              </w:rPr>
            </w:pPr>
          </w:p>
        </w:tc>
        <w:tc>
          <w:tcPr>
            <w:tcW w:w="4252" w:type="dxa"/>
          </w:tcPr>
          <w:p w14:paraId="3833CBF8" w14:textId="69BA387F" w:rsidR="00B57899" w:rsidRPr="0025584A" w:rsidRDefault="00B57899" w:rsidP="009E71BB">
            <w:pPr>
              <w:jc w:val="both"/>
              <w:rPr>
                <w:rFonts w:ascii="Times New Roman" w:hAnsi="Times New Roman" w:cs="Times New Roman"/>
                <w:bCs/>
                <w:sz w:val="24"/>
                <w:szCs w:val="24"/>
              </w:rPr>
            </w:pPr>
            <w:r w:rsidRPr="6AB98038">
              <w:rPr>
                <w:rFonts w:ascii="Times New Roman" w:hAnsi="Times New Roman" w:cs="Times New Roman"/>
                <w:sz w:val="24"/>
                <w:szCs w:val="24"/>
              </w:rPr>
              <w:t>Techninėje specifikacijoje įvardintas objektas yra aiškus, tačiau jo specifikavimas studijos uždaviniais ir klausimais gali būti pakankamai plačiai interpretuojamas. Reikėtų nurodyti ar techninės specifikacijos uždaviniai ir klausimai taiko</w:t>
            </w:r>
            <w:r>
              <w:rPr>
                <w:rFonts w:ascii="Times New Roman" w:hAnsi="Times New Roman" w:cs="Times New Roman"/>
                <w:sz w:val="24"/>
                <w:szCs w:val="24"/>
              </w:rPr>
              <w:t>mi</w:t>
            </w:r>
            <w:r w:rsidRPr="6AB98038">
              <w:rPr>
                <w:rFonts w:ascii="Times New Roman" w:hAnsi="Times New Roman" w:cs="Times New Roman"/>
                <w:sz w:val="24"/>
                <w:szCs w:val="24"/>
              </w:rPr>
              <w:t xml:space="preserve"> visoms 1.3. punkte įvardintos skaitmeninės plėtros sritims t. y. ar yra imperatyvas atlikti studiją pagal visas sritis, ar sričių sąrašas yra baigtinis, ar yra skirtingas prioritetas atskirų sričių išpildymui. </w:t>
            </w:r>
          </w:p>
        </w:tc>
        <w:tc>
          <w:tcPr>
            <w:tcW w:w="4679" w:type="dxa"/>
            <w:vMerge/>
          </w:tcPr>
          <w:p w14:paraId="3624A929" w14:textId="287E30C7" w:rsidR="00B57899" w:rsidRPr="0025584A" w:rsidRDefault="00B57899" w:rsidP="00862817">
            <w:pPr>
              <w:rPr>
                <w:rFonts w:ascii="Times New Roman" w:hAnsi="Times New Roman" w:cs="Times New Roman"/>
                <w:bCs/>
                <w:sz w:val="24"/>
                <w:szCs w:val="24"/>
              </w:rPr>
            </w:pPr>
          </w:p>
        </w:tc>
      </w:tr>
      <w:tr w:rsidR="00F84831" w:rsidRPr="0025584A" w14:paraId="50C77BB8" w14:textId="03DC236C" w:rsidTr="008D4E0B">
        <w:trPr>
          <w:trHeight w:val="414"/>
        </w:trPr>
        <w:tc>
          <w:tcPr>
            <w:tcW w:w="562" w:type="dxa"/>
            <w:vMerge w:val="restart"/>
          </w:tcPr>
          <w:p w14:paraId="0C98243E" w14:textId="45824F96" w:rsidR="00F84831" w:rsidRPr="0025584A" w:rsidRDefault="00F84831" w:rsidP="00862817">
            <w:pPr>
              <w:pStyle w:val="ListParagraph"/>
              <w:numPr>
                <w:ilvl w:val="0"/>
                <w:numId w:val="14"/>
              </w:numPr>
              <w:jc w:val="center"/>
              <w:rPr>
                <w:bCs/>
                <w:szCs w:val="24"/>
              </w:rPr>
            </w:pPr>
          </w:p>
        </w:tc>
        <w:tc>
          <w:tcPr>
            <w:tcW w:w="4536" w:type="dxa"/>
            <w:vMerge w:val="restart"/>
            <w:shd w:val="clear" w:color="auto" w:fill="EAF1DD" w:themeFill="accent3" w:themeFillTint="33"/>
          </w:tcPr>
          <w:p w14:paraId="43B32016" w14:textId="7292696D" w:rsidR="00F84831" w:rsidRPr="0025584A" w:rsidRDefault="00F84831" w:rsidP="00BB4503">
            <w:pPr>
              <w:jc w:val="both"/>
              <w:rPr>
                <w:rFonts w:ascii="Times New Roman" w:hAnsi="Times New Roman" w:cs="Times New Roman"/>
                <w:bCs/>
                <w:sz w:val="24"/>
                <w:szCs w:val="24"/>
              </w:rPr>
            </w:pPr>
            <w:r w:rsidRPr="0025584A">
              <w:rPr>
                <w:rFonts w:ascii="Times New Roman" w:hAnsi="Times New Roman" w:cs="Times New Roman"/>
                <w:sz w:val="24"/>
                <w:szCs w:val="24"/>
              </w:rPr>
              <w:t xml:space="preserve">Ar techninė specifikacija pakankamai išsami, konkreti ir aiški, ar joje yra visa informacija, reikalinga tinkamam pasiūlymo parengimui bei deklaruojamų tikslų pasiekimui </w:t>
            </w:r>
            <w:r w:rsidRPr="0025584A">
              <w:rPr>
                <w:rFonts w:ascii="Times New Roman" w:eastAsia="Times New Roman" w:hAnsi="Times New Roman" w:cs="Times New Roman"/>
                <w:i/>
                <w:iCs/>
                <w:sz w:val="24"/>
                <w:szCs w:val="24"/>
              </w:rPr>
              <w:t>(jei ne, prašome pateikti argumentuotas pastabas, patikslinimus dėl konkrečių TS reikalavimų)</w:t>
            </w:r>
            <w:r w:rsidRPr="0025584A">
              <w:rPr>
                <w:rFonts w:ascii="Times New Roman" w:hAnsi="Times New Roman" w:cs="Times New Roman"/>
                <w:sz w:val="24"/>
                <w:szCs w:val="24"/>
              </w:rPr>
              <w:t xml:space="preserve">? </w:t>
            </w:r>
          </w:p>
        </w:tc>
        <w:tc>
          <w:tcPr>
            <w:tcW w:w="4252" w:type="dxa"/>
          </w:tcPr>
          <w:p w14:paraId="49E2C35C" w14:textId="6E840B30" w:rsidR="00F84831" w:rsidRPr="0025584A" w:rsidRDefault="00F84831" w:rsidP="00862817">
            <w:pPr>
              <w:rPr>
                <w:rFonts w:ascii="Times New Roman" w:hAnsi="Times New Roman" w:cs="Times New Roman"/>
                <w:bCs/>
                <w:sz w:val="24"/>
                <w:szCs w:val="24"/>
              </w:rPr>
            </w:pPr>
            <w:r w:rsidRPr="0025584A">
              <w:rPr>
                <w:rFonts w:ascii="Times New Roman" w:hAnsi="Times New Roman" w:cs="Times New Roman"/>
                <w:bCs/>
                <w:sz w:val="24"/>
                <w:szCs w:val="24"/>
              </w:rPr>
              <w:t>Taip</w:t>
            </w:r>
          </w:p>
        </w:tc>
        <w:tc>
          <w:tcPr>
            <w:tcW w:w="4679" w:type="dxa"/>
            <w:vMerge w:val="restart"/>
          </w:tcPr>
          <w:p w14:paraId="1F9A3E26" w14:textId="77777777" w:rsidR="00F84831" w:rsidRDefault="00B72389" w:rsidP="00862817">
            <w:pPr>
              <w:rPr>
                <w:rFonts w:ascii="Times New Roman" w:hAnsi="Times New Roman" w:cs="Times New Roman"/>
                <w:bCs/>
                <w:sz w:val="24"/>
                <w:szCs w:val="24"/>
              </w:rPr>
            </w:pPr>
            <w:r>
              <w:rPr>
                <w:rFonts w:ascii="Times New Roman" w:hAnsi="Times New Roman" w:cs="Times New Roman"/>
                <w:bCs/>
                <w:sz w:val="24"/>
                <w:szCs w:val="24"/>
              </w:rPr>
              <w:t>Teikiami komentarai dėl kiekvieno pateikto punkto:</w:t>
            </w:r>
          </w:p>
          <w:p w14:paraId="358C2C4D" w14:textId="77777777" w:rsidR="00B72389" w:rsidRDefault="00B72389" w:rsidP="00862817">
            <w:pPr>
              <w:rPr>
                <w:rFonts w:ascii="Times New Roman" w:hAnsi="Times New Roman" w:cs="Times New Roman"/>
                <w:bCs/>
                <w:sz w:val="24"/>
                <w:szCs w:val="24"/>
              </w:rPr>
            </w:pPr>
          </w:p>
          <w:p w14:paraId="6DFC77F4" w14:textId="77777777" w:rsidR="00B72389" w:rsidRDefault="00B72389" w:rsidP="00862817">
            <w:pPr>
              <w:rPr>
                <w:rFonts w:ascii="Times New Roman" w:hAnsi="Times New Roman" w:cs="Times New Roman"/>
                <w:bCs/>
                <w:sz w:val="24"/>
                <w:szCs w:val="24"/>
              </w:rPr>
            </w:pPr>
          </w:p>
          <w:p w14:paraId="0398FC3C" w14:textId="388B329D" w:rsidR="007931AB" w:rsidRPr="007931AB" w:rsidRDefault="008933E3" w:rsidP="00351540">
            <w:pPr>
              <w:jc w:val="both"/>
              <w:rPr>
                <w:rFonts w:ascii="Times New Roman" w:hAnsi="Times New Roman" w:cs="Times New Roman"/>
                <w:bCs/>
                <w:sz w:val="24"/>
                <w:szCs w:val="24"/>
              </w:rPr>
            </w:pPr>
            <w:r>
              <w:rPr>
                <w:rFonts w:ascii="Times New Roman" w:hAnsi="Times New Roman" w:cs="Times New Roman"/>
                <w:bCs/>
                <w:sz w:val="24"/>
                <w:szCs w:val="24"/>
              </w:rPr>
              <w:t xml:space="preserve">Į siūlymą bus atsižvelgta. </w:t>
            </w:r>
          </w:p>
          <w:p w14:paraId="7C2123C2" w14:textId="77777777" w:rsidR="00B72389" w:rsidRDefault="00B72389" w:rsidP="00862817">
            <w:pPr>
              <w:rPr>
                <w:rFonts w:ascii="Times New Roman" w:hAnsi="Times New Roman" w:cs="Times New Roman"/>
                <w:bCs/>
                <w:sz w:val="24"/>
                <w:szCs w:val="24"/>
              </w:rPr>
            </w:pPr>
          </w:p>
          <w:p w14:paraId="3359AAF1" w14:textId="55D95989" w:rsidR="008D4E0B" w:rsidRDefault="008933E3" w:rsidP="008D4E0B">
            <w:pPr>
              <w:jc w:val="both"/>
              <w:rPr>
                <w:rFonts w:ascii="Times New Roman" w:hAnsi="Times New Roman" w:cs="Times New Roman"/>
                <w:bCs/>
                <w:sz w:val="24"/>
                <w:szCs w:val="24"/>
              </w:rPr>
            </w:pPr>
            <w:r>
              <w:rPr>
                <w:rFonts w:ascii="Times New Roman" w:hAnsi="Times New Roman" w:cs="Times New Roman"/>
                <w:bCs/>
                <w:sz w:val="24"/>
                <w:szCs w:val="24"/>
              </w:rPr>
              <w:t xml:space="preserve">Į siūlymą bus atsižvelgta. </w:t>
            </w:r>
          </w:p>
          <w:p w14:paraId="6312FBFA" w14:textId="5179A2E6" w:rsidR="009970AD" w:rsidRDefault="009970AD" w:rsidP="008D4E0B">
            <w:pPr>
              <w:jc w:val="both"/>
              <w:rPr>
                <w:rFonts w:ascii="Times New Roman" w:hAnsi="Times New Roman" w:cs="Times New Roman"/>
                <w:bCs/>
                <w:sz w:val="24"/>
                <w:szCs w:val="24"/>
              </w:rPr>
            </w:pPr>
            <w:r>
              <w:rPr>
                <w:rFonts w:ascii="Times New Roman" w:hAnsi="Times New Roman" w:cs="Times New Roman"/>
                <w:bCs/>
                <w:sz w:val="24"/>
                <w:szCs w:val="24"/>
              </w:rPr>
              <w:t>Nekonkretus siūlymas. Skaitmeninė aplinka ir turėtų būti vertinama per tai kas šiuo metų daroma/ planuojama daryti viešajame sektoriuje skaitmeninės plėtros srityje pagal 1.3 papunktyje įvardytas skaitmeninės plėtros sritis.</w:t>
            </w:r>
          </w:p>
          <w:p w14:paraId="0F639178" w14:textId="77777777" w:rsidR="008D4E0B" w:rsidRDefault="007F6CE4" w:rsidP="008D4E0B">
            <w:pPr>
              <w:jc w:val="both"/>
              <w:rPr>
                <w:rFonts w:ascii="Times New Roman" w:hAnsi="Times New Roman" w:cs="Times New Roman"/>
                <w:bCs/>
                <w:sz w:val="24"/>
                <w:szCs w:val="24"/>
              </w:rPr>
            </w:pPr>
            <w:r>
              <w:rPr>
                <w:rFonts w:ascii="Times New Roman" w:hAnsi="Times New Roman" w:cs="Times New Roman"/>
                <w:bCs/>
                <w:sz w:val="24"/>
                <w:szCs w:val="24"/>
              </w:rPr>
              <w:t>Ne. Reikia atlikti aplinkos analizę ir parengti siūlymus atsižvelgiantį aplinkos analizės rezultatus. Studijos rezultatai bus naudojami rengiant Nacionalinę skaitmeninės plėtros darbotvarkę.</w:t>
            </w:r>
            <w:r w:rsidR="009970AD">
              <w:rPr>
                <w:rFonts w:ascii="Times New Roman" w:hAnsi="Times New Roman" w:cs="Times New Roman"/>
                <w:bCs/>
                <w:sz w:val="24"/>
                <w:szCs w:val="24"/>
              </w:rPr>
              <w:t xml:space="preserve"> </w:t>
            </w:r>
          </w:p>
          <w:p w14:paraId="7715DB58" w14:textId="77777777" w:rsidR="00271FF7" w:rsidRDefault="00271FF7" w:rsidP="008D4E0B">
            <w:pPr>
              <w:jc w:val="both"/>
              <w:rPr>
                <w:rFonts w:ascii="Times New Roman" w:hAnsi="Times New Roman" w:cs="Times New Roman"/>
                <w:bCs/>
                <w:sz w:val="24"/>
                <w:szCs w:val="24"/>
              </w:rPr>
            </w:pPr>
          </w:p>
          <w:p w14:paraId="6B6BB393" w14:textId="3610EBFA" w:rsidR="00271FF7" w:rsidRDefault="00271FF7" w:rsidP="008D4E0B">
            <w:pPr>
              <w:jc w:val="both"/>
              <w:rPr>
                <w:rFonts w:ascii="Times New Roman" w:hAnsi="Times New Roman" w:cs="Times New Roman"/>
                <w:bCs/>
                <w:sz w:val="24"/>
                <w:szCs w:val="24"/>
              </w:rPr>
            </w:pPr>
            <w:r w:rsidRPr="00271FF7">
              <w:rPr>
                <w:rFonts w:ascii="Times New Roman" w:hAnsi="Times New Roman" w:cs="Times New Roman"/>
                <w:bCs/>
                <w:sz w:val="24"/>
                <w:szCs w:val="24"/>
              </w:rPr>
              <w:t>Pasiūlymai turėtų būti teikiami atsižvelgiant į aplinkos analizės vertinimą ir jau esamą šalies įsitraukimą į tarpvalstybinius projektus</w:t>
            </w:r>
            <w:r w:rsidR="00B45381">
              <w:rPr>
                <w:rFonts w:ascii="Times New Roman" w:hAnsi="Times New Roman" w:cs="Times New Roman"/>
                <w:bCs/>
                <w:sz w:val="24"/>
                <w:szCs w:val="24"/>
              </w:rPr>
              <w:t>.</w:t>
            </w:r>
            <w:r w:rsidR="00CC4D8F">
              <w:rPr>
                <w:rFonts w:ascii="Times New Roman" w:hAnsi="Times New Roman" w:cs="Times New Roman"/>
                <w:bCs/>
                <w:sz w:val="24"/>
                <w:szCs w:val="24"/>
              </w:rPr>
              <w:t xml:space="preserve"> </w:t>
            </w:r>
            <w:r w:rsidR="00B45381">
              <w:rPr>
                <w:rFonts w:ascii="Times New Roman" w:hAnsi="Times New Roman" w:cs="Times New Roman"/>
                <w:bCs/>
                <w:sz w:val="24"/>
                <w:szCs w:val="24"/>
              </w:rPr>
              <w:t>Uždavinio</w:t>
            </w:r>
            <w:r w:rsidR="00CC4D8F">
              <w:rPr>
                <w:rFonts w:ascii="Times New Roman" w:hAnsi="Times New Roman" w:cs="Times New Roman"/>
                <w:bCs/>
                <w:sz w:val="24"/>
                <w:szCs w:val="24"/>
              </w:rPr>
              <w:t xml:space="preserve"> ir klausimų</w:t>
            </w:r>
            <w:r w:rsidR="00B45381">
              <w:rPr>
                <w:rFonts w:ascii="Times New Roman" w:hAnsi="Times New Roman" w:cs="Times New Roman"/>
                <w:bCs/>
                <w:sz w:val="24"/>
                <w:szCs w:val="24"/>
              </w:rPr>
              <w:t xml:space="preserve"> formuluotės</w:t>
            </w:r>
            <w:r w:rsidR="00096B2C">
              <w:rPr>
                <w:rFonts w:ascii="Times New Roman" w:hAnsi="Times New Roman" w:cs="Times New Roman"/>
                <w:bCs/>
                <w:sz w:val="24"/>
                <w:szCs w:val="24"/>
              </w:rPr>
              <w:t xml:space="preserve"> patikslintos nurodant </w:t>
            </w:r>
            <w:r w:rsidR="00254BBA">
              <w:rPr>
                <w:rFonts w:ascii="Times New Roman" w:hAnsi="Times New Roman" w:cs="Times New Roman"/>
                <w:bCs/>
                <w:sz w:val="24"/>
                <w:szCs w:val="24"/>
              </w:rPr>
              <w:t>kad vertinimas turi apimti  techninės specifikacijos 1.3 papunktyje nurodytas skaitmeninės plėtros sritis.</w:t>
            </w:r>
          </w:p>
          <w:p w14:paraId="00F2139A" w14:textId="77777777" w:rsidR="00271FF7" w:rsidRDefault="00271FF7" w:rsidP="008D4E0B">
            <w:pPr>
              <w:jc w:val="both"/>
              <w:rPr>
                <w:rFonts w:ascii="Times New Roman" w:hAnsi="Times New Roman" w:cs="Times New Roman"/>
                <w:bCs/>
                <w:sz w:val="24"/>
                <w:szCs w:val="24"/>
              </w:rPr>
            </w:pPr>
          </w:p>
          <w:p w14:paraId="67D86CC3" w14:textId="77777777" w:rsidR="006B417E" w:rsidRDefault="006B417E" w:rsidP="008D4E0B">
            <w:pPr>
              <w:jc w:val="both"/>
              <w:rPr>
                <w:rFonts w:ascii="Times New Roman" w:hAnsi="Times New Roman" w:cs="Times New Roman"/>
                <w:bCs/>
                <w:sz w:val="24"/>
                <w:szCs w:val="24"/>
              </w:rPr>
            </w:pPr>
          </w:p>
          <w:p w14:paraId="1F4DDDA8" w14:textId="77777777" w:rsidR="006B417E" w:rsidRDefault="006B417E" w:rsidP="008D4E0B">
            <w:pPr>
              <w:jc w:val="both"/>
              <w:rPr>
                <w:rFonts w:ascii="Times New Roman" w:hAnsi="Times New Roman" w:cs="Times New Roman"/>
                <w:bCs/>
                <w:sz w:val="24"/>
                <w:szCs w:val="24"/>
              </w:rPr>
            </w:pPr>
          </w:p>
          <w:p w14:paraId="0E8482D4" w14:textId="77777777" w:rsidR="006B417E" w:rsidRDefault="006B417E" w:rsidP="008D4E0B">
            <w:pPr>
              <w:jc w:val="both"/>
              <w:rPr>
                <w:rFonts w:ascii="Times New Roman" w:hAnsi="Times New Roman" w:cs="Times New Roman"/>
                <w:bCs/>
                <w:sz w:val="24"/>
                <w:szCs w:val="24"/>
              </w:rPr>
            </w:pPr>
          </w:p>
          <w:p w14:paraId="14CAFD81" w14:textId="327BD406" w:rsidR="006B417E" w:rsidRDefault="008933E3" w:rsidP="008D4E0B">
            <w:pPr>
              <w:jc w:val="both"/>
              <w:rPr>
                <w:rFonts w:ascii="Times New Roman" w:hAnsi="Times New Roman" w:cs="Times New Roman"/>
                <w:bCs/>
                <w:sz w:val="24"/>
                <w:szCs w:val="24"/>
              </w:rPr>
            </w:pPr>
            <w:r>
              <w:rPr>
                <w:rFonts w:ascii="Times New Roman" w:hAnsi="Times New Roman" w:cs="Times New Roman"/>
                <w:bCs/>
                <w:sz w:val="24"/>
                <w:szCs w:val="24"/>
              </w:rPr>
              <w:t>Į siūlymą bus atsižvelgta</w:t>
            </w:r>
            <w:r w:rsidR="00513AD0">
              <w:rPr>
                <w:rFonts w:ascii="Times New Roman" w:hAnsi="Times New Roman" w:cs="Times New Roman"/>
                <w:bCs/>
                <w:sz w:val="24"/>
                <w:szCs w:val="24"/>
              </w:rPr>
              <w:t>.</w:t>
            </w:r>
          </w:p>
          <w:p w14:paraId="2D973FEE" w14:textId="77777777" w:rsidR="005727C5" w:rsidRDefault="005727C5" w:rsidP="008D4E0B">
            <w:pPr>
              <w:jc w:val="both"/>
              <w:rPr>
                <w:rFonts w:ascii="Times New Roman" w:hAnsi="Times New Roman" w:cs="Times New Roman"/>
                <w:bCs/>
                <w:sz w:val="24"/>
                <w:szCs w:val="24"/>
              </w:rPr>
            </w:pPr>
          </w:p>
          <w:p w14:paraId="228BA991" w14:textId="77777777" w:rsidR="005727C5" w:rsidRDefault="005727C5" w:rsidP="008D4E0B">
            <w:pPr>
              <w:jc w:val="both"/>
              <w:rPr>
                <w:rFonts w:ascii="Times New Roman" w:hAnsi="Times New Roman" w:cs="Times New Roman"/>
                <w:bCs/>
                <w:sz w:val="24"/>
                <w:szCs w:val="24"/>
              </w:rPr>
            </w:pPr>
          </w:p>
          <w:p w14:paraId="6549D15B" w14:textId="77777777" w:rsidR="005727C5" w:rsidRDefault="005727C5" w:rsidP="008D4E0B">
            <w:pPr>
              <w:jc w:val="both"/>
              <w:rPr>
                <w:rFonts w:ascii="Times New Roman" w:hAnsi="Times New Roman" w:cs="Times New Roman"/>
                <w:bCs/>
                <w:sz w:val="24"/>
                <w:szCs w:val="24"/>
              </w:rPr>
            </w:pPr>
          </w:p>
          <w:p w14:paraId="59DF928D" w14:textId="77777777" w:rsidR="005727C5" w:rsidRDefault="005727C5" w:rsidP="008D4E0B">
            <w:pPr>
              <w:jc w:val="both"/>
              <w:rPr>
                <w:rFonts w:ascii="Times New Roman" w:hAnsi="Times New Roman" w:cs="Times New Roman"/>
                <w:bCs/>
                <w:sz w:val="24"/>
                <w:szCs w:val="24"/>
              </w:rPr>
            </w:pPr>
          </w:p>
          <w:p w14:paraId="2F47A1E1" w14:textId="75040CE7" w:rsidR="005727C5" w:rsidRPr="0025584A" w:rsidRDefault="00CF2BA9" w:rsidP="008D4E0B">
            <w:pPr>
              <w:jc w:val="both"/>
              <w:rPr>
                <w:rFonts w:ascii="Times New Roman" w:hAnsi="Times New Roman" w:cs="Times New Roman"/>
                <w:bCs/>
                <w:sz w:val="24"/>
                <w:szCs w:val="24"/>
              </w:rPr>
            </w:pPr>
            <w:r>
              <w:rPr>
                <w:rFonts w:ascii="Times New Roman" w:hAnsi="Times New Roman" w:cs="Times New Roman"/>
                <w:bCs/>
                <w:sz w:val="24"/>
                <w:szCs w:val="24"/>
              </w:rPr>
              <w:t xml:space="preserve">Skaitmeninės politikos srities teisės </w:t>
            </w:r>
            <w:r w:rsidR="00D50401">
              <w:rPr>
                <w:rFonts w:ascii="Times New Roman" w:hAnsi="Times New Roman" w:cs="Times New Roman"/>
                <w:bCs/>
                <w:sz w:val="24"/>
                <w:szCs w:val="24"/>
              </w:rPr>
              <w:t xml:space="preserve">aktai turės būti peržiūrėti atsakant į techninės užduoties </w:t>
            </w:r>
            <w:r w:rsidR="007E71E9">
              <w:rPr>
                <w:rFonts w:ascii="Times New Roman" w:hAnsi="Times New Roman" w:cs="Times New Roman"/>
                <w:bCs/>
                <w:sz w:val="24"/>
                <w:szCs w:val="24"/>
              </w:rPr>
              <w:t>1 uždavinio klausimus.</w:t>
            </w:r>
            <w:r w:rsidR="0041096F">
              <w:rPr>
                <w:rFonts w:ascii="Times New Roman" w:hAnsi="Times New Roman" w:cs="Times New Roman"/>
                <w:bCs/>
                <w:sz w:val="24"/>
                <w:szCs w:val="24"/>
              </w:rPr>
              <w:t xml:space="preserve"> </w:t>
            </w:r>
            <w:r w:rsidR="00021E8E">
              <w:rPr>
                <w:rFonts w:ascii="Times New Roman" w:hAnsi="Times New Roman" w:cs="Times New Roman"/>
                <w:bCs/>
                <w:sz w:val="24"/>
                <w:szCs w:val="24"/>
              </w:rPr>
              <w:t>Uždavinio f</w:t>
            </w:r>
            <w:r w:rsidR="0041096F">
              <w:rPr>
                <w:rFonts w:ascii="Times New Roman" w:hAnsi="Times New Roman" w:cs="Times New Roman"/>
                <w:bCs/>
                <w:sz w:val="24"/>
                <w:szCs w:val="24"/>
              </w:rPr>
              <w:t>ormuluotė patikslint</w:t>
            </w:r>
            <w:r w:rsidR="00021E8E">
              <w:rPr>
                <w:rFonts w:ascii="Times New Roman" w:hAnsi="Times New Roman" w:cs="Times New Roman"/>
                <w:bCs/>
                <w:sz w:val="24"/>
                <w:szCs w:val="24"/>
              </w:rPr>
              <w:t xml:space="preserve">a kad </w:t>
            </w:r>
            <w:r w:rsidR="00C14C2B">
              <w:rPr>
                <w:rFonts w:ascii="Times New Roman" w:hAnsi="Times New Roman" w:cs="Times New Roman"/>
                <w:bCs/>
                <w:sz w:val="24"/>
                <w:szCs w:val="24"/>
              </w:rPr>
              <w:t>teisės aktų peržiūra turėtų būti atliekama pagal 1.3 papunktyje įvardytas skaitmeninės politikos sritis.</w:t>
            </w:r>
          </w:p>
        </w:tc>
      </w:tr>
      <w:tr w:rsidR="00F84831" w:rsidRPr="0025584A" w14:paraId="216D33F4" w14:textId="77777777" w:rsidTr="008D4E0B">
        <w:trPr>
          <w:trHeight w:val="414"/>
        </w:trPr>
        <w:tc>
          <w:tcPr>
            <w:tcW w:w="562" w:type="dxa"/>
            <w:vMerge/>
          </w:tcPr>
          <w:p w14:paraId="3C0D0BE6" w14:textId="77777777" w:rsidR="00F84831" w:rsidRPr="0025584A" w:rsidRDefault="00F84831" w:rsidP="00F84831">
            <w:pPr>
              <w:pStyle w:val="ListParagraph"/>
              <w:numPr>
                <w:ilvl w:val="0"/>
                <w:numId w:val="14"/>
              </w:numPr>
              <w:jc w:val="center"/>
              <w:rPr>
                <w:bCs/>
                <w:szCs w:val="24"/>
              </w:rPr>
            </w:pPr>
          </w:p>
        </w:tc>
        <w:tc>
          <w:tcPr>
            <w:tcW w:w="4536" w:type="dxa"/>
            <w:vMerge/>
            <w:shd w:val="clear" w:color="auto" w:fill="EAF1DD" w:themeFill="accent3" w:themeFillTint="33"/>
          </w:tcPr>
          <w:p w14:paraId="5B8E381E" w14:textId="77777777" w:rsidR="00F84831" w:rsidRPr="0025584A" w:rsidRDefault="00F84831" w:rsidP="00F84831">
            <w:pPr>
              <w:jc w:val="both"/>
              <w:rPr>
                <w:rFonts w:ascii="Times New Roman" w:hAnsi="Times New Roman" w:cs="Times New Roman"/>
                <w:sz w:val="24"/>
                <w:szCs w:val="24"/>
              </w:rPr>
            </w:pPr>
          </w:p>
        </w:tc>
        <w:tc>
          <w:tcPr>
            <w:tcW w:w="4252" w:type="dxa"/>
          </w:tcPr>
          <w:p w14:paraId="03DCF7C8" w14:textId="77777777" w:rsidR="00F84831" w:rsidRPr="00162450" w:rsidRDefault="00F84831" w:rsidP="00F84831">
            <w:pPr>
              <w:jc w:val="both"/>
              <w:rPr>
                <w:rFonts w:ascii="Times New Roman" w:hAnsi="Times New Roman" w:cs="Times New Roman"/>
                <w:bCs/>
                <w:sz w:val="24"/>
                <w:szCs w:val="24"/>
              </w:rPr>
            </w:pPr>
            <w:r w:rsidRPr="00162450">
              <w:rPr>
                <w:rFonts w:ascii="Times New Roman" w:hAnsi="Times New Roman" w:cs="Times New Roman"/>
                <w:bCs/>
                <w:sz w:val="24"/>
                <w:szCs w:val="24"/>
              </w:rPr>
              <w:t>Techninė specifikacija nėra pakankamai aiški, palieka daug interpretacinio potencialo. Rekomenduojame tikslinti pagal šiuos punktus:</w:t>
            </w:r>
          </w:p>
          <w:p w14:paraId="4F1A6209" w14:textId="77777777" w:rsidR="00F84831" w:rsidRPr="00162450" w:rsidRDefault="00F84831" w:rsidP="00F84831">
            <w:pPr>
              <w:jc w:val="both"/>
              <w:rPr>
                <w:rFonts w:ascii="Times New Roman" w:hAnsi="Times New Roman" w:cs="Times New Roman"/>
                <w:bCs/>
                <w:sz w:val="24"/>
                <w:szCs w:val="24"/>
              </w:rPr>
            </w:pPr>
          </w:p>
          <w:p w14:paraId="422FDDD1" w14:textId="77777777" w:rsidR="00F84831" w:rsidRPr="00351540" w:rsidRDefault="00F84831" w:rsidP="007F6CE4">
            <w:pPr>
              <w:pStyle w:val="ListParagraph"/>
              <w:numPr>
                <w:ilvl w:val="0"/>
                <w:numId w:val="22"/>
              </w:numPr>
              <w:ind w:left="-101" w:firstLine="461"/>
              <w:jc w:val="both"/>
              <w:rPr>
                <w:rFonts w:eastAsia="Times New Roman"/>
                <w:szCs w:val="24"/>
              </w:rPr>
            </w:pPr>
            <w:r>
              <w:t>Prašome patikslinti kokiu nutarime Nr. 330 įvardintų valstybės valdymo sričių gyliu bus prašoma atlikti analizę.</w:t>
            </w:r>
          </w:p>
          <w:p w14:paraId="0B385F34" w14:textId="77777777" w:rsidR="00351540" w:rsidRDefault="00351540" w:rsidP="007F6CE4">
            <w:pPr>
              <w:ind w:left="-101" w:firstLine="461"/>
              <w:jc w:val="both"/>
              <w:rPr>
                <w:rFonts w:eastAsia="Times New Roman"/>
                <w:szCs w:val="24"/>
              </w:rPr>
            </w:pPr>
          </w:p>
          <w:p w14:paraId="55BB9909" w14:textId="77777777" w:rsidR="00351540" w:rsidRDefault="00351540" w:rsidP="007F6CE4">
            <w:pPr>
              <w:ind w:left="-101" w:firstLine="461"/>
              <w:jc w:val="both"/>
              <w:rPr>
                <w:rFonts w:eastAsia="Times New Roman"/>
                <w:szCs w:val="24"/>
              </w:rPr>
            </w:pPr>
          </w:p>
          <w:p w14:paraId="02E901E4" w14:textId="77777777" w:rsidR="00351540" w:rsidRPr="00351540" w:rsidRDefault="00351540" w:rsidP="007F6CE4">
            <w:pPr>
              <w:ind w:left="-101" w:firstLine="461"/>
              <w:jc w:val="both"/>
              <w:rPr>
                <w:rFonts w:eastAsia="Times New Roman"/>
                <w:szCs w:val="24"/>
              </w:rPr>
            </w:pPr>
          </w:p>
          <w:p w14:paraId="415D8001" w14:textId="77777777" w:rsidR="00F84831" w:rsidRPr="00162450" w:rsidRDefault="00F84831" w:rsidP="007F6CE4">
            <w:pPr>
              <w:pStyle w:val="ListParagraph"/>
              <w:numPr>
                <w:ilvl w:val="0"/>
                <w:numId w:val="22"/>
              </w:numPr>
              <w:ind w:left="-101" w:firstLine="461"/>
              <w:jc w:val="both"/>
              <w:rPr>
                <w:szCs w:val="24"/>
              </w:rPr>
            </w:pPr>
            <w:r>
              <w:t>Prašome nurodyti r</w:t>
            </w:r>
            <w:r w:rsidRPr="00162450">
              <w:rPr>
                <w:szCs w:val="24"/>
              </w:rPr>
              <w:t>etrospektyvinės analizės terminus (3 metai, 5 metai ar pan.).</w:t>
            </w:r>
          </w:p>
          <w:p w14:paraId="3B04817A" w14:textId="77777777" w:rsidR="00F84831" w:rsidRPr="00162450" w:rsidRDefault="00F84831" w:rsidP="007F6CE4">
            <w:pPr>
              <w:pStyle w:val="ListParagraph"/>
              <w:numPr>
                <w:ilvl w:val="0"/>
                <w:numId w:val="22"/>
              </w:numPr>
              <w:ind w:left="-101" w:firstLine="461"/>
              <w:jc w:val="both"/>
              <w:rPr>
                <w:rFonts w:eastAsia="Times New Roman"/>
                <w:szCs w:val="24"/>
              </w:rPr>
            </w:pPr>
            <w:r w:rsidRPr="00162450">
              <w:rPr>
                <w:szCs w:val="24"/>
              </w:rPr>
              <w:t xml:space="preserve">Prašome išskirti tyrimo objektus t. y. skaitmeninės plėtros aplinkos analizę ir viešosios politikos skaitmeninėje srityje analizę į atskirus uždavinius ir klausimus. </w:t>
            </w:r>
          </w:p>
          <w:p w14:paraId="36E7FA5D" w14:textId="77777777" w:rsidR="00F84831" w:rsidRPr="00162450" w:rsidRDefault="00F84831" w:rsidP="00F84831">
            <w:pPr>
              <w:ind w:left="360"/>
              <w:jc w:val="both"/>
              <w:rPr>
                <w:rFonts w:ascii="Times New Roman" w:eastAsia="Times New Roman" w:hAnsi="Times New Roman" w:cs="Times New Roman"/>
                <w:sz w:val="24"/>
                <w:szCs w:val="24"/>
              </w:rPr>
            </w:pPr>
          </w:p>
          <w:p w14:paraId="7C7CA1D7" w14:textId="77777777" w:rsidR="00F84831" w:rsidRPr="00162450" w:rsidRDefault="00F84831" w:rsidP="00F84831">
            <w:pPr>
              <w:jc w:val="both"/>
              <w:rPr>
                <w:rFonts w:ascii="Times New Roman" w:eastAsia="Times New Roman" w:hAnsi="Times New Roman" w:cs="Times New Roman"/>
                <w:sz w:val="24"/>
                <w:szCs w:val="24"/>
              </w:rPr>
            </w:pPr>
            <w:r w:rsidRPr="00162450">
              <w:rPr>
                <w:rFonts w:ascii="Times New Roman" w:eastAsia="Times New Roman" w:hAnsi="Times New Roman" w:cs="Times New Roman"/>
                <w:sz w:val="24"/>
                <w:szCs w:val="24"/>
              </w:rPr>
              <w:t xml:space="preserve">Ar TS 1 </w:t>
            </w:r>
            <w:r>
              <w:rPr>
                <w:rFonts w:ascii="Times New Roman" w:eastAsia="Times New Roman" w:hAnsi="Times New Roman" w:cs="Times New Roman"/>
                <w:sz w:val="24"/>
                <w:szCs w:val="24"/>
              </w:rPr>
              <w:t>l</w:t>
            </w:r>
            <w:r w:rsidRPr="00162450">
              <w:rPr>
                <w:rFonts w:ascii="Times New Roman" w:eastAsia="Times New Roman" w:hAnsi="Times New Roman" w:cs="Times New Roman"/>
                <w:sz w:val="24"/>
                <w:szCs w:val="24"/>
              </w:rPr>
              <w:t>entelės 4 punktas implikuoja, kad reikia parengti konkrečią Plėtros programą ir Pažangos priemones pagal SVĮ ir SVM reikalavimus?</w:t>
            </w:r>
          </w:p>
          <w:p w14:paraId="5459B010" w14:textId="77777777" w:rsidR="00F84831" w:rsidRDefault="00F84831" w:rsidP="00F84831">
            <w:pPr>
              <w:jc w:val="both"/>
              <w:rPr>
                <w:rFonts w:ascii="Times New Roman" w:hAnsi="Times New Roman" w:cs="Times New Roman"/>
                <w:bCs/>
                <w:sz w:val="24"/>
                <w:szCs w:val="24"/>
              </w:rPr>
            </w:pPr>
          </w:p>
          <w:p w14:paraId="2915C65B" w14:textId="77777777" w:rsidR="00271FF7" w:rsidRPr="00162450" w:rsidRDefault="00271FF7" w:rsidP="00F84831">
            <w:pPr>
              <w:jc w:val="both"/>
              <w:rPr>
                <w:rFonts w:ascii="Times New Roman" w:hAnsi="Times New Roman" w:cs="Times New Roman"/>
                <w:bCs/>
                <w:sz w:val="24"/>
                <w:szCs w:val="24"/>
              </w:rPr>
            </w:pPr>
          </w:p>
          <w:p w14:paraId="0FC43281" w14:textId="77777777" w:rsidR="00F84831" w:rsidRPr="00162450" w:rsidRDefault="00F84831" w:rsidP="00F84831">
            <w:pPr>
              <w:jc w:val="both"/>
              <w:rPr>
                <w:rFonts w:ascii="Times New Roman" w:eastAsia="Times New Roman" w:hAnsi="Times New Roman" w:cs="Times New Roman"/>
                <w:sz w:val="24"/>
                <w:szCs w:val="24"/>
              </w:rPr>
            </w:pPr>
            <w:r w:rsidRPr="00162450">
              <w:rPr>
                <w:rFonts w:ascii="Times New Roman" w:hAnsi="Times New Roman" w:cs="Times New Roman"/>
                <w:sz w:val="24"/>
                <w:szCs w:val="24"/>
              </w:rPr>
              <w:t xml:space="preserve">Prašome detalizuoti  TS 1 </w:t>
            </w:r>
            <w:r>
              <w:rPr>
                <w:rFonts w:ascii="Times New Roman" w:hAnsi="Times New Roman" w:cs="Times New Roman"/>
                <w:sz w:val="24"/>
                <w:szCs w:val="24"/>
              </w:rPr>
              <w:t>l</w:t>
            </w:r>
            <w:r w:rsidRPr="00162450">
              <w:rPr>
                <w:rFonts w:ascii="Times New Roman" w:hAnsi="Times New Roman" w:cs="Times New Roman"/>
                <w:sz w:val="24"/>
                <w:szCs w:val="24"/>
              </w:rPr>
              <w:t xml:space="preserve">entelės 5 punktą, nurodant kokie konkrečiai </w:t>
            </w:r>
            <w:r w:rsidRPr="00162450">
              <w:rPr>
                <w:rFonts w:ascii="Times New Roman" w:hAnsi="Times New Roman" w:cs="Times New Roman"/>
                <w:sz w:val="24"/>
                <w:szCs w:val="24"/>
              </w:rPr>
              <w:lastRenderedPageBreak/>
              <w:t xml:space="preserve">metodiniai ir apimties reikalavimai keliami </w:t>
            </w:r>
            <w:r w:rsidRPr="00162450">
              <w:rPr>
                <w:rFonts w:ascii="Times New Roman" w:eastAsia="Times New Roman" w:hAnsi="Times New Roman" w:cs="Times New Roman"/>
                <w:sz w:val="24"/>
                <w:szCs w:val="24"/>
              </w:rPr>
              <w:t xml:space="preserve">skaitmeninės plėtros sričių tarpvalstybinių projektų gaunamos naudos (ekonominės, socialinės ir pan.) vertinimui. Prašome nurodyti, kokiam skaičiui tokių projektų reikės atlikti tokią analizę (prašome pateikti </w:t>
            </w:r>
            <w:proofErr w:type="spellStart"/>
            <w:r w:rsidRPr="00162450">
              <w:rPr>
                <w:rFonts w:ascii="Times New Roman" w:eastAsia="Times New Roman" w:hAnsi="Times New Roman" w:cs="Times New Roman"/>
                <w:sz w:val="24"/>
                <w:szCs w:val="24"/>
              </w:rPr>
              <w:t>indikatyvinį</w:t>
            </w:r>
            <w:proofErr w:type="spellEnd"/>
            <w:r w:rsidRPr="00162450">
              <w:rPr>
                <w:rFonts w:ascii="Times New Roman" w:eastAsia="Times New Roman" w:hAnsi="Times New Roman" w:cs="Times New Roman"/>
                <w:sz w:val="24"/>
                <w:szCs w:val="24"/>
              </w:rPr>
              <w:t xml:space="preserve"> sąrašą).</w:t>
            </w:r>
          </w:p>
          <w:p w14:paraId="74D2266C" w14:textId="77777777" w:rsidR="00F84831" w:rsidRPr="00162450" w:rsidRDefault="00F84831" w:rsidP="00F84831">
            <w:pPr>
              <w:jc w:val="both"/>
              <w:rPr>
                <w:rFonts w:ascii="Times New Roman" w:eastAsia="Times New Roman" w:hAnsi="Times New Roman" w:cs="Times New Roman"/>
                <w:sz w:val="24"/>
                <w:szCs w:val="24"/>
              </w:rPr>
            </w:pPr>
          </w:p>
          <w:p w14:paraId="3D18F9D7" w14:textId="77777777" w:rsidR="00F84831" w:rsidRPr="00162450" w:rsidRDefault="00F84831" w:rsidP="00F84831">
            <w:pPr>
              <w:jc w:val="both"/>
              <w:rPr>
                <w:rFonts w:ascii="Times New Roman" w:hAnsi="Times New Roman" w:cs="Times New Roman"/>
                <w:sz w:val="24"/>
                <w:szCs w:val="24"/>
              </w:rPr>
            </w:pPr>
            <w:r w:rsidRPr="00162450">
              <w:rPr>
                <w:rFonts w:ascii="Times New Roman" w:eastAsia="Times New Roman" w:hAnsi="Times New Roman" w:cs="Times New Roman"/>
                <w:sz w:val="24"/>
                <w:szCs w:val="24"/>
              </w:rPr>
              <w:t xml:space="preserve">Prašome tikslinti </w:t>
            </w:r>
            <w:r w:rsidRPr="00162450">
              <w:rPr>
                <w:rFonts w:ascii="Times New Roman" w:hAnsi="Times New Roman" w:cs="Times New Roman"/>
                <w:sz w:val="24"/>
                <w:szCs w:val="24"/>
              </w:rPr>
              <w:t xml:space="preserve">TS 1 </w:t>
            </w:r>
            <w:r>
              <w:rPr>
                <w:rFonts w:ascii="Times New Roman" w:hAnsi="Times New Roman" w:cs="Times New Roman"/>
                <w:sz w:val="24"/>
                <w:szCs w:val="24"/>
              </w:rPr>
              <w:t>l</w:t>
            </w:r>
            <w:r w:rsidRPr="00162450">
              <w:rPr>
                <w:rFonts w:ascii="Times New Roman" w:hAnsi="Times New Roman" w:cs="Times New Roman"/>
                <w:sz w:val="24"/>
                <w:szCs w:val="24"/>
              </w:rPr>
              <w:t>entelės 6 punktą, nurodant bendradarbiavimo analizės suinteresuotas puses (ar socialiniai partneriai su sprendimų priėmėjais (kuriomis konkrečiai institucijomis) ar tarpusavyje ar kt.).</w:t>
            </w:r>
          </w:p>
          <w:p w14:paraId="023589A5" w14:textId="77777777" w:rsidR="00F84831" w:rsidRPr="00162450" w:rsidRDefault="00F84831" w:rsidP="00F84831">
            <w:pPr>
              <w:jc w:val="both"/>
              <w:rPr>
                <w:rFonts w:ascii="Times New Roman" w:hAnsi="Times New Roman" w:cs="Times New Roman"/>
                <w:bCs/>
                <w:sz w:val="24"/>
                <w:szCs w:val="24"/>
              </w:rPr>
            </w:pPr>
          </w:p>
          <w:p w14:paraId="7A0BAE43" w14:textId="5AEE3EEE" w:rsidR="00F84831" w:rsidRPr="0025584A" w:rsidRDefault="00F84831" w:rsidP="00F84831">
            <w:pPr>
              <w:rPr>
                <w:rFonts w:ascii="Times New Roman" w:hAnsi="Times New Roman" w:cs="Times New Roman"/>
                <w:bCs/>
                <w:sz w:val="24"/>
                <w:szCs w:val="24"/>
              </w:rPr>
            </w:pPr>
            <w:r w:rsidRPr="00162450">
              <w:rPr>
                <w:rFonts w:ascii="Times New Roman" w:eastAsia="Times New Roman" w:hAnsi="Times New Roman" w:cs="Times New Roman"/>
                <w:sz w:val="24"/>
                <w:szCs w:val="24"/>
              </w:rPr>
              <w:t xml:space="preserve">Prašome tikslinti arba šalinti </w:t>
            </w:r>
            <w:r w:rsidRPr="00162450">
              <w:rPr>
                <w:rFonts w:ascii="Times New Roman" w:hAnsi="Times New Roman" w:cs="Times New Roman"/>
                <w:sz w:val="24"/>
                <w:szCs w:val="24"/>
              </w:rPr>
              <w:t xml:space="preserve">TS 1 </w:t>
            </w:r>
            <w:r>
              <w:rPr>
                <w:rFonts w:ascii="Times New Roman" w:hAnsi="Times New Roman" w:cs="Times New Roman"/>
                <w:sz w:val="24"/>
                <w:szCs w:val="24"/>
              </w:rPr>
              <w:t>l</w:t>
            </w:r>
            <w:r w:rsidRPr="00162450">
              <w:rPr>
                <w:rFonts w:ascii="Times New Roman" w:hAnsi="Times New Roman" w:cs="Times New Roman"/>
                <w:sz w:val="24"/>
                <w:szCs w:val="24"/>
              </w:rPr>
              <w:t>entelės 7 punktą, kadangi punkte apibrėžtas objektas yra itin platus ir gali pareikalauti atskiros studijos apimties ir resursų.</w:t>
            </w:r>
          </w:p>
        </w:tc>
        <w:tc>
          <w:tcPr>
            <w:tcW w:w="4679" w:type="dxa"/>
            <w:vMerge/>
          </w:tcPr>
          <w:p w14:paraId="2D29389A" w14:textId="77777777" w:rsidR="00F84831" w:rsidRPr="0025584A" w:rsidRDefault="00F84831" w:rsidP="00F84831">
            <w:pPr>
              <w:rPr>
                <w:rFonts w:ascii="Times New Roman" w:hAnsi="Times New Roman" w:cs="Times New Roman"/>
                <w:bCs/>
                <w:sz w:val="24"/>
                <w:szCs w:val="24"/>
              </w:rPr>
            </w:pPr>
          </w:p>
        </w:tc>
      </w:tr>
      <w:tr w:rsidR="00D648F0" w:rsidRPr="0025584A" w14:paraId="21128B2C" w14:textId="53299241" w:rsidTr="008D4E0B">
        <w:trPr>
          <w:trHeight w:val="414"/>
        </w:trPr>
        <w:tc>
          <w:tcPr>
            <w:tcW w:w="562" w:type="dxa"/>
            <w:vMerge w:val="restart"/>
          </w:tcPr>
          <w:p w14:paraId="3164FE13" w14:textId="77777777" w:rsidR="00D648F0" w:rsidRPr="0025584A" w:rsidRDefault="00D648F0" w:rsidP="00F84831">
            <w:pPr>
              <w:pStyle w:val="ListParagraph"/>
              <w:numPr>
                <w:ilvl w:val="0"/>
                <w:numId w:val="14"/>
              </w:numPr>
              <w:jc w:val="both"/>
              <w:rPr>
                <w:bCs/>
                <w:szCs w:val="24"/>
              </w:rPr>
            </w:pPr>
          </w:p>
        </w:tc>
        <w:tc>
          <w:tcPr>
            <w:tcW w:w="4536" w:type="dxa"/>
            <w:vMerge w:val="restart"/>
            <w:shd w:val="clear" w:color="auto" w:fill="EAF1DD" w:themeFill="accent3" w:themeFillTint="33"/>
          </w:tcPr>
          <w:p w14:paraId="0A73E62A" w14:textId="139A395C" w:rsidR="00D648F0" w:rsidRPr="0025584A" w:rsidRDefault="00D648F0" w:rsidP="00F84831">
            <w:pPr>
              <w:jc w:val="both"/>
              <w:rPr>
                <w:rFonts w:ascii="Times New Roman" w:hAnsi="Times New Roman" w:cs="Times New Roman"/>
                <w:sz w:val="24"/>
                <w:szCs w:val="24"/>
              </w:rPr>
            </w:pPr>
            <w:r w:rsidRPr="0025584A">
              <w:rPr>
                <w:rFonts w:ascii="Times New Roman" w:hAnsi="Times New Roman" w:cs="Times New Roman"/>
                <w:bCs/>
                <w:sz w:val="24"/>
                <w:szCs w:val="24"/>
              </w:rPr>
              <w:t xml:space="preserve">Ar </w:t>
            </w:r>
            <w:r w:rsidRPr="0025584A">
              <w:rPr>
                <w:rFonts w:ascii="Times New Roman" w:hAnsi="Times New Roman" w:cs="Times New Roman"/>
                <w:sz w:val="24"/>
                <w:szCs w:val="24"/>
              </w:rPr>
              <w:t>techninėje specifikacijoje</w:t>
            </w:r>
            <w:r w:rsidRPr="0025584A">
              <w:rPr>
                <w:rFonts w:ascii="Times New Roman" w:hAnsi="Times New Roman" w:cs="Times New Roman"/>
                <w:bCs/>
                <w:sz w:val="24"/>
                <w:szCs w:val="24"/>
              </w:rPr>
              <w:t xml:space="preserve"> yra reikalavimų, kurie riboja konkurenciją bei yra sunkiai įgyvendinami? </w:t>
            </w:r>
            <w:r w:rsidRPr="0025584A">
              <w:rPr>
                <w:rFonts w:ascii="Times New Roman" w:eastAsia="Times New Roman" w:hAnsi="Times New Roman" w:cs="Times New Roman"/>
                <w:i/>
                <w:iCs/>
                <w:sz w:val="24"/>
                <w:szCs w:val="24"/>
                <w:lang w:eastAsia="lt-LT"/>
              </w:rPr>
              <w:t>(jei taip, prašome nurodyti šiuos reikalavimus)</w:t>
            </w:r>
          </w:p>
        </w:tc>
        <w:tc>
          <w:tcPr>
            <w:tcW w:w="4252" w:type="dxa"/>
          </w:tcPr>
          <w:p w14:paraId="6C2E46D0" w14:textId="73FC5576" w:rsidR="00D648F0" w:rsidRPr="0025584A" w:rsidRDefault="00D648F0" w:rsidP="00F84831">
            <w:pPr>
              <w:jc w:val="both"/>
              <w:rPr>
                <w:rFonts w:ascii="Times New Roman" w:hAnsi="Times New Roman" w:cs="Times New Roman"/>
                <w:bCs/>
                <w:sz w:val="24"/>
                <w:szCs w:val="24"/>
              </w:rPr>
            </w:pPr>
            <w:r w:rsidRPr="0025584A">
              <w:rPr>
                <w:rFonts w:ascii="Times New Roman" w:hAnsi="Times New Roman" w:cs="Times New Roman"/>
                <w:bCs/>
                <w:sz w:val="24"/>
                <w:szCs w:val="24"/>
              </w:rPr>
              <w:t>Atsižvelgiant į Studijos apimtį, manome, kad pilnos apimties Studijos projektas negalėtų būti parengtas per 60 k. d. nuo paslaugų teikimo sutarties sudarymo, kaip tai nurodyta 4.2 punkte.</w:t>
            </w:r>
          </w:p>
          <w:p w14:paraId="1B5182C5" w14:textId="671B393F" w:rsidR="00D648F0" w:rsidRPr="0025584A" w:rsidRDefault="00D648F0" w:rsidP="00F84831">
            <w:pPr>
              <w:jc w:val="both"/>
              <w:rPr>
                <w:rFonts w:ascii="Times New Roman" w:hAnsi="Times New Roman" w:cs="Times New Roman"/>
                <w:bCs/>
                <w:sz w:val="24"/>
                <w:szCs w:val="24"/>
              </w:rPr>
            </w:pPr>
            <w:r w:rsidRPr="0025584A">
              <w:rPr>
                <w:rFonts w:ascii="Times New Roman" w:hAnsi="Times New Roman" w:cs="Times New Roman"/>
                <w:bCs/>
                <w:sz w:val="24"/>
                <w:szCs w:val="24"/>
              </w:rPr>
              <w:t>Siūlome numatyti bent 90 - 100 k. d. dienų laikotarpį, papildomai numatant tarpinių rezultatų pristatymus po 60 k. d.</w:t>
            </w:r>
          </w:p>
        </w:tc>
        <w:tc>
          <w:tcPr>
            <w:tcW w:w="4679" w:type="dxa"/>
          </w:tcPr>
          <w:p w14:paraId="7CDCB981" w14:textId="5381AF6A" w:rsidR="00D648F0" w:rsidRPr="0025584A" w:rsidRDefault="007F16E5" w:rsidP="00F84831">
            <w:pPr>
              <w:jc w:val="both"/>
              <w:rPr>
                <w:rFonts w:ascii="Times New Roman" w:hAnsi="Times New Roman" w:cs="Times New Roman"/>
                <w:bCs/>
                <w:sz w:val="24"/>
                <w:szCs w:val="24"/>
              </w:rPr>
            </w:pPr>
            <w:r>
              <w:rPr>
                <w:rFonts w:ascii="Times New Roman" w:hAnsi="Times New Roman" w:cs="Times New Roman"/>
                <w:bCs/>
                <w:sz w:val="24"/>
                <w:szCs w:val="24"/>
              </w:rPr>
              <w:t xml:space="preserve">Terminas patikslintas, kad pilnos apimties Studijos projektas turi būti parengtas per </w:t>
            </w:r>
            <w:r w:rsidR="008933E3">
              <w:rPr>
                <w:rFonts w:ascii="Times New Roman" w:hAnsi="Times New Roman" w:cs="Times New Roman"/>
                <w:bCs/>
                <w:sz w:val="24"/>
                <w:szCs w:val="24"/>
              </w:rPr>
              <w:t>4 mėn.</w:t>
            </w:r>
            <w:r>
              <w:rPr>
                <w:rFonts w:ascii="Times New Roman" w:hAnsi="Times New Roman" w:cs="Times New Roman"/>
                <w:bCs/>
                <w:sz w:val="24"/>
                <w:szCs w:val="24"/>
              </w:rPr>
              <w:t xml:space="preserve"> </w:t>
            </w:r>
          </w:p>
        </w:tc>
      </w:tr>
      <w:tr w:rsidR="00497DA9" w:rsidRPr="0025584A" w14:paraId="024FA83A" w14:textId="77777777" w:rsidTr="008D4E0B">
        <w:trPr>
          <w:trHeight w:val="414"/>
        </w:trPr>
        <w:tc>
          <w:tcPr>
            <w:tcW w:w="562" w:type="dxa"/>
            <w:vMerge/>
          </w:tcPr>
          <w:p w14:paraId="6B43FAA6" w14:textId="77777777" w:rsidR="00497DA9" w:rsidRPr="0025584A" w:rsidRDefault="00497DA9" w:rsidP="00497DA9">
            <w:pPr>
              <w:pStyle w:val="ListParagraph"/>
              <w:numPr>
                <w:ilvl w:val="0"/>
                <w:numId w:val="14"/>
              </w:numPr>
              <w:jc w:val="both"/>
              <w:rPr>
                <w:bCs/>
                <w:szCs w:val="24"/>
              </w:rPr>
            </w:pPr>
          </w:p>
        </w:tc>
        <w:tc>
          <w:tcPr>
            <w:tcW w:w="4536" w:type="dxa"/>
            <w:vMerge/>
            <w:shd w:val="clear" w:color="auto" w:fill="EAF1DD" w:themeFill="accent3" w:themeFillTint="33"/>
          </w:tcPr>
          <w:p w14:paraId="29F3973C" w14:textId="77777777" w:rsidR="00497DA9" w:rsidRPr="0025584A" w:rsidRDefault="00497DA9" w:rsidP="00497DA9">
            <w:pPr>
              <w:jc w:val="both"/>
              <w:rPr>
                <w:rFonts w:ascii="Times New Roman" w:hAnsi="Times New Roman" w:cs="Times New Roman"/>
                <w:bCs/>
                <w:sz w:val="24"/>
                <w:szCs w:val="24"/>
              </w:rPr>
            </w:pPr>
          </w:p>
        </w:tc>
        <w:tc>
          <w:tcPr>
            <w:tcW w:w="4252" w:type="dxa"/>
          </w:tcPr>
          <w:p w14:paraId="00FDA60D" w14:textId="4FCF172A" w:rsidR="00497DA9" w:rsidRPr="0025584A" w:rsidRDefault="00497DA9" w:rsidP="00497DA9">
            <w:pPr>
              <w:jc w:val="both"/>
              <w:rPr>
                <w:rFonts w:ascii="Times New Roman" w:hAnsi="Times New Roman" w:cs="Times New Roman"/>
                <w:bCs/>
                <w:sz w:val="24"/>
                <w:szCs w:val="24"/>
              </w:rPr>
            </w:pPr>
            <w:r w:rsidRPr="00162450">
              <w:rPr>
                <w:rFonts w:ascii="Times New Roman" w:hAnsi="Times New Roman" w:cs="Times New Roman"/>
                <w:bCs/>
                <w:sz w:val="24"/>
                <w:szCs w:val="24"/>
              </w:rPr>
              <w:t xml:space="preserve">Jei būtų keliami aukšto lygmens profesiniai ir empirinio įrodymo reikalavimai, didelė dalis techninės specifikacijos 1 </w:t>
            </w:r>
            <w:r>
              <w:rPr>
                <w:rFonts w:ascii="Times New Roman" w:hAnsi="Times New Roman" w:cs="Times New Roman"/>
                <w:bCs/>
                <w:sz w:val="24"/>
                <w:szCs w:val="24"/>
              </w:rPr>
              <w:t>l</w:t>
            </w:r>
            <w:r w:rsidRPr="00162450">
              <w:rPr>
                <w:rFonts w:ascii="Times New Roman" w:hAnsi="Times New Roman" w:cs="Times New Roman"/>
                <w:bCs/>
                <w:sz w:val="24"/>
                <w:szCs w:val="24"/>
              </w:rPr>
              <w:t xml:space="preserve">entelės reikalavimų yra sunkiai įgyvendinami. Konkrečiau pastabos pateiktos šios lentelės 3 punkte. </w:t>
            </w:r>
          </w:p>
        </w:tc>
        <w:tc>
          <w:tcPr>
            <w:tcW w:w="4679" w:type="dxa"/>
          </w:tcPr>
          <w:p w14:paraId="1DD7FE9E" w14:textId="7031700F" w:rsidR="00497DA9" w:rsidRPr="0025584A" w:rsidRDefault="004E226C" w:rsidP="00497DA9">
            <w:pPr>
              <w:jc w:val="both"/>
              <w:rPr>
                <w:rFonts w:ascii="Times New Roman" w:hAnsi="Times New Roman" w:cs="Times New Roman"/>
                <w:bCs/>
                <w:sz w:val="24"/>
                <w:szCs w:val="24"/>
              </w:rPr>
            </w:pPr>
            <w:r>
              <w:rPr>
                <w:rFonts w:ascii="Times New Roman" w:hAnsi="Times New Roman" w:cs="Times New Roman"/>
                <w:bCs/>
                <w:sz w:val="24"/>
                <w:szCs w:val="24"/>
              </w:rPr>
              <w:t>Kad būtų galima analizės rezultatus panaudoti rengiant Nacionalinę skaitmeninę darbotvarkę yra būtina faktais ir duomenimis</w:t>
            </w:r>
            <w:r w:rsidR="00987C38">
              <w:rPr>
                <w:rFonts w:ascii="Times New Roman" w:hAnsi="Times New Roman" w:cs="Times New Roman"/>
                <w:bCs/>
                <w:sz w:val="24"/>
                <w:szCs w:val="24"/>
              </w:rPr>
              <w:t xml:space="preserve"> pagrįsta analizė ir pasiūlymai.</w:t>
            </w:r>
          </w:p>
        </w:tc>
      </w:tr>
      <w:tr w:rsidR="007E4D86" w:rsidRPr="0025584A" w14:paraId="23ADED4E" w14:textId="08625022" w:rsidTr="008D4E0B">
        <w:trPr>
          <w:trHeight w:val="414"/>
        </w:trPr>
        <w:tc>
          <w:tcPr>
            <w:tcW w:w="562" w:type="dxa"/>
            <w:vMerge w:val="restart"/>
          </w:tcPr>
          <w:p w14:paraId="0BDF5788" w14:textId="77777777" w:rsidR="007E4D86" w:rsidRPr="0025584A" w:rsidRDefault="007E4D86" w:rsidP="00497DA9">
            <w:pPr>
              <w:pStyle w:val="ListParagraph"/>
              <w:numPr>
                <w:ilvl w:val="0"/>
                <w:numId w:val="14"/>
              </w:numPr>
              <w:jc w:val="both"/>
              <w:rPr>
                <w:bCs/>
                <w:szCs w:val="24"/>
              </w:rPr>
            </w:pPr>
          </w:p>
        </w:tc>
        <w:tc>
          <w:tcPr>
            <w:tcW w:w="4536" w:type="dxa"/>
            <w:vMerge w:val="restart"/>
            <w:shd w:val="clear" w:color="auto" w:fill="EAF1DD" w:themeFill="accent3" w:themeFillTint="33"/>
          </w:tcPr>
          <w:p w14:paraId="122DC278" w14:textId="4483B4E7" w:rsidR="007E4D86" w:rsidRPr="0025584A" w:rsidRDefault="007E4D86" w:rsidP="00497DA9">
            <w:pPr>
              <w:jc w:val="both"/>
              <w:rPr>
                <w:rFonts w:ascii="Times New Roman" w:hAnsi="Times New Roman" w:cs="Times New Roman"/>
                <w:bCs/>
                <w:sz w:val="24"/>
                <w:szCs w:val="24"/>
              </w:rPr>
            </w:pPr>
            <w:r w:rsidRPr="0025584A">
              <w:rPr>
                <w:rFonts w:ascii="Times New Roman" w:eastAsia="Times New Roman" w:hAnsi="Times New Roman" w:cs="Times New Roman"/>
                <w:sz w:val="24"/>
                <w:szCs w:val="24"/>
              </w:rPr>
              <w:t xml:space="preserve">Ko, Jūsų nuomone, trūksta </w:t>
            </w:r>
            <w:r w:rsidRPr="0025584A">
              <w:rPr>
                <w:rFonts w:ascii="Times New Roman" w:hAnsi="Times New Roman" w:cs="Times New Roman"/>
                <w:sz w:val="24"/>
                <w:szCs w:val="24"/>
              </w:rPr>
              <w:t>techninėje specifikacijoje</w:t>
            </w:r>
            <w:r w:rsidRPr="0025584A">
              <w:rPr>
                <w:rFonts w:ascii="Times New Roman" w:eastAsia="Times New Roman" w:hAnsi="Times New Roman" w:cs="Times New Roman"/>
                <w:sz w:val="24"/>
                <w:szCs w:val="24"/>
              </w:rPr>
              <w:t xml:space="preserve">, t. y. kokius papildomus reikalavimus perkamam objektui būtų tikslinga įrašyti (kurie iš jų yra būtini, kurie tik pageidaujami) ir kas techninėje specifikacijoje yra perteklinio t. y. kokius reikalavimus perkamam objektui būtų tikslinga išbraukti </w:t>
            </w:r>
            <w:r w:rsidRPr="0025584A">
              <w:rPr>
                <w:rFonts w:ascii="Times New Roman" w:eastAsia="Times New Roman" w:hAnsi="Times New Roman" w:cs="Times New Roman"/>
                <w:i/>
                <w:iCs/>
                <w:sz w:val="24"/>
                <w:szCs w:val="24"/>
              </w:rPr>
              <w:t>(prašome pateikti konkrečius pasiūlymus)</w:t>
            </w:r>
          </w:p>
        </w:tc>
        <w:tc>
          <w:tcPr>
            <w:tcW w:w="4252" w:type="dxa"/>
            <w:vAlign w:val="center"/>
          </w:tcPr>
          <w:p w14:paraId="6C8B43D6" w14:textId="026EB077" w:rsidR="007E4D86" w:rsidRPr="0025584A" w:rsidRDefault="007E4D86" w:rsidP="00E67376">
            <w:pPr>
              <w:pStyle w:val="ListParagraph"/>
              <w:numPr>
                <w:ilvl w:val="0"/>
                <w:numId w:val="21"/>
              </w:numPr>
              <w:ind w:left="0" w:firstLine="0"/>
              <w:jc w:val="both"/>
              <w:rPr>
                <w:bCs/>
                <w:szCs w:val="24"/>
              </w:rPr>
            </w:pPr>
            <w:r w:rsidRPr="0025584A">
              <w:rPr>
                <w:bCs/>
                <w:szCs w:val="24"/>
              </w:rPr>
              <w:t xml:space="preserve">Siūlome patikslinti 3.2.3 punktą, kad susitikimus organizuoja </w:t>
            </w:r>
            <w:r w:rsidRPr="0025584A">
              <w:rPr>
                <w:bCs/>
                <w:i/>
                <w:iCs/>
                <w:szCs w:val="24"/>
              </w:rPr>
              <w:t>(</w:t>
            </w:r>
            <w:proofErr w:type="spellStart"/>
            <w:r w:rsidRPr="0025584A">
              <w:rPr>
                <w:bCs/>
                <w:i/>
                <w:iCs/>
                <w:szCs w:val="24"/>
              </w:rPr>
              <w:t>t.y</w:t>
            </w:r>
            <w:proofErr w:type="spellEnd"/>
            <w:r w:rsidRPr="0025584A">
              <w:rPr>
                <w:bCs/>
                <w:i/>
                <w:iCs/>
                <w:szCs w:val="24"/>
              </w:rPr>
              <w:t>. sudaro dalyvių sąrašą, suderina laiką, išsiunčia kalendoriaus pakvietimą ir kt.)</w:t>
            </w:r>
            <w:r w:rsidRPr="0025584A">
              <w:rPr>
                <w:bCs/>
                <w:szCs w:val="24"/>
              </w:rPr>
              <w:t xml:space="preserve"> Paslaugų teikėjas, suderinęs su Ekonomikos ir inovacijų ministerijos paskirtu už sutarties vykdymą atsakingu asmeniu. </w:t>
            </w:r>
            <w:r w:rsidRPr="0025584A">
              <w:rPr>
                <w:bCs/>
                <w:i/>
                <w:iCs/>
                <w:szCs w:val="24"/>
              </w:rPr>
              <w:t xml:space="preserve">Už suinteresuotų šalių oficialų pakvietimą (raštais ar el. paštu) atsakingas Ekonomikos ir inovacijų ministerijos paskirtas už sutarties vykdymą atsakingas asmuo. </w:t>
            </w:r>
            <w:r w:rsidRPr="0025584A">
              <w:rPr>
                <w:bCs/>
                <w:szCs w:val="24"/>
              </w:rPr>
              <w:t>Ministerijos pakvietimas būtinas, kad suinteresuotos šalys, ypatingai viešojo sektoriaus atstovai, aktyviai dalyvautų diskusijose.</w:t>
            </w:r>
          </w:p>
          <w:p w14:paraId="008A22B4" w14:textId="7ADE3B27" w:rsidR="007E4D86" w:rsidRPr="0025584A" w:rsidRDefault="007E4D86" w:rsidP="00E67376">
            <w:pPr>
              <w:pStyle w:val="ListParagraph"/>
              <w:numPr>
                <w:ilvl w:val="0"/>
                <w:numId w:val="21"/>
              </w:numPr>
              <w:ind w:left="0" w:firstLine="0"/>
              <w:jc w:val="both"/>
              <w:rPr>
                <w:bCs/>
                <w:szCs w:val="24"/>
              </w:rPr>
            </w:pPr>
            <w:r w:rsidRPr="0025584A">
              <w:rPr>
                <w:bCs/>
                <w:szCs w:val="24"/>
              </w:rPr>
              <w:t>Siūlome patikslinti 3.2.6 punktą, apibrėžiant preliminarų susitikimų su suinteresuotomis šalimis skaičių. Vadovaujantis patirtimi, siūlome numatyti: „</w:t>
            </w:r>
            <w:r w:rsidRPr="0025584A">
              <w:t xml:space="preserve">Suinteresuotų šalių įtraukimas gali būti vykdomas interviu ir (ar) organizuojant diskusijas. </w:t>
            </w:r>
            <w:r w:rsidRPr="0025584A">
              <w:rPr>
                <w:i/>
                <w:iCs/>
              </w:rPr>
              <w:t xml:space="preserve">Turi būti suorganizuoti ne mažiau kaip vienas </w:t>
            </w:r>
            <w:r w:rsidRPr="0025584A">
              <w:rPr>
                <w:i/>
                <w:iCs/>
              </w:rPr>
              <w:lastRenderedPageBreak/>
              <w:t>interviu / diskusija pagal kiekvieną strateginį tikslą su suinteresuotomis šalimis</w:t>
            </w:r>
            <w:r>
              <w:rPr>
                <w:i/>
                <w:iCs/>
              </w:rPr>
              <w:t xml:space="preserve">, </w:t>
            </w:r>
            <w:proofErr w:type="spellStart"/>
            <w:r>
              <w:rPr>
                <w:i/>
                <w:iCs/>
              </w:rPr>
              <w:t>t.y</w:t>
            </w:r>
            <w:proofErr w:type="spellEnd"/>
            <w:r>
              <w:rPr>
                <w:i/>
                <w:iCs/>
              </w:rPr>
              <w:t xml:space="preserve">. ne mažiau negu </w:t>
            </w:r>
            <w:r w:rsidRPr="000E3D10">
              <w:rPr>
                <w:i/>
                <w:iCs/>
              </w:rPr>
              <w:t>10-15 interviu/susitikim</w:t>
            </w:r>
            <w:r>
              <w:rPr>
                <w:i/>
                <w:iCs/>
              </w:rPr>
              <w:t>ų</w:t>
            </w:r>
            <w:r w:rsidRPr="0025584A">
              <w:rPr>
                <w:i/>
                <w:iCs/>
              </w:rPr>
              <w:t>.</w:t>
            </w:r>
            <w:r w:rsidRPr="0025584A">
              <w:t>“</w:t>
            </w:r>
          </w:p>
        </w:tc>
        <w:tc>
          <w:tcPr>
            <w:tcW w:w="4679" w:type="dxa"/>
          </w:tcPr>
          <w:p w14:paraId="3EA8D9E1" w14:textId="3133490E" w:rsidR="007E4D86" w:rsidRPr="0025584A" w:rsidRDefault="008933E3" w:rsidP="007E4D86">
            <w:pPr>
              <w:pStyle w:val="ListParagraph"/>
              <w:ind w:left="0"/>
              <w:jc w:val="both"/>
              <w:rPr>
                <w:bCs/>
                <w:szCs w:val="24"/>
              </w:rPr>
            </w:pPr>
            <w:r>
              <w:rPr>
                <w:bCs/>
                <w:szCs w:val="24"/>
              </w:rPr>
              <w:lastRenderedPageBreak/>
              <w:t>Į siūlymus bus atsižvelgta</w:t>
            </w:r>
            <w:r w:rsidR="007E4D86">
              <w:rPr>
                <w:bCs/>
                <w:szCs w:val="24"/>
              </w:rPr>
              <w:t>.</w:t>
            </w:r>
          </w:p>
        </w:tc>
      </w:tr>
      <w:tr w:rsidR="007E4D86" w:rsidRPr="0025584A" w14:paraId="05E66134" w14:textId="77777777" w:rsidTr="008D4E0B">
        <w:trPr>
          <w:trHeight w:val="414"/>
        </w:trPr>
        <w:tc>
          <w:tcPr>
            <w:tcW w:w="562" w:type="dxa"/>
            <w:vMerge/>
          </w:tcPr>
          <w:p w14:paraId="6AAAD873" w14:textId="77777777" w:rsidR="007E4D86" w:rsidRPr="0025584A" w:rsidRDefault="007E4D86" w:rsidP="00497DA9">
            <w:pPr>
              <w:pStyle w:val="ListParagraph"/>
              <w:numPr>
                <w:ilvl w:val="0"/>
                <w:numId w:val="14"/>
              </w:numPr>
              <w:jc w:val="both"/>
              <w:rPr>
                <w:bCs/>
                <w:szCs w:val="24"/>
              </w:rPr>
            </w:pPr>
          </w:p>
        </w:tc>
        <w:tc>
          <w:tcPr>
            <w:tcW w:w="4536" w:type="dxa"/>
            <w:vMerge/>
            <w:shd w:val="clear" w:color="auto" w:fill="EAF1DD" w:themeFill="accent3" w:themeFillTint="33"/>
          </w:tcPr>
          <w:p w14:paraId="373E9410" w14:textId="77777777" w:rsidR="007E4D86" w:rsidRPr="0025584A" w:rsidRDefault="007E4D86" w:rsidP="00497DA9">
            <w:pPr>
              <w:jc w:val="both"/>
              <w:rPr>
                <w:rFonts w:ascii="Times New Roman" w:eastAsia="Times New Roman" w:hAnsi="Times New Roman" w:cs="Times New Roman"/>
                <w:sz w:val="24"/>
                <w:szCs w:val="24"/>
              </w:rPr>
            </w:pPr>
          </w:p>
        </w:tc>
        <w:tc>
          <w:tcPr>
            <w:tcW w:w="4252" w:type="dxa"/>
            <w:vAlign w:val="center"/>
          </w:tcPr>
          <w:p w14:paraId="76C2ECF2" w14:textId="7739344C" w:rsidR="007E4D86" w:rsidRPr="0025584A" w:rsidRDefault="00BA2625" w:rsidP="00067181">
            <w:pPr>
              <w:pStyle w:val="ListParagraph"/>
              <w:ind w:left="41" w:firstLine="319"/>
              <w:jc w:val="both"/>
              <w:rPr>
                <w:bCs/>
                <w:szCs w:val="24"/>
              </w:rPr>
            </w:pPr>
            <w:r>
              <w:rPr>
                <w:bCs/>
                <w:szCs w:val="24"/>
              </w:rPr>
              <w:t xml:space="preserve">Rekomenduotume perstruktūruoti studijos techninės specifikacijos uždavinių ir klausimų dalį (1 lentelę), aiškiai atskiriant objekto analizės dalį, viešosios politikos diskurso analizės dalį, strateginio planavimo ir strateginių dokumentų rengimo dalį ir t. t. Taip pat reikėtų aiškesnės objekto pločio ir gylio apibrėžties, taip kaip suformuota šios </w:t>
            </w:r>
            <w:r w:rsidRPr="036DE0A0">
              <w:rPr>
                <w:szCs w:val="24"/>
              </w:rPr>
              <w:t>lentelės</w:t>
            </w:r>
            <w:r>
              <w:rPr>
                <w:bCs/>
                <w:szCs w:val="24"/>
              </w:rPr>
              <w:t xml:space="preserve"> komentare ties 3 punktu.</w:t>
            </w:r>
          </w:p>
        </w:tc>
        <w:tc>
          <w:tcPr>
            <w:tcW w:w="4679" w:type="dxa"/>
          </w:tcPr>
          <w:p w14:paraId="2C07E6CF" w14:textId="3E40C8B5" w:rsidR="008B7BFC" w:rsidRPr="006D1252" w:rsidRDefault="00EB3AA4" w:rsidP="008B7BFC">
            <w:pPr>
              <w:jc w:val="both"/>
              <w:rPr>
                <w:rFonts w:ascii="Times New Roman" w:hAnsi="Times New Roman" w:cs="Times New Roman"/>
                <w:bCs/>
                <w:sz w:val="24"/>
                <w:szCs w:val="24"/>
              </w:rPr>
            </w:pPr>
            <w:r w:rsidRPr="006D1252">
              <w:rPr>
                <w:rFonts w:ascii="Times New Roman" w:hAnsi="Times New Roman" w:cs="Times New Roman"/>
                <w:bCs/>
                <w:sz w:val="24"/>
                <w:szCs w:val="24"/>
              </w:rPr>
              <w:t xml:space="preserve">Viešosios politikos diskursas ir strateginio planavimų dokumentų rengimas nėra </w:t>
            </w:r>
            <w:r w:rsidR="008B7BFC" w:rsidRPr="006D1252">
              <w:rPr>
                <w:rFonts w:ascii="Times New Roman" w:hAnsi="Times New Roman" w:cs="Times New Roman"/>
                <w:bCs/>
                <w:sz w:val="24"/>
                <w:szCs w:val="24"/>
              </w:rPr>
              <w:t>šios analizės tikslas. Analizės tikslas</w:t>
            </w:r>
            <w:r w:rsidR="00E97E17">
              <w:rPr>
                <w:rFonts w:ascii="Times New Roman" w:hAnsi="Times New Roman" w:cs="Times New Roman"/>
                <w:bCs/>
                <w:sz w:val="24"/>
                <w:szCs w:val="24"/>
              </w:rPr>
              <w:t xml:space="preserve"> –</w:t>
            </w:r>
            <w:r w:rsidR="008B7BFC" w:rsidRPr="006D1252">
              <w:rPr>
                <w:rFonts w:ascii="Times New Roman" w:hAnsi="Times New Roman" w:cs="Times New Roman"/>
                <w:bCs/>
                <w:sz w:val="24"/>
                <w:szCs w:val="24"/>
              </w:rPr>
              <w:t>įvertinti</w:t>
            </w:r>
            <w:r w:rsidR="006E74AA" w:rsidRPr="006D1252">
              <w:rPr>
                <w:rFonts w:ascii="Times New Roman" w:hAnsi="Times New Roman" w:cs="Times New Roman"/>
                <w:bCs/>
                <w:sz w:val="24"/>
                <w:szCs w:val="24"/>
              </w:rPr>
              <w:t>,</w:t>
            </w:r>
            <w:r w:rsidR="008B7BFC" w:rsidRPr="006D1252">
              <w:rPr>
                <w:rFonts w:ascii="Times New Roman" w:hAnsi="Times New Roman" w:cs="Times New Roman"/>
                <w:bCs/>
                <w:sz w:val="24"/>
                <w:szCs w:val="24"/>
              </w:rPr>
              <w:t xml:space="preserve"> kas šiuo metų daroma/ planuojama daryti viešajame sektoriuje skaitmeninės plėtros srityje pagal 1.3 papunktyje įvardytas skaitmeninės plėtros sritis.</w:t>
            </w:r>
          </w:p>
          <w:p w14:paraId="2F08F687" w14:textId="462E5FDA" w:rsidR="007E4D86" w:rsidRPr="0025584A" w:rsidRDefault="007E4D86" w:rsidP="00EB3AA4">
            <w:pPr>
              <w:pStyle w:val="ListParagraph"/>
              <w:ind w:left="360"/>
              <w:jc w:val="both"/>
              <w:rPr>
                <w:bCs/>
                <w:szCs w:val="24"/>
              </w:rPr>
            </w:pPr>
          </w:p>
        </w:tc>
      </w:tr>
      <w:tr w:rsidR="007C629C" w:rsidRPr="0025584A" w14:paraId="2934BDBB" w14:textId="4533018B" w:rsidTr="008D4E0B">
        <w:trPr>
          <w:trHeight w:val="278"/>
        </w:trPr>
        <w:tc>
          <w:tcPr>
            <w:tcW w:w="562" w:type="dxa"/>
            <w:tcBorders>
              <w:bottom w:val="single" w:sz="4" w:space="0" w:color="auto"/>
            </w:tcBorders>
          </w:tcPr>
          <w:p w14:paraId="27C54BEE" w14:textId="77777777" w:rsidR="007C629C" w:rsidRPr="0025584A" w:rsidRDefault="007C629C" w:rsidP="00497DA9">
            <w:pPr>
              <w:pStyle w:val="ListParagraph"/>
              <w:numPr>
                <w:ilvl w:val="0"/>
                <w:numId w:val="14"/>
              </w:numPr>
              <w:jc w:val="center"/>
              <w:rPr>
                <w:bCs/>
                <w:szCs w:val="24"/>
              </w:rPr>
            </w:pPr>
          </w:p>
        </w:tc>
        <w:tc>
          <w:tcPr>
            <w:tcW w:w="4536" w:type="dxa"/>
            <w:tcBorders>
              <w:bottom w:val="single" w:sz="4" w:space="0" w:color="auto"/>
            </w:tcBorders>
            <w:shd w:val="clear" w:color="auto" w:fill="EAF1DD" w:themeFill="accent3" w:themeFillTint="33"/>
          </w:tcPr>
          <w:p w14:paraId="56FEA361" w14:textId="2868878F" w:rsidR="007C629C" w:rsidRPr="0025584A" w:rsidRDefault="007C629C" w:rsidP="00497DA9">
            <w:pPr>
              <w:jc w:val="both"/>
              <w:rPr>
                <w:rFonts w:ascii="Times New Roman" w:hAnsi="Times New Roman" w:cs="Times New Roman"/>
                <w:bCs/>
                <w:sz w:val="24"/>
                <w:szCs w:val="24"/>
              </w:rPr>
            </w:pPr>
            <w:r w:rsidRPr="0025584A">
              <w:rPr>
                <w:rFonts w:ascii="Times New Roman" w:hAnsi="Times New Roman" w:cs="Times New Roman"/>
                <w:sz w:val="24"/>
                <w:szCs w:val="24"/>
              </w:rPr>
              <w:t>Kokie kvalifikacijos reikalavimai (jeigu būtų nuspręsta juos įtraukti), Jūsų nuomone, turėtų būti keliami tiekėjams, ketinantiems dalyvauti pirkimo procedūroje? Prašome pagrįsti.</w:t>
            </w:r>
          </w:p>
        </w:tc>
        <w:tc>
          <w:tcPr>
            <w:tcW w:w="4252" w:type="dxa"/>
            <w:vMerge w:val="restart"/>
          </w:tcPr>
          <w:p w14:paraId="3FAB2BCA" w14:textId="2D558E7E" w:rsidR="007C629C" w:rsidRPr="0025584A" w:rsidRDefault="007C629C" w:rsidP="00EE78FF">
            <w:pPr>
              <w:pStyle w:val="ListParagraph"/>
              <w:numPr>
                <w:ilvl w:val="0"/>
                <w:numId w:val="16"/>
              </w:numPr>
              <w:ind w:left="0" w:firstLine="0"/>
              <w:jc w:val="both"/>
              <w:rPr>
                <w:bCs/>
                <w:szCs w:val="24"/>
              </w:rPr>
            </w:pPr>
            <w:r w:rsidRPr="0025584A">
              <w:rPr>
                <w:bCs/>
                <w:szCs w:val="24"/>
              </w:rPr>
              <w:t>Tiek tiekėjui, tiek specialistams keliamas reikalavimas</w:t>
            </w:r>
            <w:r w:rsidRPr="0025584A">
              <w:rPr>
                <w:rFonts w:eastAsia="Times New Roman"/>
                <w:bCs/>
                <w:lang w:eastAsia="lt-LT"/>
              </w:rPr>
              <w:t xml:space="preserve">, kad atliktų projektų pagrindu būtų parengtas nacionalinio lygmens strateginio planavimo dokumentas („pagal kurias buvo parengtas nacionalinio lygmens strateginio planavimo dokumentas„). Atkreipiame dėmesį, kad nacionalinio lygmens politiką formuoja ne paslaugų tiekėjai ir toks reikalavimas gali būti neišpildytas dėl nuo paslaugų teikėjo nepriklausančių aplinkybių. Todėl siūlome formuluoti, </w:t>
            </w:r>
            <w:r w:rsidRPr="0025584A">
              <w:rPr>
                <w:rFonts w:eastAsia="Times New Roman"/>
                <w:bCs/>
                <w:i/>
                <w:iCs/>
                <w:lang w:eastAsia="lt-LT"/>
              </w:rPr>
              <w:t>„</w:t>
            </w:r>
            <w:r w:rsidRPr="0025584A">
              <w:rPr>
                <w:i/>
                <w:iCs/>
              </w:rPr>
              <w:t xml:space="preserve">suteikė skaitmeninės politikos srities analizės paslaugas, </w:t>
            </w:r>
            <w:r w:rsidRPr="0025584A">
              <w:rPr>
                <w:i/>
                <w:iCs/>
              </w:rPr>
              <w:lastRenderedPageBreak/>
              <w:t>skirtas nacionalinio lygmens strateginiams dokumentams parengti</w:t>
            </w:r>
            <w:r w:rsidRPr="0025584A">
              <w:rPr>
                <w:rFonts w:eastAsia="Times New Roman"/>
                <w:bCs/>
                <w:i/>
                <w:iCs/>
                <w:lang w:eastAsia="lt-LT"/>
              </w:rPr>
              <w:t>“.</w:t>
            </w:r>
          </w:p>
          <w:p w14:paraId="3F90E11B" w14:textId="526E94C7" w:rsidR="007C629C" w:rsidRPr="0025584A" w:rsidRDefault="007C629C" w:rsidP="00EE78FF">
            <w:pPr>
              <w:pStyle w:val="ListParagraph"/>
              <w:numPr>
                <w:ilvl w:val="0"/>
                <w:numId w:val="16"/>
              </w:numPr>
              <w:tabs>
                <w:tab w:val="left" w:pos="466"/>
              </w:tabs>
              <w:ind w:left="41" w:hanging="41"/>
              <w:jc w:val="both"/>
              <w:rPr>
                <w:bCs/>
                <w:color w:val="000000" w:themeColor="text1"/>
                <w:szCs w:val="24"/>
              </w:rPr>
            </w:pPr>
            <w:r w:rsidRPr="0025584A">
              <w:rPr>
                <w:bCs/>
                <w:color w:val="000000" w:themeColor="text1"/>
                <w:szCs w:val="24"/>
              </w:rPr>
              <w:t>Atsižvelgiant į tai, kad Techninėje specifikacijoje yra reikalavimai susiję su ES / tarpvalstybinio lygmens veiklų, projektų, finansavimo galimybių analize ir pasiūlymais, siūlome tiek tiekėjo, tiek specialistų reikalavimus papildyti atitinkama patirtimi: „...</w:t>
            </w:r>
            <w:r w:rsidRPr="0025584A">
              <w:rPr>
                <w:rFonts w:eastAsia="Times New Roman"/>
                <w:iCs/>
                <w:spacing w:val="2"/>
                <w:lang w:eastAsia="lt-LT"/>
              </w:rPr>
              <w:t xml:space="preserve">pagal vieną ar daugiau sutarčių yra savo jėgomis įvykdęs skaitmeninės politikos srities analizės, </w:t>
            </w:r>
            <w:r w:rsidRPr="0025584A">
              <w:rPr>
                <w:rFonts w:eastAsia="Times New Roman"/>
                <w:i/>
                <w:color w:val="000000" w:themeColor="text1"/>
                <w:spacing w:val="2"/>
                <w:lang w:eastAsia="lt-LT"/>
              </w:rPr>
              <w:t xml:space="preserve">įskaitant </w:t>
            </w:r>
            <w:r w:rsidRPr="0025584A">
              <w:rPr>
                <w:bCs/>
                <w:i/>
                <w:color w:val="000000" w:themeColor="text1"/>
                <w:szCs w:val="24"/>
              </w:rPr>
              <w:t>ES praktikų analizę, tarpvalstybinio lygmens veiklų apibrėžimą</w:t>
            </w:r>
            <w:r w:rsidRPr="0025584A">
              <w:rPr>
                <w:bCs/>
                <w:color w:val="000000" w:themeColor="text1"/>
                <w:szCs w:val="24"/>
              </w:rPr>
              <w:t>...“, „...</w:t>
            </w:r>
            <w:r w:rsidRPr="0025584A">
              <w:rPr>
                <w:rFonts w:eastAsia="Times New Roman"/>
                <w:bCs/>
                <w:lang w:eastAsia="lt-LT"/>
              </w:rPr>
              <w:t xml:space="preserve">įgyvendinant sutartį / projektą / kampaniją, kurios metu suteikė skaitmeninės politikos srities analizės paslaugas, </w:t>
            </w:r>
            <w:r w:rsidRPr="0025584A">
              <w:rPr>
                <w:rFonts w:eastAsia="Times New Roman"/>
                <w:i/>
                <w:color w:val="000000" w:themeColor="text1"/>
                <w:spacing w:val="2"/>
                <w:lang w:eastAsia="lt-LT"/>
              </w:rPr>
              <w:t xml:space="preserve">įskaitant </w:t>
            </w:r>
            <w:r w:rsidRPr="0025584A">
              <w:rPr>
                <w:bCs/>
                <w:i/>
                <w:color w:val="000000" w:themeColor="text1"/>
                <w:szCs w:val="24"/>
              </w:rPr>
              <w:t>ES praktikų analizę, tarpvalstybinio lygmens veiklų apibrėžimą</w:t>
            </w:r>
            <w:r w:rsidRPr="0025584A">
              <w:rPr>
                <w:bCs/>
                <w:color w:val="000000" w:themeColor="text1"/>
                <w:szCs w:val="24"/>
              </w:rPr>
              <w:t>...“.</w:t>
            </w:r>
          </w:p>
          <w:p w14:paraId="5861F3DA" w14:textId="16583CF3" w:rsidR="007C629C" w:rsidRPr="0025584A" w:rsidRDefault="007C629C" w:rsidP="00EE78FF">
            <w:pPr>
              <w:pStyle w:val="ListParagraph"/>
              <w:numPr>
                <w:ilvl w:val="0"/>
                <w:numId w:val="16"/>
              </w:numPr>
              <w:tabs>
                <w:tab w:val="left" w:pos="325"/>
              </w:tabs>
              <w:ind w:left="41" w:hanging="41"/>
              <w:jc w:val="both"/>
              <w:rPr>
                <w:bCs/>
                <w:szCs w:val="24"/>
              </w:rPr>
            </w:pPr>
            <w:r w:rsidRPr="0025584A">
              <w:rPr>
                <w:bCs/>
                <w:szCs w:val="24"/>
              </w:rPr>
              <w:t xml:space="preserve">Tiek konsultantui/ekspertui, tiek projektų vadovui keliamas reikalavimas dėl 12 mėn. sutarties įgyvendinimo („kuris per pastaruosius 3 (trejus) metus turi ne trumpesnę nei 12 (dvylikos) mėnesių darbo patirtį įgyvendinant sutartį / projektą / kampaniją“). Tokio pobūdžio sutartys tipiškai trunka trumpiau negu 1 metai, todėl siūlome patikslinti: „kuris per pastaruosius 3 (trejus) metus turi ne </w:t>
            </w:r>
            <w:r w:rsidRPr="0025584A">
              <w:rPr>
                <w:bCs/>
                <w:szCs w:val="24"/>
              </w:rPr>
              <w:lastRenderedPageBreak/>
              <w:t>trumpesnę nei 12 (dvylikos) mėnesių darbo patirtį įgyvendinant sutartį</w:t>
            </w:r>
            <w:r w:rsidRPr="0025584A">
              <w:rPr>
                <w:bCs/>
                <w:i/>
                <w:iCs/>
                <w:szCs w:val="24"/>
              </w:rPr>
              <w:t>(-</w:t>
            </w:r>
            <w:proofErr w:type="spellStart"/>
            <w:r w:rsidRPr="0025584A">
              <w:rPr>
                <w:bCs/>
                <w:i/>
                <w:iCs/>
                <w:szCs w:val="24"/>
              </w:rPr>
              <w:t>is</w:t>
            </w:r>
            <w:proofErr w:type="spellEnd"/>
            <w:r w:rsidRPr="0025584A">
              <w:rPr>
                <w:bCs/>
                <w:i/>
                <w:iCs/>
                <w:szCs w:val="24"/>
              </w:rPr>
              <w:t>)</w:t>
            </w:r>
            <w:r w:rsidRPr="0025584A">
              <w:rPr>
                <w:bCs/>
                <w:szCs w:val="24"/>
              </w:rPr>
              <w:t xml:space="preserve"> / projektą</w:t>
            </w:r>
            <w:r w:rsidRPr="0025584A">
              <w:rPr>
                <w:bCs/>
                <w:i/>
                <w:iCs/>
                <w:szCs w:val="24"/>
              </w:rPr>
              <w:t>(-</w:t>
            </w:r>
            <w:proofErr w:type="spellStart"/>
            <w:r w:rsidRPr="0025584A">
              <w:rPr>
                <w:bCs/>
                <w:i/>
                <w:iCs/>
                <w:szCs w:val="24"/>
              </w:rPr>
              <w:t>us</w:t>
            </w:r>
            <w:proofErr w:type="spellEnd"/>
            <w:r w:rsidRPr="0025584A">
              <w:rPr>
                <w:bCs/>
                <w:i/>
                <w:iCs/>
                <w:szCs w:val="24"/>
              </w:rPr>
              <w:t>)</w:t>
            </w:r>
            <w:r w:rsidRPr="0025584A">
              <w:rPr>
                <w:bCs/>
                <w:szCs w:val="24"/>
              </w:rPr>
              <w:t xml:space="preserve"> / kampaniją</w:t>
            </w:r>
            <w:r w:rsidRPr="0025584A">
              <w:rPr>
                <w:bCs/>
                <w:i/>
                <w:iCs/>
                <w:szCs w:val="24"/>
              </w:rPr>
              <w:t>(-</w:t>
            </w:r>
            <w:proofErr w:type="spellStart"/>
            <w:r w:rsidRPr="0025584A">
              <w:rPr>
                <w:bCs/>
                <w:i/>
                <w:iCs/>
                <w:szCs w:val="24"/>
              </w:rPr>
              <w:t>as</w:t>
            </w:r>
            <w:proofErr w:type="spellEnd"/>
            <w:r w:rsidRPr="0025584A">
              <w:rPr>
                <w:bCs/>
                <w:i/>
                <w:iCs/>
                <w:szCs w:val="24"/>
              </w:rPr>
              <w:t>)</w:t>
            </w:r>
            <w:r w:rsidRPr="0025584A">
              <w:rPr>
                <w:bCs/>
                <w:szCs w:val="24"/>
              </w:rPr>
              <w:t>“</w:t>
            </w:r>
          </w:p>
          <w:p w14:paraId="1942DDA7" w14:textId="77777777" w:rsidR="007C629C" w:rsidRPr="0025584A" w:rsidRDefault="007C629C" w:rsidP="00EE78FF">
            <w:pPr>
              <w:pStyle w:val="ListParagraph"/>
              <w:numPr>
                <w:ilvl w:val="0"/>
                <w:numId w:val="16"/>
              </w:numPr>
              <w:tabs>
                <w:tab w:val="left" w:pos="325"/>
              </w:tabs>
              <w:ind w:left="0" w:firstLine="0"/>
              <w:jc w:val="both"/>
              <w:rPr>
                <w:bCs/>
                <w:szCs w:val="24"/>
              </w:rPr>
            </w:pPr>
            <w:r w:rsidRPr="0025584A">
              <w:rPr>
                <w:bCs/>
                <w:szCs w:val="24"/>
              </w:rPr>
              <w:t>Nurodoma, kad tiekėjo ir specialistų kvalifikacijai pagrįsti tinka „</w:t>
            </w:r>
            <w:r w:rsidRPr="0025584A">
              <w:rPr>
                <w:rFonts w:eastAsia="Times New Roman"/>
                <w:bCs/>
                <w:lang w:eastAsia="lt-LT"/>
              </w:rPr>
              <w:t>Kampanija / projektas / sutartis“. Nėra aiški „kampanijos“</w:t>
            </w:r>
            <w:r w:rsidRPr="0025584A">
              <w:rPr>
                <w:bCs/>
                <w:szCs w:val="24"/>
              </w:rPr>
              <w:t xml:space="preserve"> reikšmė šio tipo paslaugų kontekste, todėl vietoj „kampanija“ siūlome naudoti </w:t>
            </w:r>
            <w:r w:rsidRPr="0025584A">
              <w:rPr>
                <w:bCs/>
                <w:i/>
                <w:iCs/>
                <w:szCs w:val="24"/>
              </w:rPr>
              <w:t>„veikla“</w:t>
            </w:r>
            <w:r w:rsidRPr="0025584A">
              <w:rPr>
                <w:bCs/>
                <w:szCs w:val="24"/>
              </w:rPr>
              <w:t>, kuris tiksliau apibrėžia, kad paslaugų teikėjas didesnio projekto ar sutarties apimtyje galėjo vykdyti veiklą, susijusią su skaitmeninės politikos srities analize.</w:t>
            </w:r>
          </w:p>
          <w:p w14:paraId="01CEA9BE" w14:textId="53677853" w:rsidR="007C629C" w:rsidRPr="0025584A" w:rsidRDefault="007C629C" w:rsidP="00EE78FF">
            <w:pPr>
              <w:pStyle w:val="ListParagraph"/>
              <w:numPr>
                <w:ilvl w:val="0"/>
                <w:numId w:val="16"/>
              </w:numPr>
              <w:tabs>
                <w:tab w:val="left" w:pos="466"/>
              </w:tabs>
              <w:ind w:left="41" w:hanging="41"/>
              <w:jc w:val="both"/>
              <w:rPr>
                <w:bCs/>
                <w:color w:val="FF0000"/>
                <w:szCs w:val="24"/>
              </w:rPr>
            </w:pPr>
            <w:r w:rsidRPr="0025584A">
              <w:rPr>
                <w:bCs/>
                <w:color w:val="000000" w:themeColor="text1"/>
                <w:szCs w:val="24"/>
              </w:rPr>
              <w:t xml:space="preserve">Projektas apima skirtingas skaitmeninės politikos sritis ir planuojamas gana trumpas laikotarpis paslaugų suteikimui, todėl siekiant, kad skaitmeninė darbotvarkė būtų parengiama atitinkamas sritis suprantančių ekspertų ir laiku, siūlome projekto įgyvendinimui įtraukti ne vieną ekspertą/konsultantą, bet 4 sektorinius ekspertus pagal ES lygmeniu apibrėžtas dimensijas – skaitmeniniai įgūdžiai, skaitmeninė infrastruktūra, įmonių skaitmeninė transformacija, viešųjų paslaugų skaitmenizacija: “Konsultantas/ ekspertas: kuris per pastaruosius 3 (trejus) metus turi ne trumpesnę nei 12 (dvylikos) </w:t>
            </w:r>
            <w:r w:rsidRPr="0025584A">
              <w:rPr>
                <w:bCs/>
                <w:color w:val="000000" w:themeColor="text1"/>
                <w:szCs w:val="24"/>
              </w:rPr>
              <w:lastRenderedPageBreak/>
              <w:t xml:space="preserve">mėnesių darbo patirtį įgyvendinant sutartį(-is) / projektą(-us) / veiklą(-as), kurios metu suteikė </w:t>
            </w:r>
            <w:r w:rsidRPr="00B34325">
              <w:rPr>
                <w:bCs/>
                <w:i/>
                <w:iCs/>
                <w:color w:val="000000" w:themeColor="text1"/>
                <w:szCs w:val="24"/>
              </w:rPr>
              <w:t>skaitmeninių įgūdžių</w:t>
            </w:r>
            <w:r w:rsidRPr="0025584A">
              <w:rPr>
                <w:bCs/>
                <w:color w:val="000000" w:themeColor="text1"/>
                <w:szCs w:val="24"/>
              </w:rPr>
              <w:t xml:space="preserve"> skaitmeninės politikos srities analizės paslaugas, skirtas nacionalinio lygmens strateginiams dokumentams parengti”. Atitinkamai galėtų būti formuluojami reikalavimai skaitmeninės infrastruktūros, įmonių skaitmeninės transformacijos, viešųjų paslaugų skaitmenizacijos sričių ekspertams.  </w:t>
            </w:r>
          </w:p>
        </w:tc>
        <w:tc>
          <w:tcPr>
            <w:tcW w:w="4679" w:type="dxa"/>
            <w:vMerge w:val="restart"/>
          </w:tcPr>
          <w:p w14:paraId="271F1438" w14:textId="5E11D242" w:rsidR="007C629C" w:rsidRDefault="008933E3" w:rsidP="00175CA1">
            <w:pPr>
              <w:pStyle w:val="ListParagraph"/>
              <w:numPr>
                <w:ilvl w:val="0"/>
                <w:numId w:val="23"/>
              </w:numPr>
              <w:tabs>
                <w:tab w:val="left" w:pos="459"/>
              </w:tabs>
              <w:ind w:left="-108" w:firstLine="108"/>
              <w:jc w:val="both"/>
              <w:rPr>
                <w:bCs/>
                <w:szCs w:val="24"/>
              </w:rPr>
            </w:pPr>
            <w:r w:rsidRPr="000D2583">
              <w:rPr>
                <w:bCs/>
                <w:szCs w:val="24"/>
              </w:rPr>
              <w:lastRenderedPageBreak/>
              <w:t>Perkančioji organizacija (PO) pagal poreikį atsižvelgs į tiekėjų siūlymus</w:t>
            </w:r>
            <w:r w:rsidR="00175CA1">
              <w:rPr>
                <w:bCs/>
                <w:szCs w:val="24"/>
              </w:rPr>
              <w:t>.</w:t>
            </w:r>
          </w:p>
          <w:p w14:paraId="18B31E8E" w14:textId="77777777" w:rsidR="00175CA1" w:rsidRDefault="00175CA1" w:rsidP="00175CA1">
            <w:pPr>
              <w:tabs>
                <w:tab w:val="left" w:pos="459"/>
              </w:tabs>
              <w:jc w:val="both"/>
              <w:rPr>
                <w:bCs/>
                <w:szCs w:val="24"/>
              </w:rPr>
            </w:pPr>
          </w:p>
          <w:p w14:paraId="0588F374" w14:textId="77777777" w:rsidR="00175CA1" w:rsidRDefault="00175CA1" w:rsidP="00175CA1">
            <w:pPr>
              <w:tabs>
                <w:tab w:val="left" w:pos="459"/>
              </w:tabs>
              <w:jc w:val="both"/>
              <w:rPr>
                <w:bCs/>
                <w:szCs w:val="24"/>
              </w:rPr>
            </w:pPr>
          </w:p>
          <w:p w14:paraId="2DDBA289" w14:textId="77777777" w:rsidR="00175CA1" w:rsidRDefault="00175CA1" w:rsidP="00175CA1">
            <w:pPr>
              <w:tabs>
                <w:tab w:val="left" w:pos="459"/>
              </w:tabs>
              <w:jc w:val="both"/>
              <w:rPr>
                <w:bCs/>
                <w:szCs w:val="24"/>
              </w:rPr>
            </w:pPr>
          </w:p>
          <w:p w14:paraId="70212811" w14:textId="77777777" w:rsidR="00175CA1" w:rsidRDefault="00175CA1" w:rsidP="00175CA1">
            <w:pPr>
              <w:tabs>
                <w:tab w:val="left" w:pos="459"/>
              </w:tabs>
              <w:jc w:val="both"/>
              <w:rPr>
                <w:bCs/>
                <w:szCs w:val="24"/>
              </w:rPr>
            </w:pPr>
          </w:p>
          <w:p w14:paraId="18A6FB2E" w14:textId="77777777" w:rsidR="00175CA1" w:rsidRDefault="00175CA1" w:rsidP="00175CA1">
            <w:pPr>
              <w:tabs>
                <w:tab w:val="left" w:pos="459"/>
              </w:tabs>
              <w:jc w:val="both"/>
              <w:rPr>
                <w:bCs/>
                <w:szCs w:val="24"/>
              </w:rPr>
            </w:pPr>
          </w:p>
          <w:p w14:paraId="448D872F" w14:textId="77777777" w:rsidR="00175CA1" w:rsidRDefault="00175CA1" w:rsidP="00175CA1">
            <w:pPr>
              <w:tabs>
                <w:tab w:val="left" w:pos="459"/>
              </w:tabs>
              <w:jc w:val="both"/>
              <w:rPr>
                <w:bCs/>
                <w:szCs w:val="24"/>
              </w:rPr>
            </w:pPr>
          </w:p>
          <w:p w14:paraId="6C0EEC91" w14:textId="77777777" w:rsidR="00175CA1" w:rsidRDefault="00175CA1" w:rsidP="00175CA1">
            <w:pPr>
              <w:tabs>
                <w:tab w:val="left" w:pos="459"/>
              </w:tabs>
              <w:jc w:val="both"/>
              <w:rPr>
                <w:bCs/>
                <w:szCs w:val="24"/>
              </w:rPr>
            </w:pPr>
          </w:p>
          <w:p w14:paraId="0E5E4749" w14:textId="77777777" w:rsidR="00175CA1" w:rsidRDefault="00175CA1" w:rsidP="00175CA1">
            <w:pPr>
              <w:tabs>
                <w:tab w:val="left" w:pos="459"/>
              </w:tabs>
              <w:jc w:val="both"/>
              <w:rPr>
                <w:bCs/>
                <w:szCs w:val="24"/>
              </w:rPr>
            </w:pPr>
          </w:p>
          <w:p w14:paraId="4FBCA632" w14:textId="77777777" w:rsidR="00175CA1" w:rsidRDefault="00175CA1" w:rsidP="00175CA1">
            <w:pPr>
              <w:tabs>
                <w:tab w:val="left" w:pos="459"/>
              </w:tabs>
              <w:jc w:val="both"/>
              <w:rPr>
                <w:bCs/>
                <w:szCs w:val="24"/>
              </w:rPr>
            </w:pPr>
          </w:p>
          <w:p w14:paraId="35498236" w14:textId="77777777" w:rsidR="00175CA1" w:rsidRDefault="00175CA1" w:rsidP="00175CA1">
            <w:pPr>
              <w:tabs>
                <w:tab w:val="left" w:pos="459"/>
              </w:tabs>
              <w:jc w:val="both"/>
              <w:rPr>
                <w:bCs/>
                <w:szCs w:val="24"/>
              </w:rPr>
            </w:pPr>
          </w:p>
          <w:p w14:paraId="288709CA" w14:textId="77777777" w:rsidR="00175CA1" w:rsidRDefault="00175CA1" w:rsidP="00175CA1">
            <w:pPr>
              <w:tabs>
                <w:tab w:val="left" w:pos="459"/>
              </w:tabs>
              <w:jc w:val="both"/>
              <w:rPr>
                <w:bCs/>
                <w:szCs w:val="24"/>
              </w:rPr>
            </w:pPr>
          </w:p>
          <w:p w14:paraId="1672C504" w14:textId="77777777" w:rsidR="00175CA1" w:rsidRDefault="00175CA1" w:rsidP="00175CA1">
            <w:pPr>
              <w:tabs>
                <w:tab w:val="left" w:pos="459"/>
              </w:tabs>
              <w:jc w:val="both"/>
              <w:rPr>
                <w:bCs/>
                <w:szCs w:val="24"/>
              </w:rPr>
            </w:pPr>
          </w:p>
          <w:p w14:paraId="42EE3630" w14:textId="77777777" w:rsidR="00175CA1" w:rsidRDefault="00175CA1" w:rsidP="00175CA1">
            <w:pPr>
              <w:tabs>
                <w:tab w:val="left" w:pos="459"/>
              </w:tabs>
              <w:jc w:val="both"/>
              <w:rPr>
                <w:bCs/>
                <w:szCs w:val="24"/>
              </w:rPr>
            </w:pPr>
          </w:p>
          <w:p w14:paraId="1FDF3ADB" w14:textId="77777777" w:rsidR="00175CA1" w:rsidRDefault="00175CA1" w:rsidP="00175CA1">
            <w:pPr>
              <w:tabs>
                <w:tab w:val="left" w:pos="459"/>
              </w:tabs>
              <w:jc w:val="both"/>
              <w:rPr>
                <w:bCs/>
                <w:szCs w:val="24"/>
              </w:rPr>
            </w:pPr>
          </w:p>
          <w:p w14:paraId="58351161" w14:textId="77777777" w:rsidR="00175CA1" w:rsidRDefault="00175CA1" w:rsidP="00175CA1">
            <w:pPr>
              <w:tabs>
                <w:tab w:val="left" w:pos="459"/>
              </w:tabs>
              <w:jc w:val="both"/>
              <w:rPr>
                <w:bCs/>
                <w:szCs w:val="24"/>
              </w:rPr>
            </w:pPr>
          </w:p>
          <w:p w14:paraId="58B4D192" w14:textId="04FD692B" w:rsidR="00CE1976" w:rsidRDefault="00CE1976" w:rsidP="00CE1976">
            <w:pPr>
              <w:pStyle w:val="ListParagraph"/>
              <w:numPr>
                <w:ilvl w:val="0"/>
                <w:numId w:val="23"/>
              </w:numPr>
              <w:tabs>
                <w:tab w:val="left" w:pos="459"/>
              </w:tabs>
              <w:ind w:left="-108" w:firstLine="108"/>
              <w:jc w:val="both"/>
              <w:rPr>
                <w:bCs/>
                <w:szCs w:val="24"/>
              </w:rPr>
            </w:pPr>
            <w:r w:rsidRPr="00417F7F">
              <w:rPr>
                <w:bCs/>
                <w:szCs w:val="24"/>
              </w:rPr>
              <w:t xml:space="preserve">Į siūlymą </w:t>
            </w:r>
            <w:r w:rsidR="000E3D10" w:rsidRPr="00417F7F">
              <w:rPr>
                <w:bCs/>
                <w:szCs w:val="24"/>
              </w:rPr>
              <w:t>ne</w:t>
            </w:r>
            <w:r w:rsidRPr="00417F7F">
              <w:rPr>
                <w:bCs/>
                <w:szCs w:val="24"/>
              </w:rPr>
              <w:t xml:space="preserve">atsižvelgta, </w:t>
            </w:r>
            <w:r w:rsidR="000E3D10" w:rsidRPr="00417F7F">
              <w:rPr>
                <w:bCs/>
                <w:szCs w:val="24"/>
              </w:rPr>
              <w:t>siekiant</w:t>
            </w:r>
            <w:r w:rsidR="000E3D10">
              <w:rPr>
                <w:bCs/>
                <w:szCs w:val="24"/>
              </w:rPr>
              <w:t xml:space="preserve"> neriboti tiekėjų konkurencijos</w:t>
            </w:r>
            <w:r>
              <w:rPr>
                <w:bCs/>
                <w:szCs w:val="24"/>
              </w:rPr>
              <w:t>.</w:t>
            </w:r>
          </w:p>
          <w:p w14:paraId="3C7F83E9" w14:textId="77777777" w:rsidR="00CE1976" w:rsidRDefault="00CE1976" w:rsidP="00CE1976">
            <w:pPr>
              <w:tabs>
                <w:tab w:val="left" w:pos="459"/>
              </w:tabs>
              <w:jc w:val="both"/>
              <w:rPr>
                <w:bCs/>
                <w:szCs w:val="24"/>
              </w:rPr>
            </w:pPr>
          </w:p>
          <w:p w14:paraId="105CB8DB" w14:textId="77777777" w:rsidR="00CE1976" w:rsidRDefault="00CE1976" w:rsidP="00CE1976">
            <w:pPr>
              <w:tabs>
                <w:tab w:val="left" w:pos="459"/>
              </w:tabs>
              <w:jc w:val="both"/>
              <w:rPr>
                <w:bCs/>
                <w:szCs w:val="24"/>
              </w:rPr>
            </w:pPr>
          </w:p>
          <w:p w14:paraId="5460ECC1" w14:textId="77777777" w:rsidR="00CE1976" w:rsidRDefault="00CE1976" w:rsidP="00CE1976">
            <w:pPr>
              <w:tabs>
                <w:tab w:val="left" w:pos="459"/>
              </w:tabs>
              <w:jc w:val="both"/>
              <w:rPr>
                <w:bCs/>
                <w:szCs w:val="24"/>
              </w:rPr>
            </w:pPr>
          </w:p>
          <w:p w14:paraId="11780238" w14:textId="77777777" w:rsidR="00CE1976" w:rsidRDefault="00CE1976" w:rsidP="00CE1976">
            <w:pPr>
              <w:tabs>
                <w:tab w:val="left" w:pos="459"/>
              </w:tabs>
              <w:jc w:val="both"/>
              <w:rPr>
                <w:bCs/>
                <w:szCs w:val="24"/>
              </w:rPr>
            </w:pPr>
          </w:p>
          <w:p w14:paraId="60E7E2FD" w14:textId="77777777" w:rsidR="00CE1976" w:rsidRDefault="00CE1976" w:rsidP="00CE1976">
            <w:pPr>
              <w:tabs>
                <w:tab w:val="left" w:pos="459"/>
              </w:tabs>
              <w:jc w:val="both"/>
              <w:rPr>
                <w:bCs/>
                <w:szCs w:val="24"/>
              </w:rPr>
            </w:pPr>
          </w:p>
          <w:p w14:paraId="6B5741D8" w14:textId="77777777" w:rsidR="00CE1976" w:rsidRDefault="00CE1976" w:rsidP="00CE1976">
            <w:pPr>
              <w:tabs>
                <w:tab w:val="left" w:pos="459"/>
              </w:tabs>
              <w:jc w:val="both"/>
              <w:rPr>
                <w:bCs/>
                <w:szCs w:val="24"/>
              </w:rPr>
            </w:pPr>
          </w:p>
          <w:p w14:paraId="634F1E45" w14:textId="77777777" w:rsidR="00CE1976" w:rsidRDefault="00CE1976" w:rsidP="00CE1976">
            <w:pPr>
              <w:tabs>
                <w:tab w:val="left" w:pos="459"/>
              </w:tabs>
              <w:jc w:val="both"/>
              <w:rPr>
                <w:bCs/>
                <w:szCs w:val="24"/>
              </w:rPr>
            </w:pPr>
          </w:p>
          <w:p w14:paraId="28093391" w14:textId="77777777" w:rsidR="00CE1976" w:rsidRDefault="00CE1976" w:rsidP="00CE1976">
            <w:pPr>
              <w:tabs>
                <w:tab w:val="left" w:pos="459"/>
              </w:tabs>
              <w:jc w:val="both"/>
              <w:rPr>
                <w:bCs/>
                <w:szCs w:val="24"/>
              </w:rPr>
            </w:pPr>
          </w:p>
          <w:p w14:paraId="5D9FBE9C" w14:textId="77777777" w:rsidR="00CE1976" w:rsidRDefault="00CE1976" w:rsidP="00CE1976">
            <w:pPr>
              <w:tabs>
                <w:tab w:val="left" w:pos="459"/>
              </w:tabs>
              <w:jc w:val="both"/>
              <w:rPr>
                <w:bCs/>
                <w:szCs w:val="24"/>
              </w:rPr>
            </w:pPr>
          </w:p>
          <w:p w14:paraId="0D07A2B6" w14:textId="77777777" w:rsidR="00CE1976" w:rsidRDefault="00CE1976" w:rsidP="00CE1976">
            <w:pPr>
              <w:tabs>
                <w:tab w:val="left" w:pos="459"/>
              </w:tabs>
              <w:jc w:val="both"/>
              <w:rPr>
                <w:bCs/>
                <w:szCs w:val="24"/>
              </w:rPr>
            </w:pPr>
          </w:p>
          <w:p w14:paraId="2495F01D" w14:textId="77777777" w:rsidR="00CE1976" w:rsidRDefault="00CE1976" w:rsidP="00CE1976">
            <w:pPr>
              <w:tabs>
                <w:tab w:val="left" w:pos="459"/>
              </w:tabs>
              <w:jc w:val="both"/>
              <w:rPr>
                <w:bCs/>
                <w:szCs w:val="24"/>
              </w:rPr>
            </w:pPr>
          </w:p>
          <w:p w14:paraId="7903564E" w14:textId="77777777" w:rsidR="00CE1976" w:rsidRDefault="00CE1976" w:rsidP="00CE1976">
            <w:pPr>
              <w:tabs>
                <w:tab w:val="left" w:pos="459"/>
              </w:tabs>
              <w:jc w:val="both"/>
              <w:rPr>
                <w:bCs/>
                <w:szCs w:val="24"/>
              </w:rPr>
            </w:pPr>
          </w:p>
          <w:p w14:paraId="3E145B62" w14:textId="77777777" w:rsidR="00CE1976" w:rsidRDefault="00CE1976" w:rsidP="00CE1976">
            <w:pPr>
              <w:tabs>
                <w:tab w:val="left" w:pos="459"/>
              </w:tabs>
              <w:jc w:val="both"/>
              <w:rPr>
                <w:bCs/>
                <w:szCs w:val="24"/>
              </w:rPr>
            </w:pPr>
          </w:p>
          <w:p w14:paraId="36794362" w14:textId="77777777" w:rsidR="00CE1976" w:rsidRDefault="00CE1976" w:rsidP="00CE1976">
            <w:pPr>
              <w:tabs>
                <w:tab w:val="left" w:pos="459"/>
              </w:tabs>
              <w:jc w:val="both"/>
              <w:rPr>
                <w:bCs/>
                <w:szCs w:val="24"/>
              </w:rPr>
            </w:pPr>
          </w:p>
          <w:p w14:paraId="54A52F43" w14:textId="77777777" w:rsidR="00CE1976" w:rsidRDefault="00CE1976" w:rsidP="00CE1976">
            <w:pPr>
              <w:tabs>
                <w:tab w:val="left" w:pos="459"/>
              </w:tabs>
              <w:jc w:val="both"/>
              <w:rPr>
                <w:bCs/>
                <w:szCs w:val="24"/>
              </w:rPr>
            </w:pPr>
          </w:p>
          <w:p w14:paraId="1FCC01FD" w14:textId="77777777" w:rsidR="00CE1976" w:rsidRDefault="00CE1976" w:rsidP="00CE1976">
            <w:pPr>
              <w:tabs>
                <w:tab w:val="left" w:pos="459"/>
              </w:tabs>
              <w:jc w:val="both"/>
              <w:rPr>
                <w:bCs/>
                <w:szCs w:val="24"/>
              </w:rPr>
            </w:pPr>
          </w:p>
          <w:p w14:paraId="0D07B7E8" w14:textId="77777777" w:rsidR="00CE1976" w:rsidRPr="00CE1976" w:rsidRDefault="00CE1976" w:rsidP="00CE1976">
            <w:pPr>
              <w:tabs>
                <w:tab w:val="left" w:pos="459"/>
              </w:tabs>
              <w:jc w:val="both"/>
              <w:rPr>
                <w:bCs/>
                <w:szCs w:val="24"/>
              </w:rPr>
            </w:pPr>
          </w:p>
          <w:p w14:paraId="6AD83F84" w14:textId="5D862224" w:rsidR="00175CA1" w:rsidRDefault="008933E3" w:rsidP="0039223B">
            <w:pPr>
              <w:pStyle w:val="ListParagraph"/>
              <w:numPr>
                <w:ilvl w:val="0"/>
                <w:numId w:val="23"/>
              </w:numPr>
              <w:tabs>
                <w:tab w:val="left" w:pos="0"/>
                <w:tab w:val="left" w:pos="317"/>
              </w:tabs>
              <w:ind w:left="-108" w:firstLine="108"/>
              <w:jc w:val="both"/>
              <w:rPr>
                <w:bCs/>
                <w:szCs w:val="24"/>
              </w:rPr>
            </w:pPr>
            <w:r w:rsidRPr="000D2583">
              <w:rPr>
                <w:bCs/>
                <w:szCs w:val="24"/>
              </w:rPr>
              <w:t>PO pagal poreikį atsižvelgs į tiekėjų siūlymus</w:t>
            </w:r>
            <w:r w:rsidR="001C5650">
              <w:rPr>
                <w:bCs/>
                <w:szCs w:val="24"/>
              </w:rPr>
              <w:t>.</w:t>
            </w:r>
          </w:p>
          <w:p w14:paraId="02FF35C8" w14:textId="77777777" w:rsidR="001C5650" w:rsidRDefault="001C5650" w:rsidP="001C5650">
            <w:pPr>
              <w:tabs>
                <w:tab w:val="left" w:pos="0"/>
                <w:tab w:val="left" w:pos="317"/>
              </w:tabs>
              <w:jc w:val="both"/>
              <w:rPr>
                <w:bCs/>
                <w:szCs w:val="24"/>
              </w:rPr>
            </w:pPr>
          </w:p>
          <w:p w14:paraId="1CA219CA" w14:textId="77777777" w:rsidR="001C5650" w:rsidRDefault="001C5650" w:rsidP="001C5650">
            <w:pPr>
              <w:tabs>
                <w:tab w:val="left" w:pos="0"/>
                <w:tab w:val="left" w:pos="317"/>
              </w:tabs>
              <w:jc w:val="both"/>
              <w:rPr>
                <w:bCs/>
                <w:szCs w:val="24"/>
              </w:rPr>
            </w:pPr>
          </w:p>
          <w:p w14:paraId="2C2BC1E0" w14:textId="77777777" w:rsidR="001C5650" w:rsidRDefault="001C5650" w:rsidP="001C5650">
            <w:pPr>
              <w:tabs>
                <w:tab w:val="left" w:pos="0"/>
                <w:tab w:val="left" w:pos="317"/>
              </w:tabs>
              <w:jc w:val="both"/>
              <w:rPr>
                <w:bCs/>
                <w:szCs w:val="24"/>
              </w:rPr>
            </w:pPr>
          </w:p>
          <w:p w14:paraId="5894A432" w14:textId="77777777" w:rsidR="001C5650" w:rsidRDefault="001C5650" w:rsidP="001C5650">
            <w:pPr>
              <w:tabs>
                <w:tab w:val="left" w:pos="0"/>
                <w:tab w:val="left" w:pos="317"/>
              </w:tabs>
              <w:jc w:val="both"/>
              <w:rPr>
                <w:bCs/>
                <w:szCs w:val="24"/>
              </w:rPr>
            </w:pPr>
          </w:p>
          <w:p w14:paraId="1EA27902" w14:textId="77777777" w:rsidR="001C5650" w:rsidRDefault="001C5650" w:rsidP="001C5650">
            <w:pPr>
              <w:tabs>
                <w:tab w:val="left" w:pos="0"/>
                <w:tab w:val="left" w:pos="317"/>
              </w:tabs>
              <w:jc w:val="both"/>
              <w:rPr>
                <w:bCs/>
                <w:szCs w:val="24"/>
              </w:rPr>
            </w:pPr>
          </w:p>
          <w:p w14:paraId="27CA1A00" w14:textId="77777777" w:rsidR="001C5650" w:rsidRDefault="001C5650" w:rsidP="001C5650">
            <w:pPr>
              <w:tabs>
                <w:tab w:val="left" w:pos="0"/>
                <w:tab w:val="left" w:pos="317"/>
              </w:tabs>
              <w:jc w:val="both"/>
              <w:rPr>
                <w:bCs/>
                <w:szCs w:val="24"/>
              </w:rPr>
            </w:pPr>
          </w:p>
          <w:p w14:paraId="2CC0CD61" w14:textId="77777777" w:rsidR="001C5650" w:rsidRDefault="001C5650" w:rsidP="001C5650">
            <w:pPr>
              <w:tabs>
                <w:tab w:val="left" w:pos="0"/>
                <w:tab w:val="left" w:pos="317"/>
              </w:tabs>
              <w:jc w:val="both"/>
              <w:rPr>
                <w:bCs/>
                <w:szCs w:val="24"/>
              </w:rPr>
            </w:pPr>
          </w:p>
          <w:p w14:paraId="6EEB056A" w14:textId="77777777" w:rsidR="001C5650" w:rsidRDefault="001C5650" w:rsidP="001C5650">
            <w:pPr>
              <w:tabs>
                <w:tab w:val="left" w:pos="0"/>
                <w:tab w:val="left" w:pos="317"/>
              </w:tabs>
              <w:jc w:val="both"/>
              <w:rPr>
                <w:bCs/>
                <w:szCs w:val="24"/>
              </w:rPr>
            </w:pPr>
          </w:p>
          <w:p w14:paraId="1030F879" w14:textId="77777777" w:rsidR="001C5650" w:rsidRDefault="001C5650" w:rsidP="001C5650">
            <w:pPr>
              <w:tabs>
                <w:tab w:val="left" w:pos="0"/>
                <w:tab w:val="left" w:pos="317"/>
              </w:tabs>
              <w:jc w:val="both"/>
              <w:rPr>
                <w:bCs/>
                <w:szCs w:val="24"/>
              </w:rPr>
            </w:pPr>
          </w:p>
          <w:p w14:paraId="71004FE5" w14:textId="77777777" w:rsidR="001C5650" w:rsidRDefault="001C5650" w:rsidP="001C5650">
            <w:pPr>
              <w:tabs>
                <w:tab w:val="left" w:pos="0"/>
                <w:tab w:val="left" w:pos="317"/>
              </w:tabs>
              <w:jc w:val="both"/>
              <w:rPr>
                <w:bCs/>
                <w:szCs w:val="24"/>
              </w:rPr>
            </w:pPr>
          </w:p>
          <w:p w14:paraId="64D8148A" w14:textId="77777777" w:rsidR="001C5650" w:rsidRDefault="001C5650" w:rsidP="001C5650">
            <w:pPr>
              <w:tabs>
                <w:tab w:val="left" w:pos="0"/>
                <w:tab w:val="left" w:pos="317"/>
              </w:tabs>
              <w:jc w:val="both"/>
              <w:rPr>
                <w:bCs/>
                <w:szCs w:val="24"/>
              </w:rPr>
            </w:pPr>
          </w:p>
          <w:p w14:paraId="12CCEA80" w14:textId="77777777" w:rsidR="001C5650" w:rsidRDefault="001C5650" w:rsidP="001C5650">
            <w:pPr>
              <w:tabs>
                <w:tab w:val="left" w:pos="0"/>
                <w:tab w:val="left" w:pos="317"/>
              </w:tabs>
              <w:jc w:val="both"/>
              <w:rPr>
                <w:bCs/>
                <w:szCs w:val="24"/>
              </w:rPr>
            </w:pPr>
          </w:p>
          <w:p w14:paraId="53E992F2" w14:textId="71D60891" w:rsidR="001C5650" w:rsidRPr="004F2434" w:rsidRDefault="00290C94" w:rsidP="001C5650">
            <w:pPr>
              <w:tabs>
                <w:tab w:val="left" w:pos="0"/>
                <w:tab w:val="left" w:pos="317"/>
              </w:tabs>
              <w:jc w:val="both"/>
              <w:rPr>
                <w:rFonts w:ascii="Times New Roman" w:hAnsi="Times New Roman" w:cs="Times New Roman"/>
                <w:bCs/>
                <w:sz w:val="24"/>
                <w:szCs w:val="24"/>
              </w:rPr>
            </w:pPr>
            <w:r>
              <w:rPr>
                <w:bCs/>
                <w:szCs w:val="24"/>
              </w:rPr>
              <w:t xml:space="preserve">4. </w:t>
            </w:r>
            <w:r w:rsidR="00242C84" w:rsidRPr="004F2434">
              <w:rPr>
                <w:rFonts w:ascii="Times New Roman" w:hAnsi="Times New Roman" w:cs="Times New Roman"/>
                <w:bCs/>
                <w:sz w:val="24"/>
                <w:szCs w:val="24"/>
              </w:rPr>
              <w:t>Į</w:t>
            </w:r>
            <w:r w:rsidR="00295FDB" w:rsidRPr="004F2434">
              <w:rPr>
                <w:rFonts w:ascii="Times New Roman" w:hAnsi="Times New Roman" w:cs="Times New Roman"/>
                <w:bCs/>
                <w:sz w:val="24"/>
                <w:szCs w:val="24"/>
              </w:rPr>
              <w:t xml:space="preserve"> pasiūlymą atsižvelgta nebus, atsisakyta „kampanijos“ sąvokos</w:t>
            </w:r>
            <w:r w:rsidR="000E3D10" w:rsidRPr="004F2434">
              <w:rPr>
                <w:rFonts w:ascii="Times New Roman" w:hAnsi="Times New Roman" w:cs="Times New Roman"/>
                <w:bCs/>
                <w:sz w:val="24"/>
                <w:szCs w:val="24"/>
              </w:rPr>
              <w:t>.</w:t>
            </w:r>
          </w:p>
          <w:p w14:paraId="0AC16328" w14:textId="77777777" w:rsidR="001C5650" w:rsidRDefault="001C5650" w:rsidP="001C5650">
            <w:pPr>
              <w:tabs>
                <w:tab w:val="left" w:pos="0"/>
                <w:tab w:val="left" w:pos="317"/>
              </w:tabs>
              <w:jc w:val="both"/>
              <w:rPr>
                <w:bCs/>
                <w:szCs w:val="24"/>
              </w:rPr>
            </w:pPr>
          </w:p>
          <w:p w14:paraId="4AA1F560" w14:textId="77777777" w:rsidR="001C5650" w:rsidRDefault="001C5650" w:rsidP="001C5650">
            <w:pPr>
              <w:tabs>
                <w:tab w:val="left" w:pos="0"/>
                <w:tab w:val="left" w:pos="317"/>
              </w:tabs>
              <w:jc w:val="both"/>
              <w:rPr>
                <w:bCs/>
                <w:szCs w:val="24"/>
              </w:rPr>
            </w:pPr>
          </w:p>
          <w:p w14:paraId="74898C74" w14:textId="77777777" w:rsidR="001C5650" w:rsidRDefault="001C5650" w:rsidP="001C5650">
            <w:pPr>
              <w:tabs>
                <w:tab w:val="left" w:pos="0"/>
                <w:tab w:val="left" w:pos="317"/>
              </w:tabs>
              <w:jc w:val="both"/>
              <w:rPr>
                <w:bCs/>
                <w:szCs w:val="24"/>
              </w:rPr>
            </w:pPr>
          </w:p>
          <w:p w14:paraId="748C8FDC" w14:textId="77777777" w:rsidR="001C5650" w:rsidRDefault="001C5650" w:rsidP="001C5650">
            <w:pPr>
              <w:tabs>
                <w:tab w:val="left" w:pos="0"/>
                <w:tab w:val="left" w:pos="317"/>
              </w:tabs>
              <w:jc w:val="both"/>
              <w:rPr>
                <w:bCs/>
                <w:szCs w:val="24"/>
              </w:rPr>
            </w:pPr>
          </w:p>
          <w:p w14:paraId="430BC469" w14:textId="77777777" w:rsidR="001C5650" w:rsidRDefault="001C5650" w:rsidP="001C5650">
            <w:pPr>
              <w:tabs>
                <w:tab w:val="left" w:pos="0"/>
                <w:tab w:val="left" w:pos="317"/>
              </w:tabs>
              <w:jc w:val="both"/>
              <w:rPr>
                <w:bCs/>
                <w:szCs w:val="24"/>
              </w:rPr>
            </w:pPr>
          </w:p>
          <w:p w14:paraId="4005D85A" w14:textId="77777777" w:rsidR="001C5650" w:rsidRDefault="001C5650" w:rsidP="001C5650">
            <w:pPr>
              <w:tabs>
                <w:tab w:val="left" w:pos="0"/>
                <w:tab w:val="left" w:pos="317"/>
              </w:tabs>
              <w:jc w:val="both"/>
              <w:rPr>
                <w:bCs/>
                <w:szCs w:val="24"/>
              </w:rPr>
            </w:pPr>
          </w:p>
          <w:p w14:paraId="199F0E48" w14:textId="77777777" w:rsidR="001C5650" w:rsidRDefault="001C5650" w:rsidP="001C5650">
            <w:pPr>
              <w:tabs>
                <w:tab w:val="left" w:pos="0"/>
                <w:tab w:val="left" w:pos="317"/>
              </w:tabs>
              <w:jc w:val="both"/>
              <w:rPr>
                <w:bCs/>
                <w:szCs w:val="24"/>
              </w:rPr>
            </w:pPr>
          </w:p>
          <w:p w14:paraId="6C931E19" w14:textId="77777777" w:rsidR="001C5650" w:rsidRDefault="001C5650" w:rsidP="001C5650">
            <w:pPr>
              <w:tabs>
                <w:tab w:val="left" w:pos="0"/>
                <w:tab w:val="left" w:pos="317"/>
              </w:tabs>
              <w:jc w:val="both"/>
              <w:rPr>
                <w:bCs/>
                <w:szCs w:val="24"/>
              </w:rPr>
            </w:pPr>
          </w:p>
          <w:p w14:paraId="2A131FFF" w14:textId="77777777" w:rsidR="001C5650" w:rsidRDefault="001C5650" w:rsidP="001C5650">
            <w:pPr>
              <w:tabs>
                <w:tab w:val="left" w:pos="0"/>
                <w:tab w:val="left" w:pos="317"/>
              </w:tabs>
              <w:jc w:val="both"/>
              <w:rPr>
                <w:bCs/>
                <w:szCs w:val="24"/>
              </w:rPr>
            </w:pPr>
          </w:p>
          <w:p w14:paraId="56C779F3" w14:textId="77777777" w:rsidR="001C5650" w:rsidRDefault="001C5650" w:rsidP="001C5650">
            <w:pPr>
              <w:tabs>
                <w:tab w:val="left" w:pos="0"/>
                <w:tab w:val="left" w:pos="317"/>
              </w:tabs>
              <w:jc w:val="both"/>
              <w:rPr>
                <w:bCs/>
                <w:szCs w:val="24"/>
              </w:rPr>
            </w:pPr>
          </w:p>
          <w:p w14:paraId="7E26B5D8" w14:textId="77777777" w:rsidR="001C5650" w:rsidRDefault="001C5650" w:rsidP="001C5650">
            <w:pPr>
              <w:tabs>
                <w:tab w:val="left" w:pos="0"/>
                <w:tab w:val="left" w:pos="317"/>
              </w:tabs>
              <w:jc w:val="both"/>
              <w:rPr>
                <w:bCs/>
                <w:szCs w:val="24"/>
              </w:rPr>
            </w:pPr>
          </w:p>
          <w:p w14:paraId="50CF130D" w14:textId="7FD65A47" w:rsidR="001C5650" w:rsidRPr="006D3990" w:rsidRDefault="00E76B7C" w:rsidP="001C5650">
            <w:pPr>
              <w:tabs>
                <w:tab w:val="left" w:pos="0"/>
                <w:tab w:val="left" w:pos="317"/>
              </w:tabs>
              <w:jc w:val="both"/>
              <w:rPr>
                <w:rFonts w:ascii="Times New Roman" w:hAnsi="Times New Roman" w:cs="Times New Roman"/>
                <w:bCs/>
                <w:szCs w:val="24"/>
              </w:rPr>
            </w:pPr>
            <w:r w:rsidRPr="00617248">
              <w:rPr>
                <w:rFonts w:ascii="Times New Roman" w:hAnsi="Times New Roman" w:cs="Times New Roman"/>
                <w:bCs/>
                <w:sz w:val="24"/>
                <w:szCs w:val="24"/>
              </w:rPr>
              <w:t xml:space="preserve">5. </w:t>
            </w:r>
            <w:r w:rsidR="008933E3" w:rsidRPr="008F6DC1">
              <w:rPr>
                <w:rFonts w:ascii="Times New Roman" w:hAnsi="Times New Roman" w:cs="Times New Roman"/>
                <w:bCs/>
                <w:sz w:val="24"/>
                <w:szCs w:val="24"/>
              </w:rPr>
              <w:t>PO pagal poreikį atsižvelgs į tiekėjų siūlymus</w:t>
            </w:r>
            <w:r w:rsidR="008933E3">
              <w:rPr>
                <w:rFonts w:ascii="Times New Roman" w:hAnsi="Times New Roman" w:cs="Times New Roman"/>
                <w:bCs/>
                <w:sz w:val="24"/>
                <w:szCs w:val="24"/>
              </w:rPr>
              <w:t>.</w:t>
            </w:r>
            <w:r w:rsidR="00617248" w:rsidRPr="00617248">
              <w:rPr>
                <w:rFonts w:ascii="Times New Roman" w:hAnsi="Times New Roman" w:cs="Times New Roman"/>
                <w:sz w:val="24"/>
                <w:szCs w:val="24"/>
              </w:rPr>
              <w:t>.</w:t>
            </w:r>
          </w:p>
        </w:tc>
      </w:tr>
      <w:tr w:rsidR="007C629C" w:rsidRPr="0025584A" w14:paraId="1834CE75" w14:textId="5EA9E92A" w:rsidTr="00F64E12">
        <w:trPr>
          <w:trHeight w:val="278"/>
        </w:trPr>
        <w:tc>
          <w:tcPr>
            <w:tcW w:w="562" w:type="dxa"/>
            <w:vMerge w:val="restart"/>
          </w:tcPr>
          <w:p w14:paraId="040B32CB" w14:textId="77777777" w:rsidR="007C629C" w:rsidRPr="0025584A" w:rsidRDefault="007C629C" w:rsidP="00497DA9">
            <w:pPr>
              <w:pStyle w:val="ListParagraph"/>
              <w:numPr>
                <w:ilvl w:val="0"/>
                <w:numId w:val="14"/>
              </w:numPr>
              <w:jc w:val="center"/>
              <w:rPr>
                <w:bCs/>
                <w:szCs w:val="24"/>
              </w:rPr>
            </w:pPr>
          </w:p>
        </w:tc>
        <w:tc>
          <w:tcPr>
            <w:tcW w:w="4536" w:type="dxa"/>
            <w:vMerge w:val="restart"/>
            <w:shd w:val="clear" w:color="auto" w:fill="EAF1DD" w:themeFill="accent3" w:themeFillTint="33"/>
          </w:tcPr>
          <w:p w14:paraId="12121009" w14:textId="77777777" w:rsidR="007C629C" w:rsidRPr="0025584A" w:rsidRDefault="007C629C" w:rsidP="00497DA9">
            <w:pPr>
              <w:jc w:val="both"/>
              <w:rPr>
                <w:rFonts w:ascii="Times New Roman" w:hAnsi="Times New Roman" w:cs="Times New Roman"/>
                <w:sz w:val="24"/>
                <w:szCs w:val="24"/>
              </w:rPr>
            </w:pPr>
            <w:r w:rsidRPr="0025584A">
              <w:rPr>
                <w:rFonts w:ascii="Times New Roman" w:hAnsi="Times New Roman" w:cs="Times New Roman"/>
                <w:sz w:val="24"/>
                <w:szCs w:val="24"/>
              </w:rPr>
              <w:t>Kokie nurodyti kvalifikacijos reikalavimai yra pertekliniai?</w:t>
            </w:r>
          </w:p>
          <w:p w14:paraId="3CA83598" w14:textId="59FDD39A" w:rsidR="007C629C" w:rsidRPr="0025584A" w:rsidRDefault="007C629C" w:rsidP="00497DA9">
            <w:pPr>
              <w:jc w:val="both"/>
              <w:rPr>
                <w:rFonts w:ascii="Times New Roman" w:hAnsi="Times New Roman" w:cs="Times New Roman"/>
                <w:color w:val="FF0000"/>
                <w:sz w:val="24"/>
                <w:szCs w:val="24"/>
              </w:rPr>
            </w:pPr>
            <w:r w:rsidRPr="0025584A">
              <w:rPr>
                <w:rFonts w:ascii="Times New Roman" w:hAnsi="Times New Roman" w:cs="Times New Roman"/>
                <w:sz w:val="24"/>
                <w:szCs w:val="24"/>
              </w:rPr>
              <w:t>Prašome pateikti argumentuotas pastabas ir/ar klausimus nurodant konkrečius punktus ir/ar teksto vietas.</w:t>
            </w:r>
          </w:p>
        </w:tc>
        <w:tc>
          <w:tcPr>
            <w:tcW w:w="4252" w:type="dxa"/>
            <w:vMerge/>
            <w:tcBorders>
              <w:bottom w:val="single" w:sz="4" w:space="0" w:color="auto"/>
            </w:tcBorders>
          </w:tcPr>
          <w:p w14:paraId="1C1CCEC3" w14:textId="5240C621" w:rsidR="007C629C" w:rsidRPr="0025584A" w:rsidRDefault="007C629C" w:rsidP="00497DA9">
            <w:pPr>
              <w:rPr>
                <w:rFonts w:ascii="Times New Roman" w:hAnsi="Times New Roman" w:cs="Times New Roman"/>
                <w:bCs/>
                <w:sz w:val="24"/>
                <w:szCs w:val="24"/>
              </w:rPr>
            </w:pPr>
          </w:p>
        </w:tc>
        <w:tc>
          <w:tcPr>
            <w:tcW w:w="4679" w:type="dxa"/>
            <w:vMerge/>
            <w:tcBorders>
              <w:bottom w:val="single" w:sz="4" w:space="0" w:color="auto"/>
            </w:tcBorders>
          </w:tcPr>
          <w:p w14:paraId="3762D0EB" w14:textId="77777777" w:rsidR="007C629C" w:rsidRPr="0025584A" w:rsidRDefault="007C629C" w:rsidP="00497DA9">
            <w:pPr>
              <w:rPr>
                <w:rFonts w:ascii="Times New Roman" w:hAnsi="Times New Roman" w:cs="Times New Roman"/>
                <w:bCs/>
                <w:sz w:val="24"/>
                <w:szCs w:val="24"/>
              </w:rPr>
            </w:pPr>
          </w:p>
        </w:tc>
      </w:tr>
      <w:tr w:rsidR="001C4040" w:rsidRPr="0025584A" w14:paraId="16D349C9" w14:textId="77777777" w:rsidTr="008D4E0B">
        <w:trPr>
          <w:trHeight w:val="278"/>
        </w:trPr>
        <w:tc>
          <w:tcPr>
            <w:tcW w:w="562" w:type="dxa"/>
            <w:vMerge/>
            <w:tcBorders>
              <w:bottom w:val="single" w:sz="4" w:space="0" w:color="auto"/>
            </w:tcBorders>
          </w:tcPr>
          <w:p w14:paraId="23765F11" w14:textId="77777777" w:rsidR="001C4040" w:rsidRPr="0025584A" w:rsidRDefault="001C4040" w:rsidP="00497DA9">
            <w:pPr>
              <w:pStyle w:val="ListParagraph"/>
              <w:numPr>
                <w:ilvl w:val="0"/>
                <w:numId w:val="14"/>
              </w:numPr>
              <w:jc w:val="center"/>
              <w:rPr>
                <w:bCs/>
                <w:szCs w:val="24"/>
              </w:rPr>
            </w:pPr>
          </w:p>
        </w:tc>
        <w:tc>
          <w:tcPr>
            <w:tcW w:w="4536" w:type="dxa"/>
            <w:vMerge/>
            <w:tcBorders>
              <w:bottom w:val="single" w:sz="4" w:space="0" w:color="auto"/>
            </w:tcBorders>
            <w:shd w:val="clear" w:color="auto" w:fill="EAF1DD" w:themeFill="accent3" w:themeFillTint="33"/>
          </w:tcPr>
          <w:p w14:paraId="0F29C5F4" w14:textId="77777777" w:rsidR="001C4040" w:rsidRPr="0025584A" w:rsidRDefault="001C4040" w:rsidP="00497DA9">
            <w:pPr>
              <w:jc w:val="both"/>
              <w:rPr>
                <w:rFonts w:ascii="Times New Roman" w:hAnsi="Times New Roman" w:cs="Times New Roman"/>
                <w:sz w:val="24"/>
                <w:szCs w:val="24"/>
              </w:rPr>
            </w:pPr>
          </w:p>
        </w:tc>
        <w:tc>
          <w:tcPr>
            <w:tcW w:w="4252" w:type="dxa"/>
            <w:tcBorders>
              <w:bottom w:val="single" w:sz="4" w:space="0" w:color="auto"/>
            </w:tcBorders>
          </w:tcPr>
          <w:p w14:paraId="5DF15DD9" w14:textId="77777777" w:rsidR="001C4040" w:rsidRDefault="001C4040" w:rsidP="001C4040">
            <w:pPr>
              <w:jc w:val="both"/>
              <w:rPr>
                <w:rFonts w:ascii="Times New Roman" w:eastAsia="Times New Roman" w:hAnsi="Times New Roman" w:cs="Times New Roman"/>
                <w:spacing w:val="2"/>
                <w:sz w:val="24"/>
                <w:szCs w:val="24"/>
                <w:lang w:eastAsia="lt-LT"/>
              </w:rPr>
            </w:pPr>
            <w:r w:rsidRPr="6AB98038">
              <w:rPr>
                <w:rFonts w:ascii="Times New Roman" w:hAnsi="Times New Roman" w:cs="Times New Roman"/>
                <w:sz w:val="24"/>
                <w:szCs w:val="24"/>
              </w:rPr>
              <w:t>Kvalifikacijos reikalavimai tiekėjui yra suformuoti itin siaurai, neatitinka bendrosios praktikos ir yra ribojantys konkurenciją. Siūlytume „</w:t>
            </w:r>
            <w:r w:rsidRPr="036DE0A0">
              <w:rPr>
                <w:rFonts w:ascii="Times New Roman" w:eastAsia="Times New Roman" w:hAnsi="Times New Roman" w:cs="Times New Roman"/>
                <w:spacing w:val="2"/>
                <w:sz w:val="24"/>
                <w:szCs w:val="24"/>
                <w:lang w:eastAsia="lt-LT"/>
              </w:rPr>
              <w:t xml:space="preserve">skaitmeninės politikos srities“ reikalavimą išplėsi į „viešosios politikos srities“. </w:t>
            </w:r>
          </w:p>
          <w:p w14:paraId="509BCCA6" w14:textId="0FAA3D41" w:rsidR="001C4040" w:rsidRPr="0025584A" w:rsidRDefault="001C4040" w:rsidP="001C4040">
            <w:pPr>
              <w:jc w:val="both"/>
              <w:rPr>
                <w:rFonts w:ascii="Times New Roman" w:hAnsi="Times New Roman" w:cs="Times New Roman"/>
                <w:bCs/>
                <w:sz w:val="24"/>
                <w:szCs w:val="24"/>
              </w:rPr>
            </w:pPr>
            <w:r w:rsidRPr="036DE0A0">
              <w:rPr>
                <w:rFonts w:ascii="Times New Roman" w:eastAsia="Times New Roman" w:hAnsi="Times New Roman" w:cs="Times New Roman"/>
                <w:spacing w:val="2"/>
                <w:sz w:val="24"/>
                <w:szCs w:val="24"/>
                <w:lang w:eastAsia="lt-LT"/>
              </w:rPr>
              <w:t>Atitinkamai reikalavimas turėtų būti koreguojamas ir Projektų vadovo pozicijai.</w:t>
            </w:r>
          </w:p>
        </w:tc>
        <w:tc>
          <w:tcPr>
            <w:tcW w:w="4679" w:type="dxa"/>
            <w:tcBorders>
              <w:bottom w:val="single" w:sz="4" w:space="0" w:color="auto"/>
            </w:tcBorders>
          </w:tcPr>
          <w:p w14:paraId="0406E030" w14:textId="3FBEB437" w:rsidR="001C4040" w:rsidRPr="0025584A" w:rsidRDefault="001C4040" w:rsidP="001C4040">
            <w:pPr>
              <w:jc w:val="both"/>
              <w:rPr>
                <w:rFonts w:ascii="Times New Roman" w:hAnsi="Times New Roman" w:cs="Times New Roman"/>
                <w:bCs/>
                <w:sz w:val="24"/>
                <w:szCs w:val="24"/>
              </w:rPr>
            </w:pPr>
            <w:r w:rsidRPr="001C4040">
              <w:rPr>
                <w:rFonts w:ascii="Times New Roman" w:hAnsi="Times New Roman" w:cs="Times New Roman"/>
                <w:bCs/>
                <w:sz w:val="24"/>
                <w:szCs w:val="24"/>
              </w:rPr>
              <w:t xml:space="preserve">Siūlymas </w:t>
            </w:r>
            <w:r>
              <w:rPr>
                <w:rFonts w:ascii="Times New Roman" w:hAnsi="Times New Roman" w:cs="Times New Roman"/>
                <w:bCs/>
                <w:sz w:val="24"/>
                <w:szCs w:val="24"/>
              </w:rPr>
              <w:t xml:space="preserve"> išplėsti į „viešosios politikos srities“ </w:t>
            </w:r>
            <w:r w:rsidRPr="001C4040">
              <w:rPr>
                <w:rFonts w:ascii="Times New Roman" w:hAnsi="Times New Roman" w:cs="Times New Roman"/>
                <w:bCs/>
                <w:sz w:val="24"/>
                <w:szCs w:val="24"/>
              </w:rPr>
              <w:t>per platus, Skaitmeninė politika pakankamai platus reikalavimas, nes tai yra horizontali sritis.</w:t>
            </w:r>
          </w:p>
        </w:tc>
      </w:tr>
      <w:tr w:rsidR="008933E3" w:rsidRPr="0025584A" w14:paraId="23683691" w14:textId="03BA388B" w:rsidTr="001C4DDB">
        <w:trPr>
          <w:trHeight w:val="569"/>
        </w:trPr>
        <w:tc>
          <w:tcPr>
            <w:tcW w:w="562" w:type="dxa"/>
            <w:vMerge w:val="restart"/>
            <w:tcBorders>
              <w:top w:val="single" w:sz="4" w:space="0" w:color="auto"/>
              <w:left w:val="single" w:sz="4" w:space="0" w:color="auto"/>
              <w:right w:val="single" w:sz="4" w:space="0" w:color="auto"/>
            </w:tcBorders>
          </w:tcPr>
          <w:p w14:paraId="7E14860E" w14:textId="77777777" w:rsidR="008933E3" w:rsidRPr="0025584A" w:rsidRDefault="008933E3" w:rsidP="008933E3">
            <w:pPr>
              <w:pStyle w:val="ListParagraph"/>
              <w:numPr>
                <w:ilvl w:val="0"/>
                <w:numId w:val="14"/>
              </w:numPr>
              <w:jc w:val="center"/>
              <w:rPr>
                <w:bCs/>
                <w:szCs w:val="24"/>
              </w:rPr>
            </w:pPr>
          </w:p>
        </w:tc>
        <w:tc>
          <w:tcPr>
            <w:tcW w:w="4536" w:type="dxa"/>
            <w:vMerge w:val="restart"/>
            <w:tcBorders>
              <w:top w:val="single" w:sz="4" w:space="0" w:color="auto"/>
              <w:left w:val="single" w:sz="4" w:space="0" w:color="auto"/>
              <w:right w:val="single" w:sz="4" w:space="0" w:color="auto"/>
            </w:tcBorders>
            <w:shd w:val="clear" w:color="auto" w:fill="EAF1DD" w:themeFill="accent3" w:themeFillTint="33"/>
          </w:tcPr>
          <w:p w14:paraId="7467C616" w14:textId="33233133" w:rsidR="008933E3" w:rsidRPr="0025584A" w:rsidRDefault="008933E3" w:rsidP="008933E3">
            <w:pPr>
              <w:jc w:val="both"/>
              <w:rPr>
                <w:rFonts w:ascii="Times New Roman" w:hAnsi="Times New Roman" w:cs="Times New Roman"/>
                <w:b/>
                <w:bCs/>
                <w:sz w:val="24"/>
                <w:szCs w:val="24"/>
              </w:rPr>
            </w:pPr>
            <w:r w:rsidRPr="0025584A">
              <w:rPr>
                <w:rFonts w:ascii="Times New Roman" w:eastAsia="Calibri" w:hAnsi="Times New Roman" w:cs="Times New Roman"/>
                <w:b/>
                <w:bCs/>
                <w:sz w:val="24"/>
                <w:szCs w:val="24"/>
              </w:rPr>
              <w:t>Kokia būtų preliminari paslaugų kaina (prašoma pirkimo vertės nustatymo tikslais)?</w:t>
            </w:r>
          </w:p>
        </w:tc>
        <w:tc>
          <w:tcPr>
            <w:tcW w:w="4252" w:type="dxa"/>
            <w:tcBorders>
              <w:top w:val="single" w:sz="4" w:space="0" w:color="auto"/>
              <w:left w:val="single" w:sz="4" w:space="0" w:color="auto"/>
              <w:bottom w:val="single" w:sz="4" w:space="0" w:color="auto"/>
              <w:right w:val="single" w:sz="4" w:space="0" w:color="auto"/>
            </w:tcBorders>
          </w:tcPr>
          <w:p w14:paraId="4C2735B3" w14:textId="643813DF" w:rsidR="008933E3" w:rsidRPr="0025584A" w:rsidRDefault="008933E3" w:rsidP="008933E3">
            <w:pPr>
              <w:jc w:val="both"/>
              <w:rPr>
                <w:rFonts w:ascii="Times New Roman" w:hAnsi="Times New Roman" w:cs="Times New Roman"/>
                <w:bCs/>
                <w:sz w:val="24"/>
                <w:szCs w:val="24"/>
              </w:rPr>
            </w:pPr>
            <w:r w:rsidRPr="003F618F">
              <w:rPr>
                <w:rFonts w:ascii="Times New Roman" w:hAnsi="Times New Roman" w:cs="Times New Roman"/>
                <w:bCs/>
                <w:i/>
                <w:iCs/>
                <w:sz w:val="24"/>
                <w:szCs w:val="24"/>
              </w:rPr>
              <w:t>Neskelbiama</w:t>
            </w:r>
          </w:p>
        </w:tc>
        <w:tc>
          <w:tcPr>
            <w:tcW w:w="4679" w:type="dxa"/>
            <w:tcBorders>
              <w:top w:val="single" w:sz="4" w:space="0" w:color="auto"/>
              <w:left w:val="single" w:sz="4" w:space="0" w:color="auto"/>
              <w:bottom w:val="single" w:sz="4" w:space="0" w:color="auto"/>
              <w:right w:val="single" w:sz="4" w:space="0" w:color="auto"/>
            </w:tcBorders>
          </w:tcPr>
          <w:p w14:paraId="1A17EAB0" w14:textId="565F4626" w:rsidR="008933E3" w:rsidRPr="0025584A" w:rsidRDefault="008933E3" w:rsidP="008933E3">
            <w:pPr>
              <w:jc w:val="both"/>
              <w:rPr>
                <w:rFonts w:ascii="Times New Roman" w:hAnsi="Times New Roman" w:cs="Times New Roman"/>
                <w:bCs/>
                <w:sz w:val="24"/>
                <w:szCs w:val="24"/>
              </w:rPr>
            </w:pPr>
            <w:r w:rsidRPr="002B3049">
              <w:rPr>
                <w:rFonts w:ascii="Times New Roman" w:hAnsi="Times New Roman" w:cs="Times New Roman"/>
                <w:bCs/>
                <w:i/>
                <w:iCs/>
                <w:sz w:val="24"/>
                <w:szCs w:val="24"/>
              </w:rPr>
              <w:t xml:space="preserve">Neskelbiama </w:t>
            </w:r>
          </w:p>
        </w:tc>
      </w:tr>
      <w:tr w:rsidR="008933E3" w:rsidRPr="0025584A" w14:paraId="0152CA08" w14:textId="77777777" w:rsidTr="001C4DDB">
        <w:trPr>
          <w:trHeight w:val="569"/>
        </w:trPr>
        <w:tc>
          <w:tcPr>
            <w:tcW w:w="562" w:type="dxa"/>
            <w:vMerge/>
            <w:tcBorders>
              <w:left w:val="single" w:sz="4" w:space="0" w:color="auto"/>
              <w:bottom w:val="single" w:sz="4" w:space="0" w:color="auto"/>
              <w:right w:val="single" w:sz="4" w:space="0" w:color="auto"/>
            </w:tcBorders>
          </w:tcPr>
          <w:p w14:paraId="5A908C43" w14:textId="77777777" w:rsidR="008933E3" w:rsidRPr="0025584A" w:rsidRDefault="008933E3" w:rsidP="008933E3">
            <w:pPr>
              <w:pStyle w:val="ListParagraph"/>
              <w:numPr>
                <w:ilvl w:val="0"/>
                <w:numId w:val="14"/>
              </w:numPr>
              <w:jc w:val="center"/>
              <w:rPr>
                <w:bCs/>
                <w:szCs w:val="24"/>
              </w:rPr>
            </w:pPr>
          </w:p>
        </w:tc>
        <w:tc>
          <w:tcPr>
            <w:tcW w:w="4536" w:type="dxa"/>
            <w:vMerge/>
            <w:tcBorders>
              <w:left w:val="single" w:sz="4" w:space="0" w:color="auto"/>
              <w:bottom w:val="single" w:sz="4" w:space="0" w:color="auto"/>
              <w:right w:val="single" w:sz="4" w:space="0" w:color="auto"/>
            </w:tcBorders>
            <w:shd w:val="clear" w:color="auto" w:fill="EAF1DD" w:themeFill="accent3" w:themeFillTint="33"/>
          </w:tcPr>
          <w:p w14:paraId="7661DCE0" w14:textId="77777777" w:rsidR="008933E3" w:rsidRPr="0025584A" w:rsidRDefault="008933E3" w:rsidP="008933E3">
            <w:pPr>
              <w:jc w:val="both"/>
              <w:rPr>
                <w:rFonts w:ascii="Times New Roman" w:eastAsia="Calibri" w:hAnsi="Times New Roman" w:cs="Times New Roman"/>
                <w:b/>
                <w:bCs/>
                <w:sz w:val="24"/>
                <w:szCs w:val="24"/>
              </w:rPr>
            </w:pPr>
          </w:p>
        </w:tc>
        <w:tc>
          <w:tcPr>
            <w:tcW w:w="4252" w:type="dxa"/>
            <w:tcBorders>
              <w:top w:val="single" w:sz="4" w:space="0" w:color="auto"/>
              <w:left w:val="single" w:sz="4" w:space="0" w:color="auto"/>
              <w:bottom w:val="single" w:sz="4" w:space="0" w:color="auto"/>
              <w:right w:val="single" w:sz="4" w:space="0" w:color="auto"/>
            </w:tcBorders>
          </w:tcPr>
          <w:p w14:paraId="236364DA" w14:textId="240D61FD" w:rsidR="008933E3" w:rsidRPr="0025584A" w:rsidRDefault="008933E3" w:rsidP="008933E3">
            <w:pPr>
              <w:jc w:val="both"/>
              <w:rPr>
                <w:rFonts w:ascii="Times New Roman" w:hAnsi="Times New Roman" w:cs="Times New Roman"/>
                <w:bCs/>
                <w:sz w:val="24"/>
                <w:szCs w:val="24"/>
              </w:rPr>
            </w:pPr>
            <w:r w:rsidRPr="003F618F">
              <w:rPr>
                <w:rFonts w:ascii="Times New Roman" w:hAnsi="Times New Roman" w:cs="Times New Roman"/>
                <w:bCs/>
                <w:i/>
                <w:iCs/>
                <w:sz w:val="24"/>
                <w:szCs w:val="24"/>
              </w:rPr>
              <w:t>Neskelbiama</w:t>
            </w:r>
          </w:p>
        </w:tc>
        <w:tc>
          <w:tcPr>
            <w:tcW w:w="4679" w:type="dxa"/>
            <w:tcBorders>
              <w:top w:val="single" w:sz="4" w:space="0" w:color="auto"/>
              <w:left w:val="single" w:sz="4" w:space="0" w:color="auto"/>
              <w:bottom w:val="single" w:sz="4" w:space="0" w:color="auto"/>
              <w:right w:val="single" w:sz="4" w:space="0" w:color="auto"/>
            </w:tcBorders>
          </w:tcPr>
          <w:p w14:paraId="3720D331" w14:textId="3074E6C0" w:rsidR="008933E3" w:rsidRPr="0025584A" w:rsidRDefault="008933E3" w:rsidP="008933E3">
            <w:pPr>
              <w:jc w:val="both"/>
              <w:rPr>
                <w:rFonts w:ascii="Times New Roman" w:hAnsi="Times New Roman" w:cs="Times New Roman"/>
                <w:bCs/>
                <w:sz w:val="24"/>
                <w:szCs w:val="24"/>
              </w:rPr>
            </w:pPr>
            <w:r w:rsidRPr="002B3049">
              <w:rPr>
                <w:rFonts w:ascii="Times New Roman" w:hAnsi="Times New Roman" w:cs="Times New Roman"/>
                <w:bCs/>
                <w:i/>
                <w:iCs/>
                <w:sz w:val="24"/>
                <w:szCs w:val="24"/>
              </w:rPr>
              <w:t>Neskelbiama</w:t>
            </w:r>
          </w:p>
        </w:tc>
      </w:tr>
      <w:tr w:rsidR="006A5676" w:rsidRPr="0025584A" w14:paraId="38A065F3" w14:textId="1D7AF076" w:rsidTr="00A9252E">
        <w:trPr>
          <w:trHeight w:val="1020"/>
        </w:trPr>
        <w:tc>
          <w:tcPr>
            <w:tcW w:w="562" w:type="dxa"/>
            <w:vMerge w:val="restart"/>
            <w:tcBorders>
              <w:top w:val="single" w:sz="4" w:space="0" w:color="auto"/>
              <w:left w:val="single" w:sz="4" w:space="0" w:color="auto"/>
              <w:right w:val="single" w:sz="4" w:space="0" w:color="auto"/>
            </w:tcBorders>
          </w:tcPr>
          <w:p w14:paraId="3105DA7A" w14:textId="77777777" w:rsidR="006A5676" w:rsidRPr="0025584A" w:rsidRDefault="006A5676" w:rsidP="00497DA9">
            <w:pPr>
              <w:pStyle w:val="ListParagraph"/>
              <w:numPr>
                <w:ilvl w:val="0"/>
                <w:numId w:val="14"/>
              </w:numPr>
              <w:jc w:val="center"/>
              <w:rPr>
                <w:bCs/>
                <w:szCs w:val="24"/>
              </w:rPr>
            </w:pPr>
          </w:p>
        </w:tc>
        <w:tc>
          <w:tcPr>
            <w:tcW w:w="4536" w:type="dxa"/>
            <w:vMerge w:val="restart"/>
            <w:tcBorders>
              <w:top w:val="single" w:sz="4" w:space="0" w:color="auto"/>
              <w:left w:val="single" w:sz="4" w:space="0" w:color="auto"/>
              <w:right w:val="single" w:sz="4" w:space="0" w:color="auto"/>
            </w:tcBorders>
            <w:shd w:val="clear" w:color="auto" w:fill="EAF1DD" w:themeFill="accent3" w:themeFillTint="33"/>
          </w:tcPr>
          <w:p w14:paraId="1965067D" w14:textId="77777777" w:rsidR="006A5676" w:rsidRPr="0025584A" w:rsidRDefault="006A5676" w:rsidP="00497DA9">
            <w:pPr>
              <w:tabs>
                <w:tab w:val="left" w:pos="284"/>
                <w:tab w:val="left" w:pos="709"/>
              </w:tabs>
              <w:contextualSpacing/>
              <w:jc w:val="both"/>
              <w:rPr>
                <w:rFonts w:ascii="Times New Roman" w:hAnsi="Times New Roman" w:cs="Times New Roman"/>
                <w:sz w:val="24"/>
                <w:szCs w:val="24"/>
              </w:rPr>
            </w:pPr>
            <w:r w:rsidRPr="0025584A">
              <w:rPr>
                <w:rFonts w:ascii="Times New Roman" w:hAnsi="Times New Roman" w:cs="Times New Roman"/>
                <w:sz w:val="24"/>
                <w:szCs w:val="24"/>
              </w:rPr>
              <w:t xml:space="preserve">Jei Perkančioji organizacija rinktųsi ekonominio naudingumo vertinimo kriterijų, kokie Jūsų nuomone, ekonominio naudingumo vertinimo kriterijai turėtų būti taikomi pirkimo procedūrų metu bei kokie </w:t>
            </w:r>
            <w:r w:rsidRPr="0025584A">
              <w:rPr>
                <w:rFonts w:ascii="Times New Roman" w:hAnsi="Times New Roman" w:cs="Times New Roman"/>
                <w:sz w:val="24"/>
                <w:szCs w:val="24"/>
              </w:rPr>
              <w:lastRenderedPageBreak/>
              <w:t>turėtų būti nustatyti šių kriterijų (ir jų parametrų) lyginamieji svoriai ekonominio naudingumo įvertinime? Nurodykite ir pagrįskite, kokia yra Jūsų siūlomų kriterijų įtaka perkamų paslaugų efektyvumui ir potencialiai ekonominei naudai?</w:t>
            </w:r>
          </w:p>
          <w:p w14:paraId="53B698B0" w14:textId="77777777" w:rsidR="006A5676" w:rsidRPr="0025584A" w:rsidRDefault="006A5676" w:rsidP="00497DA9">
            <w:pPr>
              <w:tabs>
                <w:tab w:val="left" w:pos="284"/>
                <w:tab w:val="left" w:pos="709"/>
              </w:tabs>
              <w:contextualSpacing/>
              <w:jc w:val="both"/>
              <w:rPr>
                <w:rFonts w:ascii="Times New Roman" w:hAnsi="Times New Roman" w:cs="Times New Roman"/>
                <w:sz w:val="24"/>
                <w:szCs w:val="24"/>
              </w:rPr>
            </w:pPr>
          </w:p>
          <w:p w14:paraId="489B4D57" w14:textId="1F0C8962" w:rsidR="006A5676" w:rsidRPr="0025584A" w:rsidRDefault="006A5676" w:rsidP="00497DA9">
            <w:pPr>
              <w:jc w:val="both"/>
              <w:rPr>
                <w:rFonts w:ascii="Times New Roman" w:hAnsi="Times New Roman" w:cs="Times New Roman"/>
                <w:sz w:val="24"/>
                <w:szCs w:val="24"/>
              </w:rPr>
            </w:pPr>
            <w:r w:rsidRPr="0025584A">
              <w:rPr>
                <w:rFonts w:ascii="Times New Roman" w:hAnsi="Times New Roman" w:cs="Times New Roman"/>
                <w:b/>
                <w:bCs/>
                <w:i/>
                <w:iCs/>
                <w:sz w:val="24"/>
                <w:szCs w:val="24"/>
              </w:rPr>
              <w:t>Pastaba.</w:t>
            </w:r>
            <w:r w:rsidRPr="0025584A">
              <w:rPr>
                <w:rFonts w:ascii="Times New Roman" w:hAnsi="Times New Roman" w:cs="Times New Roman"/>
                <w:sz w:val="24"/>
                <w:szCs w:val="24"/>
              </w:rPr>
              <w:t xml:space="preserve"> Perkančioji organizacija siekia nustatyti, kurie ekonominio naudingumo vertinimo kriterijai atneštų realios naudos siekiant pagrindinio tikslo – tinkamo ir savalaikio kokybiškų paslaugų suteikimo.</w:t>
            </w:r>
          </w:p>
        </w:tc>
        <w:tc>
          <w:tcPr>
            <w:tcW w:w="4252" w:type="dxa"/>
            <w:tcBorders>
              <w:top w:val="single" w:sz="4" w:space="0" w:color="auto"/>
              <w:left w:val="single" w:sz="4" w:space="0" w:color="auto"/>
              <w:right w:val="single" w:sz="4" w:space="0" w:color="auto"/>
            </w:tcBorders>
          </w:tcPr>
          <w:p w14:paraId="442BA6C7" w14:textId="0536D9CA" w:rsidR="006A5676" w:rsidRPr="0025584A" w:rsidRDefault="006A5676" w:rsidP="004D4AEF">
            <w:pPr>
              <w:pStyle w:val="ListParagraph"/>
              <w:numPr>
                <w:ilvl w:val="0"/>
                <w:numId w:val="17"/>
              </w:numPr>
              <w:tabs>
                <w:tab w:val="left" w:pos="466"/>
              </w:tabs>
              <w:ind w:left="41" w:hanging="41"/>
              <w:jc w:val="both"/>
              <w:rPr>
                <w:bCs/>
                <w:szCs w:val="24"/>
              </w:rPr>
            </w:pPr>
            <w:r w:rsidRPr="0025584A">
              <w:rPr>
                <w:bCs/>
                <w:szCs w:val="24"/>
              </w:rPr>
              <w:lastRenderedPageBreak/>
              <w:t xml:space="preserve">Siūlome didesnį svorį, pvz., 60-70 balų, suteikti kokybės kriterijui, atsižvelgiant į tai, kad per trumpą laiką reikia parengti kokybišką, viešai </w:t>
            </w:r>
            <w:r w:rsidRPr="0025584A">
              <w:rPr>
                <w:bCs/>
                <w:szCs w:val="24"/>
              </w:rPr>
              <w:lastRenderedPageBreak/>
              <w:t xml:space="preserve">pristatomą, nacionalinio lygmens ir su ES politika susijusį rezultatą. </w:t>
            </w:r>
          </w:p>
          <w:p w14:paraId="086A8C59" w14:textId="234E667B" w:rsidR="006A5676" w:rsidRPr="0025584A" w:rsidRDefault="006A5676" w:rsidP="004D4AEF">
            <w:pPr>
              <w:pStyle w:val="ListParagraph"/>
              <w:numPr>
                <w:ilvl w:val="0"/>
                <w:numId w:val="17"/>
              </w:numPr>
              <w:tabs>
                <w:tab w:val="left" w:pos="466"/>
              </w:tabs>
              <w:ind w:left="41" w:hanging="41"/>
              <w:jc w:val="both"/>
              <w:rPr>
                <w:bCs/>
                <w:szCs w:val="24"/>
              </w:rPr>
            </w:pPr>
            <w:r w:rsidRPr="0025584A">
              <w:rPr>
                <w:bCs/>
                <w:szCs w:val="24"/>
              </w:rPr>
              <w:t>Vertinimo kriterijams turime tas pačias pastabas kaip ir kvalifikacijos reikalavimams (pateikta šios lentelės 6-7 punktuose)</w:t>
            </w:r>
            <w:r>
              <w:rPr>
                <w:bCs/>
                <w:szCs w:val="24"/>
              </w:rPr>
              <w:t>, t.y. siūlome įtraukti daugiau specialistų paslaugų teikimui ir patikslinti jiems keliamus reikalavimus</w:t>
            </w:r>
            <w:r w:rsidRPr="0025584A">
              <w:rPr>
                <w:bCs/>
                <w:szCs w:val="24"/>
              </w:rPr>
              <w:t>.</w:t>
            </w:r>
          </w:p>
          <w:p w14:paraId="08F2E657" w14:textId="071F6D0A" w:rsidR="006A5676" w:rsidRPr="0025584A" w:rsidRDefault="006A5676" w:rsidP="00497DA9">
            <w:pPr>
              <w:rPr>
                <w:rFonts w:ascii="Times New Roman" w:hAnsi="Times New Roman" w:cs="Times New Roman"/>
                <w:bCs/>
                <w:sz w:val="24"/>
                <w:szCs w:val="24"/>
              </w:rPr>
            </w:pPr>
          </w:p>
        </w:tc>
        <w:tc>
          <w:tcPr>
            <w:tcW w:w="4679" w:type="dxa"/>
            <w:tcBorders>
              <w:top w:val="single" w:sz="4" w:space="0" w:color="auto"/>
              <w:left w:val="single" w:sz="4" w:space="0" w:color="auto"/>
              <w:right w:val="single" w:sz="4" w:space="0" w:color="auto"/>
            </w:tcBorders>
          </w:tcPr>
          <w:p w14:paraId="13F22CE3" w14:textId="3AC7861E" w:rsidR="0045143C" w:rsidRDefault="00295FDB" w:rsidP="00B40B7E">
            <w:pPr>
              <w:jc w:val="both"/>
              <w:rPr>
                <w:rFonts w:ascii="Times New Roman" w:hAnsi="Times New Roman" w:cs="Times New Roman"/>
                <w:bCs/>
                <w:sz w:val="24"/>
                <w:szCs w:val="24"/>
              </w:rPr>
            </w:pPr>
            <w:r>
              <w:rPr>
                <w:rFonts w:ascii="Times New Roman" w:hAnsi="Times New Roman" w:cs="Times New Roman"/>
                <w:bCs/>
                <w:sz w:val="24"/>
                <w:szCs w:val="24"/>
              </w:rPr>
              <w:lastRenderedPageBreak/>
              <w:t>Į pasiūlymą atsižvelgta nebus.</w:t>
            </w:r>
          </w:p>
          <w:p w14:paraId="32CE6C65" w14:textId="77777777" w:rsidR="0045143C" w:rsidRDefault="0045143C" w:rsidP="00B40B7E">
            <w:pPr>
              <w:jc w:val="both"/>
              <w:rPr>
                <w:rFonts w:ascii="Times New Roman" w:hAnsi="Times New Roman" w:cs="Times New Roman"/>
                <w:bCs/>
                <w:sz w:val="24"/>
                <w:szCs w:val="24"/>
              </w:rPr>
            </w:pPr>
          </w:p>
          <w:p w14:paraId="7EDFAD7E" w14:textId="77777777" w:rsidR="004F2434" w:rsidRDefault="004F2434" w:rsidP="00B40B7E">
            <w:pPr>
              <w:jc w:val="both"/>
              <w:rPr>
                <w:rFonts w:ascii="Times New Roman" w:hAnsi="Times New Roman" w:cs="Times New Roman"/>
                <w:bCs/>
                <w:sz w:val="24"/>
                <w:szCs w:val="24"/>
              </w:rPr>
            </w:pPr>
          </w:p>
          <w:p w14:paraId="022EF579" w14:textId="77777777" w:rsidR="004F2434" w:rsidRDefault="004F2434" w:rsidP="00B40B7E">
            <w:pPr>
              <w:jc w:val="both"/>
              <w:rPr>
                <w:rFonts w:ascii="Times New Roman" w:hAnsi="Times New Roman" w:cs="Times New Roman"/>
                <w:bCs/>
                <w:sz w:val="24"/>
                <w:szCs w:val="24"/>
              </w:rPr>
            </w:pPr>
          </w:p>
          <w:p w14:paraId="787FD6B7" w14:textId="77777777" w:rsidR="0045143C" w:rsidRDefault="0045143C" w:rsidP="00B40B7E">
            <w:pPr>
              <w:jc w:val="both"/>
              <w:rPr>
                <w:rFonts w:ascii="Times New Roman" w:hAnsi="Times New Roman" w:cs="Times New Roman"/>
                <w:bCs/>
                <w:sz w:val="24"/>
                <w:szCs w:val="24"/>
              </w:rPr>
            </w:pPr>
          </w:p>
          <w:p w14:paraId="1E416416" w14:textId="77777777" w:rsidR="0045143C" w:rsidRDefault="0045143C" w:rsidP="00B40B7E">
            <w:pPr>
              <w:jc w:val="both"/>
              <w:rPr>
                <w:rFonts w:ascii="Times New Roman" w:hAnsi="Times New Roman" w:cs="Times New Roman"/>
                <w:bCs/>
                <w:sz w:val="24"/>
                <w:szCs w:val="24"/>
              </w:rPr>
            </w:pPr>
          </w:p>
          <w:p w14:paraId="1067A5C1" w14:textId="36AB7FF2" w:rsidR="0045143C" w:rsidRPr="00B40B7E" w:rsidRDefault="0045143C" w:rsidP="00B40B7E">
            <w:pPr>
              <w:jc w:val="both"/>
              <w:rPr>
                <w:rFonts w:ascii="Times New Roman" w:hAnsi="Times New Roman" w:cs="Times New Roman"/>
                <w:bCs/>
                <w:sz w:val="24"/>
                <w:szCs w:val="24"/>
              </w:rPr>
            </w:pPr>
            <w:r>
              <w:rPr>
                <w:rFonts w:ascii="Times New Roman" w:hAnsi="Times New Roman" w:cs="Times New Roman"/>
                <w:bCs/>
                <w:sz w:val="24"/>
                <w:szCs w:val="24"/>
              </w:rPr>
              <w:t xml:space="preserve">2. </w:t>
            </w:r>
            <w:r w:rsidR="00161AEE">
              <w:rPr>
                <w:rFonts w:ascii="Times New Roman" w:hAnsi="Times New Roman" w:cs="Times New Roman"/>
                <w:bCs/>
                <w:sz w:val="24"/>
                <w:szCs w:val="24"/>
              </w:rPr>
              <w:t>Vertinimas pateiktas prie -6-7 punktų</w:t>
            </w:r>
          </w:p>
        </w:tc>
      </w:tr>
      <w:tr w:rsidR="006A5676" w:rsidRPr="0025584A" w14:paraId="230C8849" w14:textId="77777777" w:rsidTr="00A9252E">
        <w:trPr>
          <w:trHeight w:val="1020"/>
        </w:trPr>
        <w:tc>
          <w:tcPr>
            <w:tcW w:w="562" w:type="dxa"/>
            <w:vMerge/>
            <w:tcBorders>
              <w:left w:val="single" w:sz="4" w:space="0" w:color="auto"/>
              <w:bottom w:val="single" w:sz="4" w:space="0" w:color="auto"/>
              <w:right w:val="single" w:sz="4" w:space="0" w:color="auto"/>
            </w:tcBorders>
          </w:tcPr>
          <w:p w14:paraId="5709D289" w14:textId="77777777" w:rsidR="006A5676" w:rsidRPr="0025584A" w:rsidRDefault="006A5676" w:rsidP="00497DA9">
            <w:pPr>
              <w:pStyle w:val="ListParagraph"/>
              <w:numPr>
                <w:ilvl w:val="0"/>
                <w:numId w:val="14"/>
              </w:numPr>
              <w:jc w:val="center"/>
              <w:rPr>
                <w:bCs/>
                <w:szCs w:val="24"/>
              </w:rPr>
            </w:pPr>
          </w:p>
        </w:tc>
        <w:tc>
          <w:tcPr>
            <w:tcW w:w="4536" w:type="dxa"/>
            <w:vMerge/>
            <w:tcBorders>
              <w:left w:val="single" w:sz="4" w:space="0" w:color="auto"/>
              <w:bottom w:val="single" w:sz="4" w:space="0" w:color="auto"/>
              <w:right w:val="single" w:sz="4" w:space="0" w:color="auto"/>
            </w:tcBorders>
            <w:shd w:val="clear" w:color="auto" w:fill="EAF1DD" w:themeFill="accent3" w:themeFillTint="33"/>
          </w:tcPr>
          <w:p w14:paraId="2EDEAC96" w14:textId="77777777" w:rsidR="006A5676" w:rsidRPr="0025584A" w:rsidRDefault="006A5676" w:rsidP="00497DA9">
            <w:pPr>
              <w:tabs>
                <w:tab w:val="left" w:pos="284"/>
                <w:tab w:val="left" w:pos="709"/>
              </w:tabs>
              <w:contextualSpacing/>
              <w:jc w:val="both"/>
              <w:rPr>
                <w:rFonts w:ascii="Times New Roman" w:hAnsi="Times New Roman" w:cs="Times New Roman"/>
                <w:sz w:val="24"/>
                <w:szCs w:val="24"/>
              </w:rPr>
            </w:pPr>
          </w:p>
        </w:tc>
        <w:tc>
          <w:tcPr>
            <w:tcW w:w="4252" w:type="dxa"/>
            <w:tcBorders>
              <w:top w:val="single" w:sz="4" w:space="0" w:color="auto"/>
              <w:left w:val="single" w:sz="4" w:space="0" w:color="auto"/>
              <w:right w:val="single" w:sz="4" w:space="0" w:color="auto"/>
            </w:tcBorders>
          </w:tcPr>
          <w:p w14:paraId="2F8FAFAA" w14:textId="70D240EB" w:rsidR="006A5676" w:rsidRPr="0025584A" w:rsidRDefault="000E62BB" w:rsidP="006A5676">
            <w:pPr>
              <w:pStyle w:val="ListParagraph"/>
              <w:tabs>
                <w:tab w:val="left" w:pos="466"/>
              </w:tabs>
              <w:ind w:left="41"/>
              <w:jc w:val="both"/>
              <w:rPr>
                <w:bCs/>
                <w:szCs w:val="24"/>
              </w:rPr>
            </w:pPr>
            <w:r w:rsidRPr="1D84116F">
              <w:rPr>
                <w:szCs w:val="24"/>
              </w:rPr>
              <w:t>Rekomenduotina apsvarstyti galimybę prašyti tiekėjų parengti metodinį paslaugų teikimo aprašymą, tokiu būdu išplečiant ekonominio naudingumo vertinimą už ekspertų patirties ribų.</w:t>
            </w:r>
          </w:p>
        </w:tc>
        <w:tc>
          <w:tcPr>
            <w:tcW w:w="4679" w:type="dxa"/>
            <w:tcBorders>
              <w:top w:val="single" w:sz="4" w:space="0" w:color="auto"/>
              <w:left w:val="single" w:sz="4" w:space="0" w:color="auto"/>
              <w:right w:val="single" w:sz="4" w:space="0" w:color="auto"/>
            </w:tcBorders>
          </w:tcPr>
          <w:p w14:paraId="3652D6F0" w14:textId="1303ECD0" w:rsidR="006A5676" w:rsidRPr="0025584A" w:rsidRDefault="000E62BB" w:rsidP="004F2434">
            <w:pPr>
              <w:pStyle w:val="ListParagraph"/>
              <w:ind w:left="0"/>
              <w:jc w:val="both"/>
              <w:rPr>
                <w:bCs/>
                <w:szCs w:val="24"/>
              </w:rPr>
            </w:pPr>
            <w:r>
              <w:rPr>
                <w:bCs/>
                <w:szCs w:val="24"/>
              </w:rPr>
              <w:t>Siūlymas ne</w:t>
            </w:r>
            <w:r w:rsidR="007D572D">
              <w:rPr>
                <w:bCs/>
                <w:szCs w:val="24"/>
              </w:rPr>
              <w:t xml:space="preserve">pagrįstas, kokia konkreti nauda būtų </w:t>
            </w:r>
            <w:r w:rsidR="002C77DD">
              <w:rPr>
                <w:bCs/>
                <w:szCs w:val="24"/>
              </w:rPr>
              <w:t>parengus metodinį paslaugų teikimo aprašymą.</w:t>
            </w:r>
          </w:p>
        </w:tc>
      </w:tr>
      <w:tr w:rsidR="00F732E0" w:rsidRPr="0025584A" w14:paraId="779D3F7B" w14:textId="2744FBD6" w:rsidTr="008C48E6">
        <w:trPr>
          <w:trHeight w:val="845"/>
        </w:trPr>
        <w:tc>
          <w:tcPr>
            <w:tcW w:w="562" w:type="dxa"/>
            <w:vMerge w:val="restart"/>
            <w:tcBorders>
              <w:top w:val="single" w:sz="4" w:space="0" w:color="auto"/>
              <w:left w:val="single" w:sz="4" w:space="0" w:color="auto"/>
              <w:right w:val="single" w:sz="4" w:space="0" w:color="auto"/>
            </w:tcBorders>
          </w:tcPr>
          <w:p w14:paraId="3716CC30" w14:textId="77777777" w:rsidR="00F732E0" w:rsidRPr="0025584A" w:rsidRDefault="00F732E0" w:rsidP="00497DA9">
            <w:pPr>
              <w:pStyle w:val="ListParagraph"/>
              <w:numPr>
                <w:ilvl w:val="0"/>
                <w:numId w:val="14"/>
              </w:numPr>
              <w:jc w:val="center"/>
              <w:rPr>
                <w:bCs/>
                <w:szCs w:val="24"/>
              </w:rPr>
            </w:pPr>
          </w:p>
        </w:tc>
        <w:tc>
          <w:tcPr>
            <w:tcW w:w="4536" w:type="dxa"/>
            <w:vMerge w:val="restart"/>
            <w:tcBorders>
              <w:top w:val="single" w:sz="4" w:space="0" w:color="auto"/>
              <w:left w:val="single" w:sz="4" w:space="0" w:color="auto"/>
              <w:right w:val="single" w:sz="4" w:space="0" w:color="auto"/>
            </w:tcBorders>
            <w:shd w:val="clear" w:color="auto" w:fill="EAF1DD" w:themeFill="accent3" w:themeFillTint="33"/>
          </w:tcPr>
          <w:p w14:paraId="66993D04" w14:textId="77777777" w:rsidR="00F732E0" w:rsidRPr="0025584A" w:rsidRDefault="00F732E0" w:rsidP="00497DA9">
            <w:pPr>
              <w:ind w:firstLine="37"/>
              <w:jc w:val="both"/>
              <w:rPr>
                <w:rFonts w:ascii="Times New Roman" w:hAnsi="Times New Roman" w:cs="Times New Roman"/>
                <w:sz w:val="24"/>
                <w:szCs w:val="24"/>
              </w:rPr>
            </w:pPr>
            <w:r w:rsidRPr="0025584A">
              <w:rPr>
                <w:rFonts w:ascii="Times New Roman" w:hAnsi="Times New Roman" w:cs="Times New Roman"/>
                <w:sz w:val="24"/>
                <w:szCs w:val="24"/>
              </w:rPr>
              <w:t xml:space="preserve">Ar aiški ekonominio naudingumo vertinimo tvarka ir tinkamai suformuluoti ekonominio naudingumo vertinimo kriterijai? </w:t>
            </w:r>
          </w:p>
          <w:p w14:paraId="00A42ACD" w14:textId="1FC6B745" w:rsidR="00F732E0" w:rsidRPr="0025584A" w:rsidRDefault="00F732E0" w:rsidP="00497DA9">
            <w:pPr>
              <w:tabs>
                <w:tab w:val="left" w:pos="284"/>
                <w:tab w:val="left" w:pos="709"/>
              </w:tabs>
              <w:contextualSpacing/>
              <w:jc w:val="both"/>
              <w:rPr>
                <w:rFonts w:ascii="Times New Roman" w:hAnsi="Times New Roman" w:cs="Times New Roman"/>
                <w:sz w:val="24"/>
                <w:szCs w:val="24"/>
              </w:rPr>
            </w:pPr>
            <w:r w:rsidRPr="0025584A">
              <w:rPr>
                <w:rFonts w:ascii="Times New Roman" w:hAnsi="Times New Roman" w:cs="Times New Roman"/>
                <w:sz w:val="24"/>
                <w:szCs w:val="24"/>
              </w:rPr>
              <w:t>Prašome pateikti argumentuotą siūlymą nurodant konkrečius reikalavimus (kai siūlymas teikiamas)</w:t>
            </w:r>
          </w:p>
        </w:tc>
        <w:tc>
          <w:tcPr>
            <w:tcW w:w="4252" w:type="dxa"/>
            <w:tcBorders>
              <w:left w:val="single" w:sz="4" w:space="0" w:color="auto"/>
              <w:bottom w:val="single" w:sz="4" w:space="0" w:color="auto"/>
              <w:right w:val="single" w:sz="4" w:space="0" w:color="auto"/>
            </w:tcBorders>
          </w:tcPr>
          <w:p w14:paraId="60A46A3D" w14:textId="77777777" w:rsidR="00F732E0" w:rsidRPr="00F732E0" w:rsidRDefault="00F732E0" w:rsidP="00F732E0">
            <w:pPr>
              <w:tabs>
                <w:tab w:val="left" w:pos="466"/>
              </w:tabs>
              <w:jc w:val="both"/>
              <w:rPr>
                <w:rFonts w:ascii="Times New Roman" w:hAnsi="Times New Roman" w:cs="Times New Roman"/>
                <w:bCs/>
                <w:sz w:val="24"/>
                <w:szCs w:val="24"/>
              </w:rPr>
            </w:pPr>
            <w:r w:rsidRPr="00F732E0">
              <w:rPr>
                <w:rFonts w:ascii="Times New Roman" w:hAnsi="Times New Roman" w:cs="Times New Roman"/>
                <w:bCs/>
                <w:sz w:val="24"/>
                <w:szCs w:val="24"/>
              </w:rPr>
              <w:t xml:space="preserve">Vertinimo kriterijams turime tas pačias pastabas kaip ir kvalifikacijos reikalavimams (pateikta šios lentelės 6-7 punktuose), </w:t>
            </w:r>
            <w:proofErr w:type="spellStart"/>
            <w:r w:rsidRPr="00F732E0">
              <w:rPr>
                <w:rFonts w:ascii="Times New Roman" w:hAnsi="Times New Roman" w:cs="Times New Roman"/>
                <w:bCs/>
                <w:sz w:val="24"/>
                <w:szCs w:val="24"/>
              </w:rPr>
              <w:t>t.y</w:t>
            </w:r>
            <w:proofErr w:type="spellEnd"/>
            <w:r w:rsidRPr="00F732E0">
              <w:rPr>
                <w:rFonts w:ascii="Times New Roman" w:hAnsi="Times New Roman" w:cs="Times New Roman"/>
                <w:bCs/>
                <w:sz w:val="24"/>
                <w:szCs w:val="24"/>
              </w:rPr>
              <w:t>. siūlome įtraukti daugiau specialistų paslaugų teikimui ir patikslinti jiems keliamus reikalavimus.</w:t>
            </w:r>
          </w:p>
          <w:p w14:paraId="350ABA63" w14:textId="77777777" w:rsidR="00F732E0" w:rsidRPr="0025584A" w:rsidRDefault="00F732E0" w:rsidP="00497DA9">
            <w:pPr>
              <w:rPr>
                <w:rFonts w:ascii="Times New Roman" w:hAnsi="Times New Roman" w:cs="Times New Roman"/>
                <w:bCs/>
                <w:sz w:val="24"/>
                <w:szCs w:val="24"/>
              </w:rPr>
            </w:pPr>
          </w:p>
        </w:tc>
        <w:tc>
          <w:tcPr>
            <w:tcW w:w="4679" w:type="dxa"/>
            <w:tcBorders>
              <w:left w:val="single" w:sz="4" w:space="0" w:color="auto"/>
              <w:bottom w:val="single" w:sz="4" w:space="0" w:color="auto"/>
              <w:right w:val="single" w:sz="4" w:space="0" w:color="auto"/>
            </w:tcBorders>
          </w:tcPr>
          <w:p w14:paraId="1C7E151D" w14:textId="40CD32AF" w:rsidR="00F732E0" w:rsidRPr="0025584A" w:rsidRDefault="00F732E0" w:rsidP="00497DA9">
            <w:pPr>
              <w:rPr>
                <w:rFonts w:ascii="Times New Roman" w:hAnsi="Times New Roman" w:cs="Times New Roman"/>
                <w:bCs/>
                <w:sz w:val="24"/>
                <w:szCs w:val="24"/>
              </w:rPr>
            </w:pPr>
            <w:r>
              <w:rPr>
                <w:rFonts w:ascii="Times New Roman" w:hAnsi="Times New Roman" w:cs="Times New Roman"/>
                <w:bCs/>
                <w:sz w:val="24"/>
                <w:szCs w:val="24"/>
              </w:rPr>
              <w:t>Vertinimas pateiktas prie -6-7 punktų</w:t>
            </w:r>
          </w:p>
        </w:tc>
      </w:tr>
      <w:tr w:rsidR="00F732E0" w:rsidRPr="0025584A" w14:paraId="45DE0876" w14:textId="77777777" w:rsidTr="008C48E6">
        <w:trPr>
          <w:trHeight w:val="845"/>
        </w:trPr>
        <w:tc>
          <w:tcPr>
            <w:tcW w:w="562" w:type="dxa"/>
            <w:vMerge/>
            <w:tcBorders>
              <w:left w:val="single" w:sz="4" w:space="0" w:color="auto"/>
              <w:bottom w:val="single" w:sz="4" w:space="0" w:color="auto"/>
              <w:right w:val="single" w:sz="4" w:space="0" w:color="auto"/>
            </w:tcBorders>
          </w:tcPr>
          <w:p w14:paraId="43156B4A" w14:textId="77777777" w:rsidR="00F732E0" w:rsidRPr="0025584A" w:rsidRDefault="00F732E0" w:rsidP="00497DA9">
            <w:pPr>
              <w:pStyle w:val="ListParagraph"/>
              <w:numPr>
                <w:ilvl w:val="0"/>
                <w:numId w:val="14"/>
              </w:numPr>
              <w:jc w:val="center"/>
              <w:rPr>
                <w:bCs/>
                <w:szCs w:val="24"/>
              </w:rPr>
            </w:pPr>
          </w:p>
        </w:tc>
        <w:tc>
          <w:tcPr>
            <w:tcW w:w="4536" w:type="dxa"/>
            <w:vMerge/>
            <w:tcBorders>
              <w:left w:val="single" w:sz="4" w:space="0" w:color="auto"/>
              <w:bottom w:val="single" w:sz="4" w:space="0" w:color="auto"/>
              <w:right w:val="single" w:sz="4" w:space="0" w:color="auto"/>
            </w:tcBorders>
            <w:shd w:val="clear" w:color="auto" w:fill="EAF1DD" w:themeFill="accent3" w:themeFillTint="33"/>
          </w:tcPr>
          <w:p w14:paraId="27C1C635" w14:textId="77777777" w:rsidR="00F732E0" w:rsidRPr="0025584A" w:rsidRDefault="00F732E0" w:rsidP="00497DA9">
            <w:pPr>
              <w:ind w:firstLine="37"/>
              <w:jc w:val="both"/>
              <w:rPr>
                <w:rFonts w:ascii="Times New Roman" w:hAnsi="Times New Roman" w:cs="Times New Roman"/>
                <w:sz w:val="24"/>
                <w:szCs w:val="24"/>
              </w:rPr>
            </w:pPr>
          </w:p>
        </w:tc>
        <w:tc>
          <w:tcPr>
            <w:tcW w:w="4252" w:type="dxa"/>
            <w:tcBorders>
              <w:left w:val="single" w:sz="4" w:space="0" w:color="auto"/>
              <w:bottom w:val="single" w:sz="4" w:space="0" w:color="auto"/>
              <w:right w:val="single" w:sz="4" w:space="0" w:color="auto"/>
            </w:tcBorders>
          </w:tcPr>
          <w:p w14:paraId="4FDDAE4D" w14:textId="656BC51E" w:rsidR="00F732E0" w:rsidRPr="0025584A" w:rsidRDefault="00A22FBA" w:rsidP="00497DA9">
            <w:pPr>
              <w:rPr>
                <w:rFonts w:ascii="Times New Roman" w:hAnsi="Times New Roman" w:cs="Times New Roman"/>
                <w:bCs/>
                <w:sz w:val="24"/>
                <w:szCs w:val="24"/>
              </w:rPr>
            </w:pPr>
            <w:r>
              <w:rPr>
                <w:rFonts w:ascii="Times New Roman" w:hAnsi="Times New Roman" w:cs="Times New Roman"/>
                <w:bCs/>
                <w:sz w:val="24"/>
                <w:szCs w:val="24"/>
              </w:rPr>
              <w:t>Aiški, tačiau labai siaurinanti potencialių dalyvių sąrašą</w:t>
            </w:r>
            <w:r w:rsidRPr="036DE0A0">
              <w:rPr>
                <w:rFonts w:ascii="Times New Roman" w:hAnsi="Times New Roman" w:cs="Times New Roman"/>
                <w:sz w:val="24"/>
                <w:szCs w:val="24"/>
              </w:rPr>
              <w:t>.</w:t>
            </w:r>
          </w:p>
        </w:tc>
        <w:tc>
          <w:tcPr>
            <w:tcW w:w="4679" w:type="dxa"/>
            <w:tcBorders>
              <w:left w:val="single" w:sz="4" w:space="0" w:color="auto"/>
              <w:bottom w:val="single" w:sz="4" w:space="0" w:color="auto"/>
              <w:right w:val="single" w:sz="4" w:space="0" w:color="auto"/>
            </w:tcBorders>
          </w:tcPr>
          <w:p w14:paraId="0674B204" w14:textId="7FA31C99" w:rsidR="00F732E0" w:rsidRPr="0025584A" w:rsidRDefault="00A22FBA" w:rsidP="009A26AD">
            <w:pPr>
              <w:jc w:val="both"/>
              <w:rPr>
                <w:rFonts w:ascii="Times New Roman" w:hAnsi="Times New Roman" w:cs="Times New Roman"/>
                <w:bCs/>
                <w:sz w:val="24"/>
                <w:szCs w:val="24"/>
              </w:rPr>
            </w:pPr>
            <w:r>
              <w:rPr>
                <w:rFonts w:ascii="Times New Roman" w:hAnsi="Times New Roman" w:cs="Times New Roman"/>
                <w:bCs/>
                <w:sz w:val="24"/>
                <w:szCs w:val="24"/>
              </w:rPr>
              <w:t xml:space="preserve">Nėra argumentų, kodėl tiekėjas mano, kad </w:t>
            </w:r>
            <w:r w:rsidR="009A26AD">
              <w:rPr>
                <w:rFonts w:ascii="Times New Roman" w:hAnsi="Times New Roman" w:cs="Times New Roman"/>
                <w:bCs/>
                <w:sz w:val="24"/>
                <w:szCs w:val="24"/>
              </w:rPr>
              <w:t>ekonominio naudingumo vertinimo tvarka siaurina potencialių dalyvių sąrašą</w:t>
            </w:r>
          </w:p>
        </w:tc>
      </w:tr>
      <w:tr w:rsidR="005D0B0F" w:rsidRPr="0025584A" w14:paraId="43A68445" w14:textId="5D7449B5" w:rsidTr="00C67CCD">
        <w:trPr>
          <w:trHeight w:val="845"/>
        </w:trPr>
        <w:tc>
          <w:tcPr>
            <w:tcW w:w="562" w:type="dxa"/>
            <w:vMerge w:val="restart"/>
            <w:tcBorders>
              <w:top w:val="single" w:sz="4" w:space="0" w:color="auto"/>
              <w:left w:val="single" w:sz="4" w:space="0" w:color="auto"/>
              <w:right w:val="single" w:sz="4" w:space="0" w:color="auto"/>
            </w:tcBorders>
          </w:tcPr>
          <w:p w14:paraId="7963D697" w14:textId="77777777" w:rsidR="005D0B0F" w:rsidRPr="0025584A" w:rsidRDefault="005D0B0F" w:rsidP="00497DA9">
            <w:pPr>
              <w:pStyle w:val="ListParagraph"/>
              <w:numPr>
                <w:ilvl w:val="0"/>
                <w:numId w:val="14"/>
              </w:numPr>
              <w:jc w:val="center"/>
              <w:rPr>
                <w:bCs/>
                <w:szCs w:val="24"/>
              </w:rPr>
            </w:pPr>
          </w:p>
        </w:tc>
        <w:tc>
          <w:tcPr>
            <w:tcW w:w="4536" w:type="dxa"/>
            <w:vMerge w:val="restart"/>
            <w:tcBorders>
              <w:top w:val="single" w:sz="4" w:space="0" w:color="auto"/>
              <w:left w:val="single" w:sz="4" w:space="0" w:color="auto"/>
              <w:right w:val="single" w:sz="4" w:space="0" w:color="auto"/>
            </w:tcBorders>
            <w:shd w:val="clear" w:color="auto" w:fill="EAF1DD" w:themeFill="accent3" w:themeFillTint="33"/>
          </w:tcPr>
          <w:p w14:paraId="062C5DDD" w14:textId="12631876" w:rsidR="005D0B0F" w:rsidRPr="0025584A" w:rsidRDefault="005D0B0F" w:rsidP="00497DA9">
            <w:pPr>
              <w:tabs>
                <w:tab w:val="left" w:pos="284"/>
                <w:tab w:val="left" w:pos="709"/>
              </w:tabs>
              <w:contextualSpacing/>
              <w:jc w:val="both"/>
              <w:rPr>
                <w:rFonts w:ascii="Times New Roman" w:hAnsi="Times New Roman" w:cs="Times New Roman"/>
                <w:sz w:val="24"/>
                <w:szCs w:val="24"/>
              </w:rPr>
            </w:pPr>
            <w:r w:rsidRPr="0025584A">
              <w:rPr>
                <w:rFonts w:ascii="Times New Roman" w:hAnsi="Times New Roman" w:cs="Times New Roman"/>
                <w:sz w:val="24"/>
                <w:szCs w:val="24"/>
              </w:rPr>
              <w:t>Kokie specialistai, Jūsų nuomone, turėtų dalyvauti sutarties vykdyme, kad sutartis būtų įvykdyta laiku ir kokybiškai? Prašome pagrįsti.</w:t>
            </w:r>
          </w:p>
        </w:tc>
        <w:tc>
          <w:tcPr>
            <w:tcW w:w="4252" w:type="dxa"/>
            <w:tcBorders>
              <w:top w:val="single" w:sz="4" w:space="0" w:color="auto"/>
              <w:left w:val="single" w:sz="4" w:space="0" w:color="auto"/>
              <w:bottom w:val="single" w:sz="4" w:space="0" w:color="auto"/>
              <w:right w:val="single" w:sz="4" w:space="0" w:color="auto"/>
            </w:tcBorders>
          </w:tcPr>
          <w:p w14:paraId="68D4E62A" w14:textId="02810CFE" w:rsidR="005D0B0F" w:rsidRPr="0025584A" w:rsidRDefault="005D0B0F" w:rsidP="00497DA9">
            <w:pPr>
              <w:jc w:val="both"/>
              <w:rPr>
                <w:rFonts w:ascii="Times New Roman" w:hAnsi="Times New Roman" w:cs="Times New Roman"/>
                <w:bCs/>
                <w:sz w:val="24"/>
                <w:szCs w:val="24"/>
              </w:rPr>
            </w:pPr>
            <w:r w:rsidRPr="0025584A">
              <w:rPr>
                <w:rFonts w:ascii="Times New Roman" w:hAnsi="Times New Roman" w:cs="Times New Roman"/>
                <w:bCs/>
                <w:sz w:val="24"/>
                <w:szCs w:val="24"/>
              </w:rPr>
              <w:t>Paslaugoms suteikti reikalinga bent 4</w:t>
            </w:r>
            <w:r>
              <w:rPr>
                <w:rFonts w:ascii="Times New Roman" w:hAnsi="Times New Roman" w:cs="Times New Roman"/>
                <w:bCs/>
                <w:sz w:val="24"/>
                <w:szCs w:val="24"/>
              </w:rPr>
              <w:t>-</w:t>
            </w:r>
            <w:r w:rsidRPr="000E3D10">
              <w:rPr>
                <w:rFonts w:ascii="Times New Roman" w:hAnsi="Times New Roman" w:cs="Times New Roman"/>
                <w:bCs/>
                <w:sz w:val="24"/>
                <w:szCs w:val="24"/>
                <w:lang w:val="sv-SE"/>
              </w:rPr>
              <w:t>5</w:t>
            </w:r>
            <w:r w:rsidRPr="0025584A">
              <w:rPr>
                <w:rFonts w:ascii="Times New Roman" w:hAnsi="Times New Roman" w:cs="Times New Roman"/>
                <w:bCs/>
                <w:sz w:val="24"/>
                <w:szCs w:val="24"/>
              </w:rPr>
              <w:t xml:space="preserve"> specialistų komanda.</w:t>
            </w:r>
          </w:p>
          <w:p w14:paraId="7F4E19E1" w14:textId="01EDF5A1" w:rsidR="005D0B0F" w:rsidRPr="0025584A" w:rsidRDefault="005D0B0F" w:rsidP="00497DA9">
            <w:pPr>
              <w:jc w:val="both"/>
              <w:rPr>
                <w:rFonts w:ascii="Times New Roman" w:hAnsi="Times New Roman" w:cs="Times New Roman"/>
                <w:bCs/>
                <w:sz w:val="24"/>
                <w:szCs w:val="24"/>
              </w:rPr>
            </w:pPr>
            <w:r w:rsidRPr="0025584A">
              <w:rPr>
                <w:rFonts w:ascii="Times New Roman" w:hAnsi="Times New Roman" w:cs="Times New Roman"/>
                <w:bCs/>
                <w:sz w:val="24"/>
                <w:szCs w:val="24"/>
              </w:rPr>
              <w:t>Galima komandos sudėtis:</w:t>
            </w:r>
          </w:p>
          <w:p w14:paraId="3864B102" w14:textId="67740446" w:rsidR="005D0B0F" w:rsidRPr="003C42F6" w:rsidRDefault="005D0B0F" w:rsidP="00497DA9">
            <w:pPr>
              <w:pStyle w:val="ListParagraph"/>
              <w:numPr>
                <w:ilvl w:val="0"/>
                <w:numId w:val="18"/>
              </w:numPr>
              <w:jc w:val="both"/>
              <w:rPr>
                <w:bCs/>
                <w:color w:val="000000" w:themeColor="text1"/>
                <w:szCs w:val="24"/>
              </w:rPr>
            </w:pPr>
            <w:r w:rsidRPr="003C42F6">
              <w:rPr>
                <w:bCs/>
                <w:color w:val="000000" w:themeColor="text1"/>
                <w:szCs w:val="24"/>
              </w:rPr>
              <w:t>Projekto vadovas</w:t>
            </w:r>
          </w:p>
          <w:p w14:paraId="638403F3" w14:textId="6EA6B4DB" w:rsidR="005D0B0F" w:rsidRPr="003C42F6" w:rsidRDefault="005D0B0F" w:rsidP="00497DA9">
            <w:pPr>
              <w:pStyle w:val="ListParagraph"/>
              <w:numPr>
                <w:ilvl w:val="0"/>
                <w:numId w:val="18"/>
              </w:numPr>
              <w:jc w:val="both"/>
              <w:rPr>
                <w:bCs/>
                <w:color w:val="000000" w:themeColor="text1"/>
                <w:szCs w:val="24"/>
              </w:rPr>
            </w:pPr>
            <w:r w:rsidRPr="003C42F6">
              <w:rPr>
                <w:bCs/>
                <w:color w:val="000000" w:themeColor="text1"/>
                <w:szCs w:val="24"/>
              </w:rPr>
              <w:lastRenderedPageBreak/>
              <w:t>Konsultantas/ekspertas Nr.1 – skaitmeninių įgūdžių skaitmeninės politikos sritis</w:t>
            </w:r>
          </w:p>
          <w:p w14:paraId="2DE80C2B" w14:textId="0E73B3A6" w:rsidR="005D0B0F" w:rsidRPr="003C42F6" w:rsidRDefault="005D0B0F" w:rsidP="00497DA9">
            <w:pPr>
              <w:pStyle w:val="ListParagraph"/>
              <w:numPr>
                <w:ilvl w:val="0"/>
                <w:numId w:val="18"/>
              </w:numPr>
              <w:jc w:val="both"/>
              <w:rPr>
                <w:bCs/>
                <w:color w:val="000000" w:themeColor="text1"/>
                <w:szCs w:val="24"/>
              </w:rPr>
            </w:pPr>
            <w:r w:rsidRPr="003C42F6">
              <w:rPr>
                <w:bCs/>
                <w:color w:val="000000" w:themeColor="text1"/>
                <w:szCs w:val="24"/>
              </w:rPr>
              <w:t>Konsultantas/ekspertas Nr.2 – skaitmeninės infrastruktūros skaitmeninės politikos sritis</w:t>
            </w:r>
          </w:p>
          <w:p w14:paraId="20D819CF" w14:textId="35199AA2" w:rsidR="005D0B0F" w:rsidRPr="003C42F6" w:rsidRDefault="005D0B0F" w:rsidP="00497DA9">
            <w:pPr>
              <w:pStyle w:val="ListParagraph"/>
              <w:numPr>
                <w:ilvl w:val="0"/>
                <w:numId w:val="18"/>
              </w:numPr>
              <w:jc w:val="both"/>
              <w:rPr>
                <w:bCs/>
                <w:color w:val="000000" w:themeColor="text1"/>
                <w:szCs w:val="24"/>
              </w:rPr>
            </w:pPr>
            <w:r w:rsidRPr="003C42F6">
              <w:rPr>
                <w:bCs/>
                <w:color w:val="000000" w:themeColor="text1"/>
                <w:szCs w:val="24"/>
              </w:rPr>
              <w:t>Konsultantas/ekspertas Nr.3 – įmonių skaitmeninės transformacijos skaitmeninės politikos sritis</w:t>
            </w:r>
          </w:p>
          <w:p w14:paraId="6F199643" w14:textId="324DFF96" w:rsidR="005D0B0F" w:rsidRPr="0025584A" w:rsidRDefault="005D0B0F" w:rsidP="00497DA9">
            <w:pPr>
              <w:pStyle w:val="ListParagraph"/>
              <w:numPr>
                <w:ilvl w:val="0"/>
                <w:numId w:val="18"/>
              </w:numPr>
              <w:jc w:val="both"/>
              <w:rPr>
                <w:bCs/>
                <w:szCs w:val="24"/>
              </w:rPr>
            </w:pPr>
            <w:r w:rsidRPr="003C42F6">
              <w:rPr>
                <w:bCs/>
                <w:color w:val="000000" w:themeColor="text1"/>
                <w:szCs w:val="24"/>
              </w:rPr>
              <w:t>Konsultantas/ekspertas Nr.4 – , viešųjų paslaugų skaitmenizacijos skaitmeninės politikos sritis</w:t>
            </w:r>
          </w:p>
        </w:tc>
        <w:tc>
          <w:tcPr>
            <w:tcW w:w="4679" w:type="dxa"/>
            <w:vMerge w:val="restart"/>
            <w:tcBorders>
              <w:top w:val="single" w:sz="4" w:space="0" w:color="auto"/>
              <w:left w:val="single" w:sz="4" w:space="0" w:color="auto"/>
              <w:right w:val="single" w:sz="4" w:space="0" w:color="auto"/>
            </w:tcBorders>
          </w:tcPr>
          <w:p w14:paraId="7ED3AAC1" w14:textId="77777777" w:rsidR="00F007C6" w:rsidRDefault="005D0B0F" w:rsidP="00497DA9">
            <w:pPr>
              <w:jc w:val="both"/>
              <w:rPr>
                <w:rFonts w:ascii="Times New Roman" w:hAnsi="Times New Roman" w:cs="Times New Roman"/>
                <w:bCs/>
                <w:sz w:val="24"/>
                <w:szCs w:val="24"/>
              </w:rPr>
            </w:pPr>
            <w:r w:rsidRPr="00617248">
              <w:rPr>
                <w:rFonts w:ascii="Times New Roman" w:hAnsi="Times New Roman" w:cs="Times New Roman"/>
                <w:bCs/>
                <w:sz w:val="24"/>
                <w:szCs w:val="24"/>
              </w:rPr>
              <w:lastRenderedPageBreak/>
              <w:t>Kvalifikacijos reikalavimai tiekėjui nedraudžia pasitelkti į komandą ir kitų jiems reikalingos kvalifikacijos ekspertų.</w:t>
            </w:r>
          </w:p>
          <w:p w14:paraId="2AD70C86" w14:textId="2BC61A71" w:rsidR="00F007C6" w:rsidRPr="00F007C6" w:rsidRDefault="00F007C6" w:rsidP="00F007C6">
            <w:pPr>
              <w:jc w:val="both"/>
              <w:rPr>
                <w:rFonts w:ascii="Times New Roman" w:hAnsi="Times New Roman" w:cs="Times New Roman"/>
                <w:bCs/>
                <w:sz w:val="24"/>
                <w:szCs w:val="24"/>
              </w:rPr>
            </w:pPr>
            <w:r w:rsidRPr="00F007C6">
              <w:rPr>
                <w:rFonts w:ascii="Times New Roman" w:hAnsi="Times New Roman" w:cs="Times New Roman"/>
                <w:bCs/>
                <w:sz w:val="24"/>
                <w:szCs w:val="24"/>
              </w:rPr>
              <w:lastRenderedPageBreak/>
              <w:t xml:space="preserve">Siekiant kad analizė būtų atlikta kokybiškai yra reikalingi turinio pagal skaitmeninės plėtros sritis </w:t>
            </w:r>
            <w:r>
              <w:rPr>
                <w:rFonts w:ascii="Times New Roman" w:hAnsi="Times New Roman" w:cs="Times New Roman"/>
                <w:bCs/>
                <w:sz w:val="24"/>
                <w:szCs w:val="24"/>
              </w:rPr>
              <w:t>ekspertai.</w:t>
            </w:r>
          </w:p>
          <w:p w14:paraId="5D9E92BF" w14:textId="77777777" w:rsidR="00F007C6" w:rsidRDefault="00F007C6" w:rsidP="00497DA9">
            <w:pPr>
              <w:jc w:val="both"/>
              <w:rPr>
                <w:rFonts w:ascii="Times New Roman" w:hAnsi="Times New Roman" w:cs="Times New Roman"/>
                <w:bCs/>
                <w:sz w:val="24"/>
                <w:szCs w:val="24"/>
              </w:rPr>
            </w:pPr>
          </w:p>
          <w:p w14:paraId="513C8B68" w14:textId="3F233E68" w:rsidR="005D0B0F" w:rsidRPr="0025584A" w:rsidRDefault="005D0B0F" w:rsidP="00497DA9">
            <w:pPr>
              <w:jc w:val="both"/>
              <w:rPr>
                <w:rFonts w:ascii="Times New Roman" w:hAnsi="Times New Roman" w:cs="Times New Roman"/>
                <w:bCs/>
                <w:sz w:val="24"/>
                <w:szCs w:val="24"/>
              </w:rPr>
            </w:pPr>
            <w:r w:rsidRPr="00617248">
              <w:rPr>
                <w:rFonts w:ascii="Times New Roman" w:hAnsi="Times New Roman" w:cs="Times New Roman"/>
                <w:sz w:val="24"/>
                <w:szCs w:val="24"/>
              </w:rPr>
              <w:t>.</w:t>
            </w:r>
          </w:p>
        </w:tc>
      </w:tr>
      <w:tr w:rsidR="005D0B0F" w:rsidRPr="0025584A" w14:paraId="1E19BE63" w14:textId="77777777" w:rsidTr="00C67CCD">
        <w:trPr>
          <w:trHeight w:val="845"/>
        </w:trPr>
        <w:tc>
          <w:tcPr>
            <w:tcW w:w="562" w:type="dxa"/>
            <w:vMerge/>
            <w:tcBorders>
              <w:left w:val="single" w:sz="4" w:space="0" w:color="auto"/>
              <w:bottom w:val="single" w:sz="4" w:space="0" w:color="auto"/>
              <w:right w:val="single" w:sz="4" w:space="0" w:color="auto"/>
            </w:tcBorders>
          </w:tcPr>
          <w:p w14:paraId="27562ED4" w14:textId="77777777" w:rsidR="005D0B0F" w:rsidRPr="0025584A" w:rsidRDefault="005D0B0F" w:rsidP="00497DA9">
            <w:pPr>
              <w:pStyle w:val="ListParagraph"/>
              <w:numPr>
                <w:ilvl w:val="0"/>
                <w:numId w:val="14"/>
              </w:numPr>
              <w:jc w:val="center"/>
              <w:rPr>
                <w:bCs/>
                <w:szCs w:val="24"/>
              </w:rPr>
            </w:pPr>
          </w:p>
        </w:tc>
        <w:tc>
          <w:tcPr>
            <w:tcW w:w="4536" w:type="dxa"/>
            <w:vMerge/>
            <w:tcBorders>
              <w:left w:val="single" w:sz="4" w:space="0" w:color="auto"/>
              <w:bottom w:val="single" w:sz="4" w:space="0" w:color="auto"/>
              <w:right w:val="single" w:sz="4" w:space="0" w:color="auto"/>
            </w:tcBorders>
            <w:shd w:val="clear" w:color="auto" w:fill="EAF1DD" w:themeFill="accent3" w:themeFillTint="33"/>
          </w:tcPr>
          <w:p w14:paraId="304F55C1" w14:textId="77777777" w:rsidR="005D0B0F" w:rsidRPr="0025584A" w:rsidRDefault="005D0B0F" w:rsidP="00497DA9">
            <w:pPr>
              <w:tabs>
                <w:tab w:val="left" w:pos="284"/>
                <w:tab w:val="left" w:pos="709"/>
              </w:tabs>
              <w:contextualSpacing/>
              <w:jc w:val="both"/>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1823CEE9" w14:textId="77777777" w:rsidR="005D0B0F" w:rsidRPr="005D0B0F" w:rsidRDefault="005D0B0F" w:rsidP="002571E4">
            <w:pPr>
              <w:jc w:val="both"/>
              <w:rPr>
                <w:rFonts w:ascii="Times New Roman" w:hAnsi="Times New Roman" w:cs="Times New Roman"/>
                <w:bCs/>
                <w:sz w:val="24"/>
                <w:szCs w:val="24"/>
              </w:rPr>
            </w:pPr>
            <w:r>
              <w:rPr>
                <w:rFonts w:ascii="Times New Roman" w:hAnsi="Times New Roman" w:cs="Times New Roman"/>
                <w:bCs/>
                <w:sz w:val="24"/>
                <w:szCs w:val="24"/>
              </w:rPr>
              <w:t xml:space="preserve">Jei </w:t>
            </w:r>
            <w:r w:rsidRPr="005D0B0F">
              <w:rPr>
                <w:rFonts w:ascii="Times New Roman" w:hAnsi="Times New Roman" w:cs="Times New Roman"/>
                <w:bCs/>
                <w:sz w:val="24"/>
                <w:szCs w:val="24"/>
              </w:rPr>
              <w:t>techninė specifikacija nebūtų keičiama pagal įvardintas pastabas, papildomai reikėtų:</w:t>
            </w:r>
          </w:p>
          <w:p w14:paraId="30C57A91" w14:textId="77777777" w:rsidR="005D0B0F" w:rsidRPr="005D0B0F" w:rsidRDefault="005D0B0F" w:rsidP="002571E4">
            <w:pPr>
              <w:pStyle w:val="ListParagraph"/>
              <w:numPr>
                <w:ilvl w:val="0"/>
                <w:numId w:val="24"/>
              </w:numPr>
              <w:jc w:val="both"/>
              <w:rPr>
                <w:bCs/>
                <w:szCs w:val="24"/>
              </w:rPr>
            </w:pPr>
            <w:r w:rsidRPr="005D0B0F">
              <w:rPr>
                <w:bCs/>
                <w:szCs w:val="24"/>
              </w:rPr>
              <w:t>Viešosios politikos vertinimo specialisto</w:t>
            </w:r>
            <w:r w:rsidRPr="005D0B0F">
              <w:rPr>
                <w:szCs w:val="24"/>
              </w:rPr>
              <w:t>;</w:t>
            </w:r>
          </w:p>
          <w:p w14:paraId="22FBCFD0" w14:textId="77777777" w:rsidR="005D0B0F" w:rsidRPr="005D0B0F" w:rsidRDefault="005D0B0F" w:rsidP="002571E4">
            <w:pPr>
              <w:pStyle w:val="ListParagraph"/>
              <w:numPr>
                <w:ilvl w:val="0"/>
                <w:numId w:val="24"/>
              </w:numPr>
              <w:jc w:val="both"/>
              <w:rPr>
                <w:bCs/>
                <w:szCs w:val="24"/>
              </w:rPr>
            </w:pPr>
            <w:r w:rsidRPr="005D0B0F">
              <w:rPr>
                <w:bCs/>
                <w:szCs w:val="24"/>
              </w:rPr>
              <w:t>Teisės (skaitmeninės plėtros srityje) specialisto</w:t>
            </w:r>
            <w:r w:rsidRPr="005D0B0F">
              <w:rPr>
                <w:szCs w:val="24"/>
              </w:rPr>
              <w:t>;</w:t>
            </w:r>
          </w:p>
          <w:p w14:paraId="6E99A5AD" w14:textId="31602ED0" w:rsidR="005D0B0F" w:rsidRPr="0025584A" w:rsidRDefault="005D0B0F" w:rsidP="002571E4">
            <w:pPr>
              <w:jc w:val="both"/>
              <w:rPr>
                <w:rFonts w:ascii="Times New Roman" w:hAnsi="Times New Roman" w:cs="Times New Roman"/>
                <w:bCs/>
                <w:sz w:val="24"/>
                <w:szCs w:val="24"/>
              </w:rPr>
            </w:pPr>
            <w:r w:rsidRPr="005D0B0F">
              <w:rPr>
                <w:rFonts w:ascii="Times New Roman" w:hAnsi="Times New Roman" w:cs="Times New Roman"/>
                <w:szCs w:val="24"/>
              </w:rPr>
              <w:t>Ekonomisto</w:t>
            </w:r>
            <w:r w:rsidRPr="005D0B0F">
              <w:rPr>
                <w:rFonts w:ascii="Times New Roman" w:hAnsi="Times New Roman" w:cs="Times New Roman"/>
                <w:bCs/>
                <w:szCs w:val="24"/>
              </w:rPr>
              <w:t xml:space="preserve"> (ekonominės/socialinės naudos vertinimo specialistas</w:t>
            </w:r>
            <w:r w:rsidRPr="005D0B0F">
              <w:rPr>
                <w:rFonts w:ascii="Times New Roman" w:hAnsi="Times New Roman" w:cs="Times New Roman"/>
                <w:szCs w:val="24"/>
              </w:rPr>
              <w:t>).</w:t>
            </w:r>
          </w:p>
        </w:tc>
        <w:tc>
          <w:tcPr>
            <w:tcW w:w="4679" w:type="dxa"/>
            <w:vMerge/>
            <w:tcBorders>
              <w:left w:val="single" w:sz="4" w:space="0" w:color="auto"/>
              <w:bottom w:val="single" w:sz="4" w:space="0" w:color="auto"/>
              <w:right w:val="single" w:sz="4" w:space="0" w:color="auto"/>
            </w:tcBorders>
          </w:tcPr>
          <w:p w14:paraId="1775D284" w14:textId="77777777" w:rsidR="005D0B0F" w:rsidRPr="0025584A" w:rsidRDefault="005D0B0F" w:rsidP="00497DA9">
            <w:pPr>
              <w:jc w:val="both"/>
              <w:rPr>
                <w:rFonts w:ascii="Times New Roman" w:hAnsi="Times New Roman" w:cs="Times New Roman"/>
                <w:bCs/>
                <w:sz w:val="24"/>
                <w:szCs w:val="24"/>
              </w:rPr>
            </w:pPr>
          </w:p>
        </w:tc>
      </w:tr>
      <w:tr w:rsidR="00497DA9" w:rsidRPr="0025584A" w14:paraId="1F77288B" w14:textId="5A84073E" w:rsidTr="008D4E0B">
        <w:tc>
          <w:tcPr>
            <w:tcW w:w="562" w:type="dxa"/>
            <w:tcBorders>
              <w:top w:val="single" w:sz="4" w:space="0" w:color="auto"/>
              <w:left w:val="single" w:sz="4" w:space="0" w:color="auto"/>
              <w:bottom w:val="single" w:sz="4" w:space="0" w:color="auto"/>
              <w:right w:val="single" w:sz="4" w:space="0" w:color="auto"/>
            </w:tcBorders>
          </w:tcPr>
          <w:p w14:paraId="2F8452BB" w14:textId="6EA8EF8D" w:rsidR="00497DA9" w:rsidRPr="0025584A" w:rsidRDefault="00497DA9" w:rsidP="00497DA9">
            <w:pPr>
              <w:pStyle w:val="ListParagraph"/>
              <w:numPr>
                <w:ilvl w:val="0"/>
                <w:numId w:val="14"/>
              </w:numPr>
              <w:jc w:val="center"/>
              <w:rPr>
                <w:bCs/>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266ABA6" w14:textId="76642FCB" w:rsidR="00497DA9" w:rsidRPr="0025584A" w:rsidRDefault="00497DA9" w:rsidP="00497DA9">
            <w:pPr>
              <w:jc w:val="both"/>
              <w:rPr>
                <w:rFonts w:ascii="Times New Roman" w:hAnsi="Times New Roman" w:cs="Times New Roman"/>
                <w:bCs/>
                <w:sz w:val="24"/>
                <w:szCs w:val="24"/>
              </w:rPr>
            </w:pPr>
            <w:r w:rsidRPr="0025584A">
              <w:rPr>
                <w:rFonts w:ascii="Times New Roman" w:eastAsia="Times New Roman" w:hAnsi="Times New Roman" w:cs="Times New Roman"/>
                <w:color w:val="000000"/>
                <w:sz w:val="24"/>
                <w:szCs w:val="24"/>
                <w:lang w:eastAsia="lt-LT"/>
              </w:rPr>
              <w:t>Kokią kainodarą ir apmokėjimo už paslaugas tvarką rekomenduotumėte taikyti?</w:t>
            </w:r>
          </w:p>
        </w:tc>
        <w:tc>
          <w:tcPr>
            <w:tcW w:w="4252" w:type="dxa"/>
            <w:tcBorders>
              <w:top w:val="single" w:sz="4" w:space="0" w:color="auto"/>
              <w:left w:val="single" w:sz="4" w:space="0" w:color="auto"/>
              <w:bottom w:val="single" w:sz="4" w:space="0" w:color="auto"/>
              <w:right w:val="single" w:sz="4" w:space="0" w:color="auto"/>
            </w:tcBorders>
          </w:tcPr>
          <w:p w14:paraId="37D3BF5F" w14:textId="20F0184F" w:rsidR="00497DA9" w:rsidRPr="0025584A" w:rsidRDefault="00497DA9" w:rsidP="00497DA9">
            <w:pPr>
              <w:jc w:val="both"/>
              <w:rPr>
                <w:rFonts w:ascii="Times New Roman" w:hAnsi="Times New Roman" w:cs="Times New Roman"/>
                <w:bCs/>
                <w:sz w:val="24"/>
                <w:szCs w:val="24"/>
              </w:rPr>
            </w:pPr>
            <w:r w:rsidRPr="0025584A">
              <w:rPr>
                <w:rFonts w:ascii="Times New Roman" w:hAnsi="Times New Roman" w:cs="Times New Roman"/>
                <w:bCs/>
                <w:sz w:val="24"/>
                <w:szCs w:val="24"/>
              </w:rPr>
              <w:t>Rekomenduojame, kad apmokėjimas už paslaugas būtų atliekamas įgyvendinus sutartį ir pasirašius priėmimo – perdavimo aktą.</w:t>
            </w:r>
          </w:p>
        </w:tc>
        <w:tc>
          <w:tcPr>
            <w:tcW w:w="4679" w:type="dxa"/>
            <w:tcBorders>
              <w:top w:val="single" w:sz="4" w:space="0" w:color="auto"/>
              <w:left w:val="single" w:sz="4" w:space="0" w:color="auto"/>
              <w:bottom w:val="single" w:sz="4" w:space="0" w:color="auto"/>
              <w:right w:val="single" w:sz="4" w:space="0" w:color="auto"/>
            </w:tcBorders>
          </w:tcPr>
          <w:p w14:paraId="1616ACE5" w14:textId="1EFC7E53" w:rsidR="00497DA9" w:rsidRPr="0025584A" w:rsidRDefault="00255F4C" w:rsidP="00497DA9">
            <w:pPr>
              <w:jc w:val="both"/>
              <w:rPr>
                <w:rFonts w:ascii="Times New Roman" w:hAnsi="Times New Roman" w:cs="Times New Roman"/>
                <w:bCs/>
                <w:sz w:val="24"/>
                <w:szCs w:val="24"/>
              </w:rPr>
            </w:pPr>
            <w:r>
              <w:rPr>
                <w:rFonts w:ascii="Times New Roman" w:hAnsi="Times New Roman" w:cs="Times New Roman"/>
                <w:bCs/>
                <w:sz w:val="24"/>
                <w:szCs w:val="24"/>
              </w:rPr>
              <w:t>-</w:t>
            </w:r>
          </w:p>
        </w:tc>
      </w:tr>
      <w:tr w:rsidR="00497DA9" w:rsidRPr="0025584A" w14:paraId="7AE87A4D" w14:textId="766FF9B9" w:rsidTr="008D4E0B">
        <w:tc>
          <w:tcPr>
            <w:tcW w:w="562" w:type="dxa"/>
            <w:tcBorders>
              <w:top w:val="single" w:sz="4" w:space="0" w:color="auto"/>
              <w:left w:val="single" w:sz="4" w:space="0" w:color="auto"/>
              <w:bottom w:val="single" w:sz="4" w:space="0" w:color="auto"/>
              <w:right w:val="single" w:sz="4" w:space="0" w:color="auto"/>
            </w:tcBorders>
          </w:tcPr>
          <w:p w14:paraId="26627A3B" w14:textId="77777777" w:rsidR="00497DA9" w:rsidRPr="0025584A" w:rsidRDefault="00497DA9" w:rsidP="00497DA9">
            <w:pPr>
              <w:pStyle w:val="ListParagraph"/>
              <w:numPr>
                <w:ilvl w:val="0"/>
                <w:numId w:val="14"/>
              </w:numPr>
              <w:jc w:val="center"/>
              <w:rPr>
                <w:bCs/>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AF7E83A" w14:textId="65FD5940" w:rsidR="00497DA9" w:rsidRPr="0025584A" w:rsidRDefault="00497DA9" w:rsidP="00497DA9">
            <w:pPr>
              <w:jc w:val="both"/>
              <w:rPr>
                <w:rFonts w:ascii="Times New Roman" w:hAnsi="Times New Roman" w:cs="Times New Roman"/>
                <w:sz w:val="24"/>
                <w:szCs w:val="24"/>
              </w:rPr>
            </w:pPr>
            <w:r w:rsidRPr="0025584A">
              <w:rPr>
                <w:rFonts w:ascii="Times New Roman" w:hAnsi="Times New Roman" w:cs="Times New Roman"/>
                <w:sz w:val="24"/>
                <w:szCs w:val="24"/>
              </w:rPr>
              <w:t>Kokius kontrolės mechanizmus siūlote nustatyti viešojo pirkimo–pardavimo sutartyje teikiamų paslaugų kontrolei vykdyti?</w:t>
            </w:r>
          </w:p>
        </w:tc>
        <w:tc>
          <w:tcPr>
            <w:tcW w:w="4252" w:type="dxa"/>
            <w:tcBorders>
              <w:top w:val="single" w:sz="4" w:space="0" w:color="auto"/>
              <w:left w:val="single" w:sz="4" w:space="0" w:color="auto"/>
              <w:bottom w:val="single" w:sz="4" w:space="0" w:color="auto"/>
              <w:right w:val="single" w:sz="4" w:space="0" w:color="auto"/>
            </w:tcBorders>
          </w:tcPr>
          <w:p w14:paraId="0394B4CB" w14:textId="7BEC76E1" w:rsidR="00497DA9" w:rsidRPr="0025584A" w:rsidRDefault="00497DA9" w:rsidP="00497DA9">
            <w:pPr>
              <w:jc w:val="both"/>
              <w:rPr>
                <w:rFonts w:ascii="Times New Roman" w:hAnsi="Times New Roman" w:cs="Times New Roman"/>
                <w:sz w:val="24"/>
                <w:szCs w:val="24"/>
              </w:rPr>
            </w:pPr>
            <w:r w:rsidRPr="0025584A">
              <w:rPr>
                <w:rFonts w:ascii="Times New Roman" w:hAnsi="Times New Roman" w:cs="Times New Roman"/>
                <w:sz w:val="24"/>
                <w:szCs w:val="24"/>
              </w:rPr>
              <w:t xml:space="preserve">Manome, kad Techninėje specifikacijoje numatyti pakankami kontrolės mechanizmai – pagrindiniai terminai, </w:t>
            </w:r>
            <w:r w:rsidRPr="0025584A">
              <w:rPr>
                <w:rFonts w:ascii="Times New Roman" w:hAnsi="Times New Roman" w:cs="Times New Roman"/>
                <w:sz w:val="24"/>
                <w:szCs w:val="24"/>
              </w:rPr>
              <w:lastRenderedPageBreak/>
              <w:t>paslaugų teikimo plano ir metodikos suderinimas projekto pradžioje.</w:t>
            </w:r>
          </w:p>
        </w:tc>
        <w:tc>
          <w:tcPr>
            <w:tcW w:w="4679" w:type="dxa"/>
            <w:tcBorders>
              <w:top w:val="single" w:sz="4" w:space="0" w:color="auto"/>
              <w:left w:val="single" w:sz="4" w:space="0" w:color="auto"/>
              <w:bottom w:val="single" w:sz="4" w:space="0" w:color="auto"/>
              <w:right w:val="single" w:sz="4" w:space="0" w:color="auto"/>
            </w:tcBorders>
          </w:tcPr>
          <w:p w14:paraId="40CC2172" w14:textId="5786F6E4" w:rsidR="00497DA9" w:rsidRPr="0025584A" w:rsidRDefault="00255F4C" w:rsidP="00497DA9">
            <w:pPr>
              <w:jc w:val="both"/>
              <w:rPr>
                <w:rFonts w:ascii="Times New Roman" w:hAnsi="Times New Roman" w:cs="Times New Roman"/>
                <w:sz w:val="24"/>
                <w:szCs w:val="24"/>
              </w:rPr>
            </w:pPr>
            <w:r>
              <w:rPr>
                <w:rFonts w:ascii="Times New Roman" w:hAnsi="Times New Roman" w:cs="Times New Roman"/>
                <w:sz w:val="24"/>
                <w:szCs w:val="24"/>
              </w:rPr>
              <w:lastRenderedPageBreak/>
              <w:t>-</w:t>
            </w:r>
          </w:p>
        </w:tc>
      </w:tr>
      <w:tr w:rsidR="001B1131" w:rsidRPr="0025584A" w14:paraId="511E6937" w14:textId="6CF1CC80" w:rsidTr="009A1B77">
        <w:tc>
          <w:tcPr>
            <w:tcW w:w="562" w:type="dxa"/>
            <w:vMerge w:val="restart"/>
            <w:tcBorders>
              <w:top w:val="single" w:sz="4" w:space="0" w:color="auto"/>
              <w:left w:val="single" w:sz="4" w:space="0" w:color="auto"/>
              <w:right w:val="single" w:sz="4" w:space="0" w:color="auto"/>
            </w:tcBorders>
          </w:tcPr>
          <w:p w14:paraId="3A15AC37" w14:textId="77777777" w:rsidR="001B1131" w:rsidRPr="0025584A" w:rsidRDefault="001B1131" w:rsidP="00497DA9">
            <w:pPr>
              <w:pStyle w:val="ListParagraph"/>
              <w:numPr>
                <w:ilvl w:val="0"/>
                <w:numId w:val="14"/>
              </w:numPr>
              <w:jc w:val="center"/>
              <w:rPr>
                <w:bCs/>
                <w:szCs w:val="24"/>
              </w:rPr>
            </w:pPr>
          </w:p>
        </w:tc>
        <w:tc>
          <w:tcPr>
            <w:tcW w:w="4536" w:type="dxa"/>
            <w:vMerge w:val="restart"/>
            <w:tcBorders>
              <w:top w:val="single" w:sz="4" w:space="0" w:color="auto"/>
              <w:left w:val="single" w:sz="4" w:space="0" w:color="auto"/>
              <w:right w:val="single" w:sz="4" w:space="0" w:color="auto"/>
            </w:tcBorders>
            <w:shd w:val="clear" w:color="auto" w:fill="EAF1DD" w:themeFill="accent3" w:themeFillTint="33"/>
          </w:tcPr>
          <w:p w14:paraId="6C7C831C" w14:textId="0AFB21DE" w:rsidR="001B1131" w:rsidRPr="0025584A" w:rsidRDefault="001B1131" w:rsidP="00497DA9">
            <w:pPr>
              <w:jc w:val="both"/>
              <w:rPr>
                <w:rFonts w:ascii="Times New Roman" w:hAnsi="Times New Roman" w:cs="Times New Roman"/>
                <w:sz w:val="24"/>
                <w:szCs w:val="24"/>
              </w:rPr>
            </w:pPr>
            <w:r w:rsidRPr="0025584A">
              <w:rPr>
                <w:rFonts w:ascii="Times New Roman" w:hAnsi="Times New Roman" w:cs="Times New Roman"/>
                <w:sz w:val="24"/>
                <w:szCs w:val="24"/>
              </w:rPr>
              <w:t>Ar gali būti paslaugos suteiktos per techninėje specifikacijoje nurodytą terminą? Koks paslaugų teikimo terminas būtų optimalus?</w:t>
            </w:r>
          </w:p>
        </w:tc>
        <w:tc>
          <w:tcPr>
            <w:tcW w:w="4252" w:type="dxa"/>
            <w:tcBorders>
              <w:top w:val="single" w:sz="4" w:space="0" w:color="auto"/>
              <w:left w:val="single" w:sz="4" w:space="0" w:color="auto"/>
              <w:bottom w:val="single" w:sz="4" w:space="0" w:color="auto"/>
              <w:right w:val="single" w:sz="4" w:space="0" w:color="auto"/>
            </w:tcBorders>
          </w:tcPr>
          <w:p w14:paraId="7A7A28E0" w14:textId="54B91021" w:rsidR="001B1131" w:rsidRPr="00610794" w:rsidRDefault="001B1131" w:rsidP="00497DA9">
            <w:pPr>
              <w:pStyle w:val="ListParagraph"/>
              <w:numPr>
                <w:ilvl w:val="0"/>
                <w:numId w:val="19"/>
              </w:numPr>
              <w:jc w:val="both"/>
              <w:rPr>
                <w:color w:val="000000" w:themeColor="text1"/>
                <w:szCs w:val="24"/>
              </w:rPr>
            </w:pPr>
            <w:r w:rsidRPr="00610794">
              <w:rPr>
                <w:color w:val="000000" w:themeColor="text1"/>
                <w:szCs w:val="24"/>
              </w:rPr>
              <w:t xml:space="preserve">Optimaliai paslaugoms suteikti būtų reikalingas ilgesnis laikotarpis, tačiau įtraukus daugiau specialistų paslaugos gali būti suteiktos per </w:t>
            </w:r>
            <w:r w:rsidRPr="000E3D10">
              <w:rPr>
                <w:color w:val="000000" w:themeColor="text1"/>
                <w:szCs w:val="24"/>
              </w:rPr>
              <w:t xml:space="preserve">5 </w:t>
            </w:r>
            <w:r w:rsidRPr="00610794">
              <w:rPr>
                <w:color w:val="000000" w:themeColor="text1"/>
                <w:szCs w:val="24"/>
              </w:rPr>
              <w:t>mėn.</w:t>
            </w:r>
          </w:p>
          <w:p w14:paraId="7FBEADCC" w14:textId="4D52BF1A" w:rsidR="001B1131" w:rsidRPr="0025584A" w:rsidRDefault="001B1131" w:rsidP="00497DA9">
            <w:pPr>
              <w:pStyle w:val="ListParagraph"/>
              <w:numPr>
                <w:ilvl w:val="0"/>
                <w:numId w:val="19"/>
              </w:numPr>
              <w:jc w:val="both"/>
              <w:rPr>
                <w:szCs w:val="24"/>
              </w:rPr>
            </w:pPr>
            <w:r w:rsidRPr="00F419E6">
              <w:rPr>
                <w:szCs w:val="24"/>
              </w:rPr>
              <w:t xml:space="preserve">Taip pat, kaip paminėta šio klausimyno 4 punkte, siūlome </w:t>
            </w:r>
            <w:r w:rsidRPr="00F419E6">
              <w:rPr>
                <w:bCs/>
                <w:szCs w:val="24"/>
              </w:rPr>
              <w:t>pilnos apimties Studijos projekto pateikimo terminą pratęsti iki 90-100 k. d., papildomai numatant tarpinių rezultatų pristatymus po 60 k. d.</w:t>
            </w:r>
          </w:p>
        </w:tc>
        <w:tc>
          <w:tcPr>
            <w:tcW w:w="4679" w:type="dxa"/>
            <w:vMerge w:val="restart"/>
            <w:tcBorders>
              <w:top w:val="single" w:sz="4" w:space="0" w:color="auto"/>
              <w:left w:val="single" w:sz="4" w:space="0" w:color="auto"/>
              <w:right w:val="single" w:sz="4" w:space="0" w:color="auto"/>
            </w:tcBorders>
          </w:tcPr>
          <w:p w14:paraId="0401D772" w14:textId="77777777" w:rsidR="001B1131" w:rsidRDefault="00F30075" w:rsidP="00EF16FD">
            <w:pPr>
              <w:pStyle w:val="ListParagraph"/>
              <w:ind w:left="34"/>
              <w:jc w:val="both"/>
              <w:rPr>
                <w:color w:val="000000" w:themeColor="text1"/>
                <w:szCs w:val="24"/>
              </w:rPr>
            </w:pPr>
            <w:r>
              <w:rPr>
                <w:color w:val="000000" w:themeColor="text1"/>
                <w:szCs w:val="24"/>
              </w:rPr>
              <w:t>Bendras paslaugų teikimo</w:t>
            </w:r>
            <w:r w:rsidR="0072167B">
              <w:rPr>
                <w:color w:val="000000" w:themeColor="text1"/>
                <w:szCs w:val="24"/>
              </w:rPr>
              <w:t xml:space="preserve"> terminas išlieka 5 mėn. </w:t>
            </w:r>
          </w:p>
          <w:p w14:paraId="4D2D98DC" w14:textId="77777777" w:rsidR="007A09FF" w:rsidRDefault="007A09FF" w:rsidP="00EF16FD">
            <w:pPr>
              <w:pStyle w:val="ListParagraph"/>
              <w:ind w:left="34"/>
              <w:jc w:val="both"/>
              <w:rPr>
                <w:color w:val="000000" w:themeColor="text1"/>
                <w:szCs w:val="24"/>
              </w:rPr>
            </w:pPr>
          </w:p>
          <w:p w14:paraId="133F46BC" w14:textId="461DF638" w:rsidR="007A09FF" w:rsidRPr="00610794" w:rsidRDefault="00EF16FD" w:rsidP="00EF16FD">
            <w:pPr>
              <w:pStyle w:val="ListParagraph"/>
              <w:ind w:left="34"/>
              <w:jc w:val="both"/>
              <w:rPr>
                <w:color w:val="000000" w:themeColor="text1"/>
                <w:szCs w:val="24"/>
              </w:rPr>
            </w:pPr>
            <w:r>
              <w:rPr>
                <w:bCs/>
                <w:szCs w:val="24"/>
              </w:rPr>
              <w:t>P</w:t>
            </w:r>
            <w:r w:rsidR="007A09FF" w:rsidRPr="00F419E6">
              <w:rPr>
                <w:bCs/>
                <w:szCs w:val="24"/>
              </w:rPr>
              <w:t>ilnos apimties Studijos projekto pateikimo termin</w:t>
            </w:r>
            <w:r w:rsidR="007A09FF">
              <w:rPr>
                <w:bCs/>
                <w:szCs w:val="24"/>
              </w:rPr>
              <w:t xml:space="preserve">as </w:t>
            </w:r>
            <w:r>
              <w:rPr>
                <w:bCs/>
                <w:szCs w:val="24"/>
              </w:rPr>
              <w:t xml:space="preserve">patikslintas į </w:t>
            </w:r>
            <w:r w:rsidR="008933E3">
              <w:rPr>
                <w:bCs/>
                <w:szCs w:val="24"/>
              </w:rPr>
              <w:t>4 mėn</w:t>
            </w:r>
            <w:r>
              <w:rPr>
                <w:bCs/>
                <w:szCs w:val="24"/>
              </w:rPr>
              <w:t>.</w:t>
            </w:r>
          </w:p>
        </w:tc>
      </w:tr>
      <w:tr w:rsidR="001B1131" w:rsidRPr="0025584A" w14:paraId="6282E0BE" w14:textId="77777777" w:rsidTr="009A1B77">
        <w:tc>
          <w:tcPr>
            <w:tcW w:w="562" w:type="dxa"/>
            <w:vMerge/>
            <w:tcBorders>
              <w:left w:val="single" w:sz="4" w:space="0" w:color="auto"/>
              <w:bottom w:val="single" w:sz="4" w:space="0" w:color="auto"/>
              <w:right w:val="single" w:sz="4" w:space="0" w:color="auto"/>
            </w:tcBorders>
          </w:tcPr>
          <w:p w14:paraId="10839148" w14:textId="77777777" w:rsidR="001B1131" w:rsidRPr="0025584A" w:rsidRDefault="001B1131" w:rsidP="00497DA9">
            <w:pPr>
              <w:pStyle w:val="ListParagraph"/>
              <w:numPr>
                <w:ilvl w:val="0"/>
                <w:numId w:val="14"/>
              </w:numPr>
              <w:jc w:val="center"/>
              <w:rPr>
                <w:bCs/>
                <w:szCs w:val="24"/>
              </w:rPr>
            </w:pPr>
          </w:p>
        </w:tc>
        <w:tc>
          <w:tcPr>
            <w:tcW w:w="4536" w:type="dxa"/>
            <w:vMerge/>
            <w:tcBorders>
              <w:left w:val="single" w:sz="4" w:space="0" w:color="auto"/>
              <w:bottom w:val="single" w:sz="4" w:space="0" w:color="auto"/>
              <w:right w:val="single" w:sz="4" w:space="0" w:color="auto"/>
            </w:tcBorders>
            <w:shd w:val="clear" w:color="auto" w:fill="EAF1DD" w:themeFill="accent3" w:themeFillTint="33"/>
          </w:tcPr>
          <w:p w14:paraId="226924B7" w14:textId="77777777" w:rsidR="001B1131" w:rsidRPr="0025584A" w:rsidRDefault="001B1131" w:rsidP="00497DA9">
            <w:pPr>
              <w:jc w:val="both"/>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36B244BE" w14:textId="160AD6ED" w:rsidR="001B1131" w:rsidRPr="00610794" w:rsidRDefault="001B1131" w:rsidP="00F419E6">
            <w:pPr>
              <w:pStyle w:val="ListParagraph"/>
              <w:ind w:left="360"/>
              <w:jc w:val="both"/>
              <w:rPr>
                <w:color w:val="000000" w:themeColor="text1"/>
                <w:szCs w:val="24"/>
              </w:rPr>
            </w:pPr>
            <w:r>
              <w:rPr>
                <w:szCs w:val="24"/>
              </w:rPr>
              <w:t xml:space="preserve">7 </w:t>
            </w:r>
            <w:r w:rsidRPr="00A54E01">
              <w:rPr>
                <w:szCs w:val="24"/>
              </w:rPr>
              <w:t>–</w:t>
            </w:r>
            <w:r>
              <w:rPr>
                <w:szCs w:val="24"/>
              </w:rPr>
              <w:t xml:space="preserve"> 9 mėn.</w:t>
            </w:r>
          </w:p>
        </w:tc>
        <w:tc>
          <w:tcPr>
            <w:tcW w:w="4679" w:type="dxa"/>
            <w:vMerge/>
            <w:tcBorders>
              <w:left w:val="single" w:sz="4" w:space="0" w:color="auto"/>
              <w:bottom w:val="single" w:sz="4" w:space="0" w:color="auto"/>
              <w:right w:val="single" w:sz="4" w:space="0" w:color="auto"/>
            </w:tcBorders>
          </w:tcPr>
          <w:p w14:paraId="7003F2B4" w14:textId="77777777" w:rsidR="001B1131" w:rsidRPr="00610794" w:rsidRDefault="001B1131" w:rsidP="00497DA9">
            <w:pPr>
              <w:pStyle w:val="ListParagraph"/>
              <w:numPr>
                <w:ilvl w:val="0"/>
                <w:numId w:val="19"/>
              </w:numPr>
              <w:jc w:val="both"/>
              <w:rPr>
                <w:color w:val="000000" w:themeColor="text1"/>
                <w:szCs w:val="24"/>
              </w:rPr>
            </w:pPr>
          </w:p>
        </w:tc>
      </w:tr>
    </w:tbl>
    <w:p w14:paraId="1625368D" w14:textId="77777777" w:rsidR="00E5239F" w:rsidRPr="0025584A" w:rsidRDefault="00E5239F" w:rsidP="002212CD">
      <w:pPr>
        <w:spacing w:after="0" w:line="240" w:lineRule="auto"/>
        <w:rPr>
          <w:rFonts w:ascii="Times New Roman" w:eastAsiaTheme="minorEastAsia" w:hAnsi="Times New Roman" w:cs="Times New Roman"/>
          <w:i/>
          <w:iCs/>
          <w:sz w:val="24"/>
          <w:szCs w:val="24"/>
          <w:lang w:eastAsia="lt-LT"/>
        </w:rPr>
      </w:pPr>
    </w:p>
    <w:sectPr w:rsidR="00E5239F" w:rsidRPr="0025584A" w:rsidSect="00A37AD8">
      <w:headerReference w:type="even" r:id="rId8"/>
      <w:headerReference w:type="default" r:id="rId9"/>
      <w:footerReference w:type="even" r:id="rId10"/>
      <w:footerReference w:type="default" r:id="rId11"/>
      <w:headerReference w:type="first" r:id="rId12"/>
      <w:footerReference w:type="first" r:id="rId13"/>
      <w:pgSz w:w="16838" w:h="11906" w:orient="landscape"/>
      <w:pgMar w:top="1560" w:right="1134" w:bottom="567" w:left="1134"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1771C" w14:textId="77777777" w:rsidR="00805390" w:rsidRDefault="00805390" w:rsidP="007E6C2C">
      <w:pPr>
        <w:spacing w:after="0" w:line="240" w:lineRule="auto"/>
      </w:pPr>
      <w:r>
        <w:separator/>
      </w:r>
    </w:p>
  </w:endnote>
  <w:endnote w:type="continuationSeparator" w:id="0">
    <w:p w14:paraId="59627FC8" w14:textId="77777777" w:rsidR="00805390" w:rsidRDefault="00805390"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8976" w14:textId="77777777" w:rsidR="00417F7F" w:rsidRDefault="00417F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19713A20"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E93CE" w14:textId="77777777" w:rsidR="00417F7F" w:rsidRDefault="00417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89E54" w14:textId="77777777" w:rsidR="00805390" w:rsidRDefault="00805390" w:rsidP="007E6C2C">
      <w:pPr>
        <w:spacing w:after="0" w:line="240" w:lineRule="auto"/>
      </w:pPr>
      <w:r>
        <w:separator/>
      </w:r>
    </w:p>
  </w:footnote>
  <w:footnote w:type="continuationSeparator" w:id="0">
    <w:p w14:paraId="38FEAF4C" w14:textId="77777777" w:rsidR="00805390" w:rsidRDefault="00805390"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18D7" w14:textId="77777777" w:rsidR="00417F7F" w:rsidRDefault="00417F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237"/>
      <w:gridCol w:w="5381"/>
    </w:tblGrid>
    <w:tr w:rsidR="00F6258F" w:rsidRPr="00C312C6" w14:paraId="6BD5C6FB" w14:textId="77777777" w:rsidTr="00251118">
      <w:tc>
        <w:tcPr>
          <w:tcW w:w="4305" w:type="dxa"/>
        </w:tcPr>
        <w:p w14:paraId="1ADFFE61" w14:textId="77777777" w:rsidR="00F6258F" w:rsidRDefault="00F6258F" w:rsidP="00F6258F">
          <w:pPr>
            <w:pStyle w:val="Header"/>
          </w:pPr>
          <w:r w:rsidRPr="00C203CA">
            <w:rPr>
              <w:rFonts w:ascii="Jost" w:hAnsi="Jost" w:cs="Arial"/>
              <w:noProof/>
              <w:color w:val="4A442A" w:themeColor="background2" w:themeShade="40"/>
            </w:rPr>
            <w:drawing>
              <wp:inline distT="0" distB="0" distL="0" distR="0" wp14:anchorId="033F7F07" wp14:editId="35F8EA5D">
                <wp:extent cx="1248229" cy="512485"/>
                <wp:effectExtent l="0" t="0" r="0" b="0"/>
                <wp:docPr id="193336693" name="Paveikslėlis 1933366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7" w:type="dxa"/>
        </w:tcPr>
        <w:p w14:paraId="1E2E7EE5" w14:textId="77777777" w:rsidR="00F6258F" w:rsidRDefault="00F6258F" w:rsidP="00F6258F">
          <w:pPr>
            <w:pStyle w:val="Header"/>
          </w:pPr>
        </w:p>
      </w:tc>
      <w:tc>
        <w:tcPr>
          <w:tcW w:w="5381" w:type="dxa"/>
        </w:tcPr>
        <w:p w14:paraId="78C6DEBF" w14:textId="6C832B96" w:rsidR="00F6258F" w:rsidRPr="00C312C6" w:rsidRDefault="00E341B3" w:rsidP="00F6258F">
          <w:pPr>
            <w:jc w:val="right"/>
            <w:rPr>
              <w:rFonts w:ascii="Times New Roman" w:hAnsi="Times New Roman" w:cs="Times New Roman"/>
              <w:color w:val="000000"/>
            </w:rPr>
          </w:pPr>
          <w:r>
            <w:rPr>
              <w:rFonts w:ascii="Times New Roman" w:hAnsi="Times New Roman" w:cs="Times New Roman"/>
              <w:color w:val="000000"/>
            </w:rPr>
            <w:t>1 priedas</w:t>
          </w:r>
        </w:p>
        <w:p w14:paraId="005C3123" w14:textId="77777777" w:rsidR="00F6258F" w:rsidRPr="00C312C6" w:rsidRDefault="00F6258F" w:rsidP="00F6258F">
          <w:pPr>
            <w:pStyle w:val="Header"/>
            <w:jc w:val="right"/>
            <w:rPr>
              <w:rFonts w:ascii="Times New Roman" w:hAnsi="Times New Roman" w:cs="Times New Roman"/>
            </w:rPr>
          </w:pPr>
        </w:p>
      </w:tc>
    </w:tr>
  </w:tbl>
  <w:p w14:paraId="16BB7595" w14:textId="77777777" w:rsidR="00FC02F9" w:rsidRDefault="00FC02F9" w:rsidP="00C261EE">
    <w:pPr>
      <w:pStyle w:val="Header"/>
      <w:tabs>
        <w:tab w:val="clear" w:pos="9638"/>
        <w:tab w:val="right" w:pos="9639"/>
      </w:tabs>
      <w:ind w:right="6"/>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23603" w14:textId="77777777" w:rsidR="00417F7F" w:rsidRDefault="00417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67F7D"/>
    <w:multiLevelType w:val="hybridMultilevel"/>
    <w:tmpl w:val="5854F47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81B26"/>
    <w:multiLevelType w:val="hybridMultilevel"/>
    <w:tmpl w:val="22B026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5"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6"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664097"/>
    <w:multiLevelType w:val="hybridMultilevel"/>
    <w:tmpl w:val="20C2F8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3"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A349C6"/>
    <w:multiLevelType w:val="hybridMultilevel"/>
    <w:tmpl w:val="D8220BD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54200D93"/>
    <w:multiLevelType w:val="hybridMultilevel"/>
    <w:tmpl w:val="C4C8A68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814615"/>
    <w:multiLevelType w:val="hybridMultilevel"/>
    <w:tmpl w:val="C122B5A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0B22466"/>
    <w:multiLevelType w:val="hybridMultilevel"/>
    <w:tmpl w:val="390E492A"/>
    <w:lvl w:ilvl="0" w:tplc="41C212C4">
      <w:start w:val="1"/>
      <w:numFmt w:val="decimal"/>
      <w:lvlText w:val="%1."/>
      <w:lvlJc w:val="left"/>
      <w:pPr>
        <w:ind w:left="360" w:hanging="360"/>
      </w:pPr>
      <w:rPr>
        <w:color w:val="000000" w:themeColor="text1"/>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71912959"/>
    <w:multiLevelType w:val="hybridMultilevel"/>
    <w:tmpl w:val="CA26A6BC"/>
    <w:lvl w:ilvl="0" w:tplc="30C8CE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15:restartNumberingAfterBreak="0">
    <w:nsid w:val="7C5F2B2B"/>
    <w:multiLevelType w:val="hybridMultilevel"/>
    <w:tmpl w:val="5804E6F8"/>
    <w:lvl w:ilvl="0" w:tplc="30C8CE7A">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68397705">
    <w:abstractNumId w:val="5"/>
  </w:num>
  <w:num w:numId="2" w16cid:durableId="315645895">
    <w:abstractNumId w:val="17"/>
  </w:num>
  <w:num w:numId="3" w16cid:durableId="740255455">
    <w:abstractNumId w:val="4"/>
  </w:num>
  <w:num w:numId="4" w16cid:durableId="926571691">
    <w:abstractNumId w:val="12"/>
  </w:num>
  <w:num w:numId="5" w16cid:durableId="28386340">
    <w:abstractNumId w:val="9"/>
  </w:num>
  <w:num w:numId="6" w16cid:durableId="2056003036">
    <w:abstractNumId w:val="11"/>
  </w:num>
  <w:num w:numId="7" w16cid:durableId="69354687">
    <w:abstractNumId w:val="1"/>
  </w:num>
  <w:num w:numId="8" w16cid:durableId="1955402720">
    <w:abstractNumId w:val="7"/>
  </w:num>
  <w:num w:numId="9" w16cid:durableId="822354358">
    <w:abstractNumId w:val="16"/>
  </w:num>
  <w:num w:numId="10" w16cid:durableId="13658843">
    <w:abstractNumId w:val="10"/>
  </w:num>
  <w:num w:numId="11" w16cid:durableId="1297953533">
    <w:abstractNumId w:val="2"/>
  </w:num>
  <w:num w:numId="12" w16cid:durableId="271594082">
    <w:abstractNumId w:val="6"/>
  </w:num>
  <w:num w:numId="13" w16cid:durableId="340550545">
    <w:abstractNumId w:val="13"/>
  </w:num>
  <w:num w:numId="14" w16cid:durableId="1673559925">
    <w:abstractNumId w:val="22"/>
  </w:num>
  <w:num w:numId="15" w16cid:durableId="429815309">
    <w:abstractNumId w:val="19"/>
  </w:num>
  <w:num w:numId="16" w16cid:durableId="350760715">
    <w:abstractNumId w:val="20"/>
  </w:num>
  <w:num w:numId="17" w16cid:durableId="974797342">
    <w:abstractNumId w:val="15"/>
  </w:num>
  <w:num w:numId="18" w16cid:durableId="1802072126">
    <w:abstractNumId w:val="14"/>
  </w:num>
  <w:num w:numId="19" w16cid:durableId="67311786">
    <w:abstractNumId w:val="18"/>
  </w:num>
  <w:num w:numId="20" w16cid:durableId="305211055">
    <w:abstractNumId w:val="8"/>
  </w:num>
  <w:num w:numId="21" w16cid:durableId="1175848930">
    <w:abstractNumId w:val="0"/>
  </w:num>
  <w:num w:numId="22" w16cid:durableId="1222711771">
    <w:abstractNumId w:val="21"/>
  </w:num>
  <w:num w:numId="23" w16cid:durableId="135034444">
    <w:abstractNumId w:val="3"/>
  </w:num>
  <w:num w:numId="24" w16cid:durableId="12165448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1D29"/>
    <w:rsid w:val="000124FA"/>
    <w:rsid w:val="0001429A"/>
    <w:rsid w:val="0001518E"/>
    <w:rsid w:val="00015389"/>
    <w:rsid w:val="00016503"/>
    <w:rsid w:val="00021E8E"/>
    <w:rsid w:val="00021F53"/>
    <w:rsid w:val="00027577"/>
    <w:rsid w:val="00027784"/>
    <w:rsid w:val="00027CDA"/>
    <w:rsid w:val="00027D4F"/>
    <w:rsid w:val="00030E74"/>
    <w:rsid w:val="00031180"/>
    <w:rsid w:val="00031486"/>
    <w:rsid w:val="00031756"/>
    <w:rsid w:val="00031C9D"/>
    <w:rsid w:val="000326FC"/>
    <w:rsid w:val="00032B6C"/>
    <w:rsid w:val="00034C68"/>
    <w:rsid w:val="00036CEF"/>
    <w:rsid w:val="000413BF"/>
    <w:rsid w:val="000413C6"/>
    <w:rsid w:val="00043DB2"/>
    <w:rsid w:val="00043F2C"/>
    <w:rsid w:val="00045053"/>
    <w:rsid w:val="0005232D"/>
    <w:rsid w:val="000526A7"/>
    <w:rsid w:val="000529D9"/>
    <w:rsid w:val="00054584"/>
    <w:rsid w:val="00054C62"/>
    <w:rsid w:val="00056F5D"/>
    <w:rsid w:val="00062BCC"/>
    <w:rsid w:val="00062C4A"/>
    <w:rsid w:val="00063794"/>
    <w:rsid w:val="000649D4"/>
    <w:rsid w:val="00067181"/>
    <w:rsid w:val="00073484"/>
    <w:rsid w:val="0007770F"/>
    <w:rsid w:val="00077F25"/>
    <w:rsid w:val="0008131C"/>
    <w:rsid w:val="00090B63"/>
    <w:rsid w:val="00091B6C"/>
    <w:rsid w:val="00093511"/>
    <w:rsid w:val="00093A1A"/>
    <w:rsid w:val="00096372"/>
    <w:rsid w:val="00096689"/>
    <w:rsid w:val="00096B2C"/>
    <w:rsid w:val="000A2532"/>
    <w:rsid w:val="000A29E7"/>
    <w:rsid w:val="000A5686"/>
    <w:rsid w:val="000A7264"/>
    <w:rsid w:val="000B046D"/>
    <w:rsid w:val="000B0CEF"/>
    <w:rsid w:val="000B2EDA"/>
    <w:rsid w:val="000B3167"/>
    <w:rsid w:val="000B48B5"/>
    <w:rsid w:val="000B4938"/>
    <w:rsid w:val="000B4F90"/>
    <w:rsid w:val="000B6793"/>
    <w:rsid w:val="000B7AC8"/>
    <w:rsid w:val="000C4A49"/>
    <w:rsid w:val="000C6A35"/>
    <w:rsid w:val="000C6FF1"/>
    <w:rsid w:val="000D18B7"/>
    <w:rsid w:val="000D6B75"/>
    <w:rsid w:val="000D7BDE"/>
    <w:rsid w:val="000D7DDB"/>
    <w:rsid w:val="000E1FCB"/>
    <w:rsid w:val="000E3919"/>
    <w:rsid w:val="000E3D10"/>
    <w:rsid w:val="000E62BB"/>
    <w:rsid w:val="000F37C8"/>
    <w:rsid w:val="000F7E57"/>
    <w:rsid w:val="00101017"/>
    <w:rsid w:val="00101187"/>
    <w:rsid w:val="00103910"/>
    <w:rsid w:val="00103EE8"/>
    <w:rsid w:val="00104A02"/>
    <w:rsid w:val="00110DC4"/>
    <w:rsid w:val="00111094"/>
    <w:rsid w:val="00112B66"/>
    <w:rsid w:val="00120236"/>
    <w:rsid w:val="001221C5"/>
    <w:rsid w:val="00124EF4"/>
    <w:rsid w:val="0012520E"/>
    <w:rsid w:val="001254E8"/>
    <w:rsid w:val="00127622"/>
    <w:rsid w:val="00132087"/>
    <w:rsid w:val="0013421E"/>
    <w:rsid w:val="001346F2"/>
    <w:rsid w:val="00136279"/>
    <w:rsid w:val="00137627"/>
    <w:rsid w:val="00141EA6"/>
    <w:rsid w:val="001426F7"/>
    <w:rsid w:val="0014356A"/>
    <w:rsid w:val="00143A77"/>
    <w:rsid w:val="00144B96"/>
    <w:rsid w:val="00147E50"/>
    <w:rsid w:val="00150D4B"/>
    <w:rsid w:val="0015249E"/>
    <w:rsid w:val="00153DBD"/>
    <w:rsid w:val="00154364"/>
    <w:rsid w:val="001574CE"/>
    <w:rsid w:val="00161AEE"/>
    <w:rsid w:val="001632C8"/>
    <w:rsid w:val="00164DEF"/>
    <w:rsid w:val="001666DD"/>
    <w:rsid w:val="00170319"/>
    <w:rsid w:val="001745ED"/>
    <w:rsid w:val="00174889"/>
    <w:rsid w:val="001749BB"/>
    <w:rsid w:val="00175CA1"/>
    <w:rsid w:val="00177B89"/>
    <w:rsid w:val="00177D9C"/>
    <w:rsid w:val="00177F93"/>
    <w:rsid w:val="0018219D"/>
    <w:rsid w:val="0019044F"/>
    <w:rsid w:val="00190ECA"/>
    <w:rsid w:val="001928CD"/>
    <w:rsid w:val="00193B87"/>
    <w:rsid w:val="0019543A"/>
    <w:rsid w:val="00196AB6"/>
    <w:rsid w:val="001A0CEB"/>
    <w:rsid w:val="001A7972"/>
    <w:rsid w:val="001A7B6A"/>
    <w:rsid w:val="001B1131"/>
    <w:rsid w:val="001B41F1"/>
    <w:rsid w:val="001B7A33"/>
    <w:rsid w:val="001C26E2"/>
    <w:rsid w:val="001C2CDF"/>
    <w:rsid w:val="001C35C1"/>
    <w:rsid w:val="001C4040"/>
    <w:rsid w:val="001C5351"/>
    <w:rsid w:val="001C5650"/>
    <w:rsid w:val="001C5B22"/>
    <w:rsid w:val="001C71E6"/>
    <w:rsid w:val="001D15C4"/>
    <w:rsid w:val="001E1173"/>
    <w:rsid w:val="001E31E9"/>
    <w:rsid w:val="001E68A4"/>
    <w:rsid w:val="001E68B4"/>
    <w:rsid w:val="001F001E"/>
    <w:rsid w:val="001F6A4F"/>
    <w:rsid w:val="002007F5"/>
    <w:rsid w:val="002010D8"/>
    <w:rsid w:val="00206A9F"/>
    <w:rsid w:val="00207148"/>
    <w:rsid w:val="00207CE3"/>
    <w:rsid w:val="00210FC0"/>
    <w:rsid w:val="00211EA9"/>
    <w:rsid w:val="002127CD"/>
    <w:rsid w:val="002143A2"/>
    <w:rsid w:val="00214C6B"/>
    <w:rsid w:val="00220729"/>
    <w:rsid w:val="002212CD"/>
    <w:rsid w:val="0022486D"/>
    <w:rsid w:val="00224EF3"/>
    <w:rsid w:val="002260ED"/>
    <w:rsid w:val="00227B5A"/>
    <w:rsid w:val="002318CA"/>
    <w:rsid w:val="00232D3E"/>
    <w:rsid w:val="00234A05"/>
    <w:rsid w:val="00235943"/>
    <w:rsid w:val="00236351"/>
    <w:rsid w:val="00236B35"/>
    <w:rsid w:val="002377FD"/>
    <w:rsid w:val="00240120"/>
    <w:rsid w:val="0024188B"/>
    <w:rsid w:val="00242C84"/>
    <w:rsid w:val="00243CA4"/>
    <w:rsid w:val="002445A0"/>
    <w:rsid w:val="00251118"/>
    <w:rsid w:val="002514A8"/>
    <w:rsid w:val="00251BC8"/>
    <w:rsid w:val="00252C45"/>
    <w:rsid w:val="00254290"/>
    <w:rsid w:val="002542A9"/>
    <w:rsid w:val="002548A7"/>
    <w:rsid w:val="00254BBA"/>
    <w:rsid w:val="0025584A"/>
    <w:rsid w:val="00255F4C"/>
    <w:rsid w:val="0025637B"/>
    <w:rsid w:val="002571E4"/>
    <w:rsid w:val="00261586"/>
    <w:rsid w:val="002615F2"/>
    <w:rsid w:val="00262E0F"/>
    <w:rsid w:val="0026429E"/>
    <w:rsid w:val="002676D7"/>
    <w:rsid w:val="00271B44"/>
    <w:rsid w:val="00271FF7"/>
    <w:rsid w:val="00276838"/>
    <w:rsid w:val="0028283B"/>
    <w:rsid w:val="00283C07"/>
    <w:rsid w:val="002847FC"/>
    <w:rsid w:val="0028552D"/>
    <w:rsid w:val="0028577A"/>
    <w:rsid w:val="002909C8"/>
    <w:rsid w:val="00290C94"/>
    <w:rsid w:val="00292B51"/>
    <w:rsid w:val="0029415D"/>
    <w:rsid w:val="002945C0"/>
    <w:rsid w:val="00295E76"/>
    <w:rsid w:val="00295FDB"/>
    <w:rsid w:val="002A02CF"/>
    <w:rsid w:val="002A08E0"/>
    <w:rsid w:val="002A19B7"/>
    <w:rsid w:val="002A2066"/>
    <w:rsid w:val="002A4A4C"/>
    <w:rsid w:val="002A4E8C"/>
    <w:rsid w:val="002A5571"/>
    <w:rsid w:val="002A6335"/>
    <w:rsid w:val="002B40BC"/>
    <w:rsid w:val="002B44A5"/>
    <w:rsid w:val="002B4E9F"/>
    <w:rsid w:val="002B5C5A"/>
    <w:rsid w:val="002B64E8"/>
    <w:rsid w:val="002B719C"/>
    <w:rsid w:val="002B74AE"/>
    <w:rsid w:val="002B7BDB"/>
    <w:rsid w:val="002C1BB3"/>
    <w:rsid w:val="002C4F64"/>
    <w:rsid w:val="002C779B"/>
    <w:rsid w:val="002C77DD"/>
    <w:rsid w:val="002D0475"/>
    <w:rsid w:val="002D53F4"/>
    <w:rsid w:val="002D66E5"/>
    <w:rsid w:val="002D7452"/>
    <w:rsid w:val="002E331C"/>
    <w:rsid w:val="002E3E05"/>
    <w:rsid w:val="002E4575"/>
    <w:rsid w:val="002E76F7"/>
    <w:rsid w:val="002F10B6"/>
    <w:rsid w:val="002F3B48"/>
    <w:rsid w:val="002F5FB1"/>
    <w:rsid w:val="00300195"/>
    <w:rsid w:val="003009DE"/>
    <w:rsid w:val="003029B8"/>
    <w:rsid w:val="00303CA1"/>
    <w:rsid w:val="003066B3"/>
    <w:rsid w:val="00306E43"/>
    <w:rsid w:val="00307A4E"/>
    <w:rsid w:val="00310051"/>
    <w:rsid w:val="0031256B"/>
    <w:rsid w:val="003136B8"/>
    <w:rsid w:val="00314376"/>
    <w:rsid w:val="00314F99"/>
    <w:rsid w:val="003159FF"/>
    <w:rsid w:val="0032129B"/>
    <w:rsid w:val="0032305C"/>
    <w:rsid w:val="0032352D"/>
    <w:rsid w:val="003305F3"/>
    <w:rsid w:val="00336898"/>
    <w:rsid w:val="003422C7"/>
    <w:rsid w:val="003438D3"/>
    <w:rsid w:val="0034425B"/>
    <w:rsid w:val="00344A83"/>
    <w:rsid w:val="00345EA6"/>
    <w:rsid w:val="00350601"/>
    <w:rsid w:val="0035071A"/>
    <w:rsid w:val="00351163"/>
    <w:rsid w:val="00351540"/>
    <w:rsid w:val="00351966"/>
    <w:rsid w:val="00352D80"/>
    <w:rsid w:val="0035378B"/>
    <w:rsid w:val="00355428"/>
    <w:rsid w:val="00355567"/>
    <w:rsid w:val="003578A8"/>
    <w:rsid w:val="003605BD"/>
    <w:rsid w:val="003626A6"/>
    <w:rsid w:val="003633D7"/>
    <w:rsid w:val="00365542"/>
    <w:rsid w:val="00367F52"/>
    <w:rsid w:val="003707C5"/>
    <w:rsid w:val="003714AF"/>
    <w:rsid w:val="0037217A"/>
    <w:rsid w:val="00383B56"/>
    <w:rsid w:val="00384294"/>
    <w:rsid w:val="0038690F"/>
    <w:rsid w:val="003914CB"/>
    <w:rsid w:val="00391BC5"/>
    <w:rsid w:val="0039223B"/>
    <w:rsid w:val="00393879"/>
    <w:rsid w:val="003A1F19"/>
    <w:rsid w:val="003A4F44"/>
    <w:rsid w:val="003A54A8"/>
    <w:rsid w:val="003A5F93"/>
    <w:rsid w:val="003A6077"/>
    <w:rsid w:val="003A6AFD"/>
    <w:rsid w:val="003B0205"/>
    <w:rsid w:val="003B06AB"/>
    <w:rsid w:val="003B1CF3"/>
    <w:rsid w:val="003B41EE"/>
    <w:rsid w:val="003B50FC"/>
    <w:rsid w:val="003C0E24"/>
    <w:rsid w:val="003C1833"/>
    <w:rsid w:val="003C266F"/>
    <w:rsid w:val="003C4167"/>
    <w:rsid w:val="003C42F6"/>
    <w:rsid w:val="003C4822"/>
    <w:rsid w:val="003C5A75"/>
    <w:rsid w:val="003D0B87"/>
    <w:rsid w:val="003D0F72"/>
    <w:rsid w:val="003D160F"/>
    <w:rsid w:val="003D27D8"/>
    <w:rsid w:val="003D7A1F"/>
    <w:rsid w:val="003E1D98"/>
    <w:rsid w:val="003E31C7"/>
    <w:rsid w:val="003F0813"/>
    <w:rsid w:val="003F1E46"/>
    <w:rsid w:val="003F7A78"/>
    <w:rsid w:val="004019DB"/>
    <w:rsid w:val="00404C1B"/>
    <w:rsid w:val="004072AC"/>
    <w:rsid w:val="0041096F"/>
    <w:rsid w:val="004111BE"/>
    <w:rsid w:val="00411BAD"/>
    <w:rsid w:val="004140DB"/>
    <w:rsid w:val="0041584F"/>
    <w:rsid w:val="00417AF1"/>
    <w:rsid w:val="00417F7F"/>
    <w:rsid w:val="00420D2D"/>
    <w:rsid w:val="0042179B"/>
    <w:rsid w:val="00424A66"/>
    <w:rsid w:val="00425229"/>
    <w:rsid w:val="0042555C"/>
    <w:rsid w:val="00425D84"/>
    <w:rsid w:val="00426385"/>
    <w:rsid w:val="00432F1A"/>
    <w:rsid w:val="00436429"/>
    <w:rsid w:val="00441130"/>
    <w:rsid w:val="004430D6"/>
    <w:rsid w:val="0044549E"/>
    <w:rsid w:val="00445927"/>
    <w:rsid w:val="00445C27"/>
    <w:rsid w:val="0045143C"/>
    <w:rsid w:val="00452ED5"/>
    <w:rsid w:val="00453505"/>
    <w:rsid w:val="00454562"/>
    <w:rsid w:val="00454755"/>
    <w:rsid w:val="00454BA9"/>
    <w:rsid w:val="004576D3"/>
    <w:rsid w:val="00457B3C"/>
    <w:rsid w:val="004609A7"/>
    <w:rsid w:val="00461305"/>
    <w:rsid w:val="004647E7"/>
    <w:rsid w:val="00465693"/>
    <w:rsid w:val="00466DEC"/>
    <w:rsid w:val="004706A1"/>
    <w:rsid w:val="00472236"/>
    <w:rsid w:val="00473A77"/>
    <w:rsid w:val="0047482A"/>
    <w:rsid w:val="0047721E"/>
    <w:rsid w:val="0048378C"/>
    <w:rsid w:val="004863B0"/>
    <w:rsid w:val="004863CA"/>
    <w:rsid w:val="0049028B"/>
    <w:rsid w:val="00494B12"/>
    <w:rsid w:val="0049624A"/>
    <w:rsid w:val="00497DA9"/>
    <w:rsid w:val="004A0C4A"/>
    <w:rsid w:val="004A490B"/>
    <w:rsid w:val="004A7DC9"/>
    <w:rsid w:val="004B39BD"/>
    <w:rsid w:val="004B45E6"/>
    <w:rsid w:val="004C168F"/>
    <w:rsid w:val="004C493B"/>
    <w:rsid w:val="004C5A6B"/>
    <w:rsid w:val="004D17A2"/>
    <w:rsid w:val="004D1C0C"/>
    <w:rsid w:val="004D2574"/>
    <w:rsid w:val="004D4AEF"/>
    <w:rsid w:val="004E1D46"/>
    <w:rsid w:val="004E1F73"/>
    <w:rsid w:val="004E2255"/>
    <w:rsid w:val="004E226C"/>
    <w:rsid w:val="004E27FE"/>
    <w:rsid w:val="004E3621"/>
    <w:rsid w:val="004E3A7B"/>
    <w:rsid w:val="004E41A6"/>
    <w:rsid w:val="004E435B"/>
    <w:rsid w:val="004F15C0"/>
    <w:rsid w:val="004F2434"/>
    <w:rsid w:val="004F4357"/>
    <w:rsid w:val="00501120"/>
    <w:rsid w:val="00502C95"/>
    <w:rsid w:val="00510909"/>
    <w:rsid w:val="00512560"/>
    <w:rsid w:val="00512AFD"/>
    <w:rsid w:val="00512BC3"/>
    <w:rsid w:val="0051340D"/>
    <w:rsid w:val="00513863"/>
    <w:rsid w:val="00513AD0"/>
    <w:rsid w:val="005149F7"/>
    <w:rsid w:val="00515A84"/>
    <w:rsid w:val="00516D7B"/>
    <w:rsid w:val="00517865"/>
    <w:rsid w:val="005212E7"/>
    <w:rsid w:val="005223B3"/>
    <w:rsid w:val="00523E20"/>
    <w:rsid w:val="005264FC"/>
    <w:rsid w:val="00527C0C"/>
    <w:rsid w:val="0053010B"/>
    <w:rsid w:val="00537662"/>
    <w:rsid w:val="00546C80"/>
    <w:rsid w:val="00547699"/>
    <w:rsid w:val="00547F06"/>
    <w:rsid w:val="005531AE"/>
    <w:rsid w:val="0055432D"/>
    <w:rsid w:val="00554BA4"/>
    <w:rsid w:val="005573D7"/>
    <w:rsid w:val="00560864"/>
    <w:rsid w:val="005617AA"/>
    <w:rsid w:val="00563BF8"/>
    <w:rsid w:val="005646D0"/>
    <w:rsid w:val="00565905"/>
    <w:rsid w:val="00566CEE"/>
    <w:rsid w:val="00567670"/>
    <w:rsid w:val="00570246"/>
    <w:rsid w:val="005727C5"/>
    <w:rsid w:val="005772C7"/>
    <w:rsid w:val="005774C6"/>
    <w:rsid w:val="0058080D"/>
    <w:rsid w:val="00580BD0"/>
    <w:rsid w:val="00590B1B"/>
    <w:rsid w:val="00593DDA"/>
    <w:rsid w:val="0059544B"/>
    <w:rsid w:val="00595EBC"/>
    <w:rsid w:val="005967E4"/>
    <w:rsid w:val="00596CEF"/>
    <w:rsid w:val="00597404"/>
    <w:rsid w:val="005976F0"/>
    <w:rsid w:val="005A093D"/>
    <w:rsid w:val="005A0F06"/>
    <w:rsid w:val="005A1A23"/>
    <w:rsid w:val="005A244D"/>
    <w:rsid w:val="005A6D22"/>
    <w:rsid w:val="005A6FAF"/>
    <w:rsid w:val="005B194A"/>
    <w:rsid w:val="005B2F92"/>
    <w:rsid w:val="005B485C"/>
    <w:rsid w:val="005B5B39"/>
    <w:rsid w:val="005B7AFE"/>
    <w:rsid w:val="005C04F3"/>
    <w:rsid w:val="005C2520"/>
    <w:rsid w:val="005C2B84"/>
    <w:rsid w:val="005C50C5"/>
    <w:rsid w:val="005C7BEF"/>
    <w:rsid w:val="005D0B0F"/>
    <w:rsid w:val="005D0F4B"/>
    <w:rsid w:val="005D15AC"/>
    <w:rsid w:val="005D6E2B"/>
    <w:rsid w:val="005D7BBC"/>
    <w:rsid w:val="005E1CAE"/>
    <w:rsid w:val="005E2E68"/>
    <w:rsid w:val="005E35B6"/>
    <w:rsid w:val="005E5E1F"/>
    <w:rsid w:val="005F0110"/>
    <w:rsid w:val="005F0530"/>
    <w:rsid w:val="005F1057"/>
    <w:rsid w:val="005F4A64"/>
    <w:rsid w:val="005F4AFA"/>
    <w:rsid w:val="005F6019"/>
    <w:rsid w:val="005F61A9"/>
    <w:rsid w:val="005F773A"/>
    <w:rsid w:val="00601929"/>
    <w:rsid w:val="00601B2D"/>
    <w:rsid w:val="00601C26"/>
    <w:rsid w:val="00602C7B"/>
    <w:rsid w:val="006037F2"/>
    <w:rsid w:val="00610794"/>
    <w:rsid w:val="006130BC"/>
    <w:rsid w:val="00617248"/>
    <w:rsid w:val="00617D78"/>
    <w:rsid w:val="006202CE"/>
    <w:rsid w:val="00623779"/>
    <w:rsid w:val="00623D54"/>
    <w:rsid w:val="00627DE6"/>
    <w:rsid w:val="00630369"/>
    <w:rsid w:val="00634733"/>
    <w:rsid w:val="006360E0"/>
    <w:rsid w:val="00637371"/>
    <w:rsid w:val="006427C6"/>
    <w:rsid w:val="00643EF9"/>
    <w:rsid w:val="00652007"/>
    <w:rsid w:val="0065508B"/>
    <w:rsid w:val="006579D6"/>
    <w:rsid w:val="00660051"/>
    <w:rsid w:val="00662E0F"/>
    <w:rsid w:val="00663E51"/>
    <w:rsid w:val="00665405"/>
    <w:rsid w:val="00667785"/>
    <w:rsid w:val="00667AC0"/>
    <w:rsid w:val="00672507"/>
    <w:rsid w:val="0067339F"/>
    <w:rsid w:val="00674DC9"/>
    <w:rsid w:val="006809E5"/>
    <w:rsid w:val="006818E3"/>
    <w:rsid w:val="00685320"/>
    <w:rsid w:val="0068593B"/>
    <w:rsid w:val="00685AC9"/>
    <w:rsid w:val="00687DF7"/>
    <w:rsid w:val="00693850"/>
    <w:rsid w:val="006A2663"/>
    <w:rsid w:val="006A27E3"/>
    <w:rsid w:val="006A53ED"/>
    <w:rsid w:val="006A5676"/>
    <w:rsid w:val="006A5CBC"/>
    <w:rsid w:val="006B16B5"/>
    <w:rsid w:val="006B2142"/>
    <w:rsid w:val="006B244F"/>
    <w:rsid w:val="006B362A"/>
    <w:rsid w:val="006B417E"/>
    <w:rsid w:val="006B559E"/>
    <w:rsid w:val="006B6AE0"/>
    <w:rsid w:val="006B7307"/>
    <w:rsid w:val="006C0EB3"/>
    <w:rsid w:val="006C112F"/>
    <w:rsid w:val="006C6DE4"/>
    <w:rsid w:val="006D0BC2"/>
    <w:rsid w:val="006D1252"/>
    <w:rsid w:val="006D18FE"/>
    <w:rsid w:val="006D1A56"/>
    <w:rsid w:val="006D3990"/>
    <w:rsid w:val="006D4FB3"/>
    <w:rsid w:val="006D5B60"/>
    <w:rsid w:val="006D5CED"/>
    <w:rsid w:val="006E3B4C"/>
    <w:rsid w:val="006E43AF"/>
    <w:rsid w:val="006E74AA"/>
    <w:rsid w:val="006E7B29"/>
    <w:rsid w:val="006F0759"/>
    <w:rsid w:val="006F1B79"/>
    <w:rsid w:val="006F270F"/>
    <w:rsid w:val="006F38B9"/>
    <w:rsid w:val="00700208"/>
    <w:rsid w:val="00701B6C"/>
    <w:rsid w:val="00702CA5"/>
    <w:rsid w:val="00702F89"/>
    <w:rsid w:val="00704E89"/>
    <w:rsid w:val="00707044"/>
    <w:rsid w:val="00715787"/>
    <w:rsid w:val="0072167B"/>
    <w:rsid w:val="0072239A"/>
    <w:rsid w:val="00727031"/>
    <w:rsid w:val="007326B2"/>
    <w:rsid w:val="00733419"/>
    <w:rsid w:val="00734684"/>
    <w:rsid w:val="0073502E"/>
    <w:rsid w:val="0073514B"/>
    <w:rsid w:val="00736F76"/>
    <w:rsid w:val="00742255"/>
    <w:rsid w:val="007429D7"/>
    <w:rsid w:val="00754FCE"/>
    <w:rsid w:val="00756659"/>
    <w:rsid w:val="007572B7"/>
    <w:rsid w:val="0075747B"/>
    <w:rsid w:val="00757F7F"/>
    <w:rsid w:val="007637FA"/>
    <w:rsid w:val="00764C3F"/>
    <w:rsid w:val="00765A9F"/>
    <w:rsid w:val="00767A99"/>
    <w:rsid w:val="00767D6B"/>
    <w:rsid w:val="00771D5E"/>
    <w:rsid w:val="00776FA0"/>
    <w:rsid w:val="00780F50"/>
    <w:rsid w:val="00786FDA"/>
    <w:rsid w:val="00787E76"/>
    <w:rsid w:val="00790393"/>
    <w:rsid w:val="00791588"/>
    <w:rsid w:val="007931AB"/>
    <w:rsid w:val="00794904"/>
    <w:rsid w:val="0079726B"/>
    <w:rsid w:val="007A09FF"/>
    <w:rsid w:val="007A0F1D"/>
    <w:rsid w:val="007A26BA"/>
    <w:rsid w:val="007A343C"/>
    <w:rsid w:val="007A3C6C"/>
    <w:rsid w:val="007A48C6"/>
    <w:rsid w:val="007A60AA"/>
    <w:rsid w:val="007B3143"/>
    <w:rsid w:val="007B59D5"/>
    <w:rsid w:val="007B74F0"/>
    <w:rsid w:val="007C137C"/>
    <w:rsid w:val="007C1712"/>
    <w:rsid w:val="007C53CF"/>
    <w:rsid w:val="007C55FE"/>
    <w:rsid w:val="007C576A"/>
    <w:rsid w:val="007C5912"/>
    <w:rsid w:val="007C629C"/>
    <w:rsid w:val="007C6BB0"/>
    <w:rsid w:val="007C7F38"/>
    <w:rsid w:val="007D25D2"/>
    <w:rsid w:val="007D32A4"/>
    <w:rsid w:val="007D32FB"/>
    <w:rsid w:val="007D3E25"/>
    <w:rsid w:val="007D572D"/>
    <w:rsid w:val="007D74F7"/>
    <w:rsid w:val="007E0D36"/>
    <w:rsid w:val="007E1646"/>
    <w:rsid w:val="007E1C8D"/>
    <w:rsid w:val="007E40DE"/>
    <w:rsid w:val="007E474A"/>
    <w:rsid w:val="007E4D86"/>
    <w:rsid w:val="007E5968"/>
    <w:rsid w:val="007E6C2C"/>
    <w:rsid w:val="007E7052"/>
    <w:rsid w:val="007E70E6"/>
    <w:rsid w:val="007E71E9"/>
    <w:rsid w:val="007E7AA5"/>
    <w:rsid w:val="007F16E5"/>
    <w:rsid w:val="007F18FF"/>
    <w:rsid w:val="007F6CE4"/>
    <w:rsid w:val="007F6E03"/>
    <w:rsid w:val="007F6EDD"/>
    <w:rsid w:val="00801DED"/>
    <w:rsid w:val="008041F5"/>
    <w:rsid w:val="00805390"/>
    <w:rsid w:val="00805B29"/>
    <w:rsid w:val="00805B92"/>
    <w:rsid w:val="008114D6"/>
    <w:rsid w:val="00813DAA"/>
    <w:rsid w:val="00814536"/>
    <w:rsid w:val="00814AFE"/>
    <w:rsid w:val="00821000"/>
    <w:rsid w:val="008220D1"/>
    <w:rsid w:val="00823762"/>
    <w:rsid w:val="00823799"/>
    <w:rsid w:val="00825148"/>
    <w:rsid w:val="00827DAF"/>
    <w:rsid w:val="0083032B"/>
    <w:rsid w:val="00831E44"/>
    <w:rsid w:val="00834212"/>
    <w:rsid w:val="00837766"/>
    <w:rsid w:val="008418D2"/>
    <w:rsid w:val="00843F26"/>
    <w:rsid w:val="00847171"/>
    <w:rsid w:val="00852A64"/>
    <w:rsid w:val="00852F54"/>
    <w:rsid w:val="0085559A"/>
    <w:rsid w:val="00855A2D"/>
    <w:rsid w:val="00855E8E"/>
    <w:rsid w:val="008612A7"/>
    <w:rsid w:val="00862817"/>
    <w:rsid w:val="0086413A"/>
    <w:rsid w:val="00864208"/>
    <w:rsid w:val="008647D5"/>
    <w:rsid w:val="00864BBD"/>
    <w:rsid w:val="00864D79"/>
    <w:rsid w:val="00867C88"/>
    <w:rsid w:val="00871A1F"/>
    <w:rsid w:val="00872633"/>
    <w:rsid w:val="008749B0"/>
    <w:rsid w:val="00874DA1"/>
    <w:rsid w:val="0087525D"/>
    <w:rsid w:val="00880BE0"/>
    <w:rsid w:val="0088148F"/>
    <w:rsid w:val="00881C7F"/>
    <w:rsid w:val="00882267"/>
    <w:rsid w:val="00882E18"/>
    <w:rsid w:val="00886CDC"/>
    <w:rsid w:val="008933E3"/>
    <w:rsid w:val="00895596"/>
    <w:rsid w:val="00896AB5"/>
    <w:rsid w:val="00897E7C"/>
    <w:rsid w:val="008A4ACC"/>
    <w:rsid w:val="008A5431"/>
    <w:rsid w:val="008B3BA0"/>
    <w:rsid w:val="008B427F"/>
    <w:rsid w:val="008B60D8"/>
    <w:rsid w:val="008B7776"/>
    <w:rsid w:val="008B790C"/>
    <w:rsid w:val="008B7BFC"/>
    <w:rsid w:val="008C075E"/>
    <w:rsid w:val="008C3956"/>
    <w:rsid w:val="008C4D6D"/>
    <w:rsid w:val="008C7FA6"/>
    <w:rsid w:val="008D2355"/>
    <w:rsid w:val="008D2F3E"/>
    <w:rsid w:val="008D4E0B"/>
    <w:rsid w:val="008D6390"/>
    <w:rsid w:val="008D75EF"/>
    <w:rsid w:val="008D7A51"/>
    <w:rsid w:val="008E0B0D"/>
    <w:rsid w:val="008E35C4"/>
    <w:rsid w:val="008E6619"/>
    <w:rsid w:val="008E6C57"/>
    <w:rsid w:val="008F1C52"/>
    <w:rsid w:val="008F2B73"/>
    <w:rsid w:val="008F7DBF"/>
    <w:rsid w:val="00901EF8"/>
    <w:rsid w:val="00902F5A"/>
    <w:rsid w:val="00904CF5"/>
    <w:rsid w:val="009062ED"/>
    <w:rsid w:val="009109FC"/>
    <w:rsid w:val="00910FC3"/>
    <w:rsid w:val="00917025"/>
    <w:rsid w:val="00920F88"/>
    <w:rsid w:val="0092232C"/>
    <w:rsid w:val="00925C1E"/>
    <w:rsid w:val="00927015"/>
    <w:rsid w:val="00934201"/>
    <w:rsid w:val="009349E5"/>
    <w:rsid w:val="00941468"/>
    <w:rsid w:val="00944C62"/>
    <w:rsid w:val="00947785"/>
    <w:rsid w:val="00957C64"/>
    <w:rsid w:val="00957F48"/>
    <w:rsid w:val="0096218E"/>
    <w:rsid w:val="0096246F"/>
    <w:rsid w:val="009625DD"/>
    <w:rsid w:val="0096714A"/>
    <w:rsid w:val="00967E43"/>
    <w:rsid w:val="009755D9"/>
    <w:rsid w:val="00981498"/>
    <w:rsid w:val="0098247A"/>
    <w:rsid w:val="00983443"/>
    <w:rsid w:val="0098369F"/>
    <w:rsid w:val="00987C38"/>
    <w:rsid w:val="009906F1"/>
    <w:rsid w:val="00991003"/>
    <w:rsid w:val="00992D69"/>
    <w:rsid w:val="00996BCF"/>
    <w:rsid w:val="009970AD"/>
    <w:rsid w:val="009A006A"/>
    <w:rsid w:val="009A15E8"/>
    <w:rsid w:val="009A253C"/>
    <w:rsid w:val="009A26AD"/>
    <w:rsid w:val="009A3F98"/>
    <w:rsid w:val="009B0416"/>
    <w:rsid w:val="009B4C63"/>
    <w:rsid w:val="009B6BA3"/>
    <w:rsid w:val="009C03B2"/>
    <w:rsid w:val="009C0CA4"/>
    <w:rsid w:val="009C26EE"/>
    <w:rsid w:val="009C2A87"/>
    <w:rsid w:val="009C4B83"/>
    <w:rsid w:val="009C611B"/>
    <w:rsid w:val="009C783E"/>
    <w:rsid w:val="009D3043"/>
    <w:rsid w:val="009D392E"/>
    <w:rsid w:val="009D5663"/>
    <w:rsid w:val="009D5F6A"/>
    <w:rsid w:val="009D6498"/>
    <w:rsid w:val="009D66CF"/>
    <w:rsid w:val="009E101F"/>
    <w:rsid w:val="009E66C0"/>
    <w:rsid w:val="009E71BB"/>
    <w:rsid w:val="009F5F3B"/>
    <w:rsid w:val="009F6E55"/>
    <w:rsid w:val="009F71A3"/>
    <w:rsid w:val="009F7FD8"/>
    <w:rsid w:val="00A01B2B"/>
    <w:rsid w:val="00A01DD1"/>
    <w:rsid w:val="00A02631"/>
    <w:rsid w:val="00A05D47"/>
    <w:rsid w:val="00A06705"/>
    <w:rsid w:val="00A06D06"/>
    <w:rsid w:val="00A11F95"/>
    <w:rsid w:val="00A14A36"/>
    <w:rsid w:val="00A17E82"/>
    <w:rsid w:val="00A203F3"/>
    <w:rsid w:val="00A21168"/>
    <w:rsid w:val="00A22FBA"/>
    <w:rsid w:val="00A23AB9"/>
    <w:rsid w:val="00A25D4E"/>
    <w:rsid w:val="00A260A0"/>
    <w:rsid w:val="00A3000F"/>
    <w:rsid w:val="00A307D9"/>
    <w:rsid w:val="00A325EC"/>
    <w:rsid w:val="00A35EF5"/>
    <w:rsid w:val="00A372FB"/>
    <w:rsid w:val="00A37AD8"/>
    <w:rsid w:val="00A40008"/>
    <w:rsid w:val="00A44138"/>
    <w:rsid w:val="00A446D5"/>
    <w:rsid w:val="00A46A9A"/>
    <w:rsid w:val="00A47BD0"/>
    <w:rsid w:val="00A504F8"/>
    <w:rsid w:val="00A54E01"/>
    <w:rsid w:val="00A56116"/>
    <w:rsid w:val="00A56EBD"/>
    <w:rsid w:val="00A6055F"/>
    <w:rsid w:val="00A61456"/>
    <w:rsid w:val="00A6171B"/>
    <w:rsid w:val="00A61BAE"/>
    <w:rsid w:val="00A62BD1"/>
    <w:rsid w:val="00A6593D"/>
    <w:rsid w:val="00A66E97"/>
    <w:rsid w:val="00A75519"/>
    <w:rsid w:val="00A771D9"/>
    <w:rsid w:val="00A7756D"/>
    <w:rsid w:val="00A800C0"/>
    <w:rsid w:val="00A87DE5"/>
    <w:rsid w:val="00A9021C"/>
    <w:rsid w:val="00A91340"/>
    <w:rsid w:val="00A9192D"/>
    <w:rsid w:val="00A91CA7"/>
    <w:rsid w:val="00A92ED1"/>
    <w:rsid w:val="00A95B42"/>
    <w:rsid w:val="00A96941"/>
    <w:rsid w:val="00AA039B"/>
    <w:rsid w:val="00AA3953"/>
    <w:rsid w:val="00AB2317"/>
    <w:rsid w:val="00AB46FD"/>
    <w:rsid w:val="00AB66A5"/>
    <w:rsid w:val="00AC0875"/>
    <w:rsid w:val="00AC36E9"/>
    <w:rsid w:val="00AC3D22"/>
    <w:rsid w:val="00AC632A"/>
    <w:rsid w:val="00AD00A5"/>
    <w:rsid w:val="00AD115D"/>
    <w:rsid w:val="00AD1C67"/>
    <w:rsid w:val="00AD2E95"/>
    <w:rsid w:val="00AD4933"/>
    <w:rsid w:val="00AD6966"/>
    <w:rsid w:val="00AE18DB"/>
    <w:rsid w:val="00AE1A01"/>
    <w:rsid w:val="00AE3C8C"/>
    <w:rsid w:val="00AE547E"/>
    <w:rsid w:val="00AF3D02"/>
    <w:rsid w:val="00AF3F98"/>
    <w:rsid w:val="00AF7DD4"/>
    <w:rsid w:val="00AF7E38"/>
    <w:rsid w:val="00B101EF"/>
    <w:rsid w:val="00B1571C"/>
    <w:rsid w:val="00B173AC"/>
    <w:rsid w:val="00B201FC"/>
    <w:rsid w:val="00B20D3E"/>
    <w:rsid w:val="00B211A9"/>
    <w:rsid w:val="00B24874"/>
    <w:rsid w:val="00B26DB0"/>
    <w:rsid w:val="00B27F95"/>
    <w:rsid w:val="00B33965"/>
    <w:rsid w:val="00B3408F"/>
    <w:rsid w:val="00B34325"/>
    <w:rsid w:val="00B3501E"/>
    <w:rsid w:val="00B37C99"/>
    <w:rsid w:val="00B37E17"/>
    <w:rsid w:val="00B40B7E"/>
    <w:rsid w:val="00B450EE"/>
    <w:rsid w:val="00B45381"/>
    <w:rsid w:val="00B45690"/>
    <w:rsid w:val="00B47583"/>
    <w:rsid w:val="00B50529"/>
    <w:rsid w:val="00B510AB"/>
    <w:rsid w:val="00B56807"/>
    <w:rsid w:val="00B57608"/>
    <w:rsid w:val="00B57899"/>
    <w:rsid w:val="00B57EEE"/>
    <w:rsid w:val="00B6118B"/>
    <w:rsid w:val="00B63411"/>
    <w:rsid w:val="00B6359E"/>
    <w:rsid w:val="00B650E4"/>
    <w:rsid w:val="00B65DDC"/>
    <w:rsid w:val="00B7007C"/>
    <w:rsid w:val="00B70BFA"/>
    <w:rsid w:val="00B72389"/>
    <w:rsid w:val="00B759F2"/>
    <w:rsid w:val="00B774FD"/>
    <w:rsid w:val="00B778FE"/>
    <w:rsid w:val="00B80B26"/>
    <w:rsid w:val="00B82806"/>
    <w:rsid w:val="00B82986"/>
    <w:rsid w:val="00B83F0E"/>
    <w:rsid w:val="00B85326"/>
    <w:rsid w:val="00B87112"/>
    <w:rsid w:val="00B878FE"/>
    <w:rsid w:val="00B91F63"/>
    <w:rsid w:val="00B92C50"/>
    <w:rsid w:val="00B9483E"/>
    <w:rsid w:val="00B9492E"/>
    <w:rsid w:val="00B95825"/>
    <w:rsid w:val="00B95FDD"/>
    <w:rsid w:val="00B96EA2"/>
    <w:rsid w:val="00B9709B"/>
    <w:rsid w:val="00B97668"/>
    <w:rsid w:val="00B97958"/>
    <w:rsid w:val="00BA2625"/>
    <w:rsid w:val="00BB4503"/>
    <w:rsid w:val="00BB4D87"/>
    <w:rsid w:val="00BB5B2C"/>
    <w:rsid w:val="00BB6F24"/>
    <w:rsid w:val="00BC2761"/>
    <w:rsid w:val="00BC5CA0"/>
    <w:rsid w:val="00BD1CC1"/>
    <w:rsid w:val="00BD1F78"/>
    <w:rsid w:val="00BD21C3"/>
    <w:rsid w:val="00BD3A6A"/>
    <w:rsid w:val="00BD43D4"/>
    <w:rsid w:val="00BD6CDD"/>
    <w:rsid w:val="00BE3403"/>
    <w:rsid w:val="00BE6EB4"/>
    <w:rsid w:val="00BE74D1"/>
    <w:rsid w:val="00BF2ABF"/>
    <w:rsid w:val="00BF4775"/>
    <w:rsid w:val="00BF7208"/>
    <w:rsid w:val="00C00771"/>
    <w:rsid w:val="00C020EC"/>
    <w:rsid w:val="00C03FE7"/>
    <w:rsid w:val="00C06ECF"/>
    <w:rsid w:val="00C07C07"/>
    <w:rsid w:val="00C12B09"/>
    <w:rsid w:val="00C13B6B"/>
    <w:rsid w:val="00C1484E"/>
    <w:rsid w:val="00C14C2B"/>
    <w:rsid w:val="00C17222"/>
    <w:rsid w:val="00C17977"/>
    <w:rsid w:val="00C21CA7"/>
    <w:rsid w:val="00C22253"/>
    <w:rsid w:val="00C234C5"/>
    <w:rsid w:val="00C25BB1"/>
    <w:rsid w:val="00C261EE"/>
    <w:rsid w:val="00C3121B"/>
    <w:rsid w:val="00C312C6"/>
    <w:rsid w:val="00C31539"/>
    <w:rsid w:val="00C322F5"/>
    <w:rsid w:val="00C3453A"/>
    <w:rsid w:val="00C35104"/>
    <w:rsid w:val="00C425A1"/>
    <w:rsid w:val="00C4627E"/>
    <w:rsid w:val="00C51F14"/>
    <w:rsid w:val="00C53358"/>
    <w:rsid w:val="00C539F9"/>
    <w:rsid w:val="00C55AE6"/>
    <w:rsid w:val="00C60916"/>
    <w:rsid w:val="00C61251"/>
    <w:rsid w:val="00C626F3"/>
    <w:rsid w:val="00C63067"/>
    <w:rsid w:val="00C64562"/>
    <w:rsid w:val="00C6488A"/>
    <w:rsid w:val="00C664C7"/>
    <w:rsid w:val="00C7117C"/>
    <w:rsid w:val="00C71845"/>
    <w:rsid w:val="00C73207"/>
    <w:rsid w:val="00C803BD"/>
    <w:rsid w:val="00C80C03"/>
    <w:rsid w:val="00C8158A"/>
    <w:rsid w:val="00C81AF3"/>
    <w:rsid w:val="00C8460D"/>
    <w:rsid w:val="00C84C8E"/>
    <w:rsid w:val="00C864F8"/>
    <w:rsid w:val="00C8662B"/>
    <w:rsid w:val="00C90505"/>
    <w:rsid w:val="00C90916"/>
    <w:rsid w:val="00C916AC"/>
    <w:rsid w:val="00C920C2"/>
    <w:rsid w:val="00C932AD"/>
    <w:rsid w:val="00C93E70"/>
    <w:rsid w:val="00C95E8C"/>
    <w:rsid w:val="00C96921"/>
    <w:rsid w:val="00C976CB"/>
    <w:rsid w:val="00CA09DE"/>
    <w:rsid w:val="00CA4B51"/>
    <w:rsid w:val="00CA635A"/>
    <w:rsid w:val="00CA7B15"/>
    <w:rsid w:val="00CB16C1"/>
    <w:rsid w:val="00CB4B33"/>
    <w:rsid w:val="00CB4D93"/>
    <w:rsid w:val="00CB610A"/>
    <w:rsid w:val="00CB7E2D"/>
    <w:rsid w:val="00CC4D8F"/>
    <w:rsid w:val="00CC59DF"/>
    <w:rsid w:val="00CC6592"/>
    <w:rsid w:val="00CD137A"/>
    <w:rsid w:val="00CD28BA"/>
    <w:rsid w:val="00CD28FC"/>
    <w:rsid w:val="00CD34D4"/>
    <w:rsid w:val="00CD3696"/>
    <w:rsid w:val="00CD5A64"/>
    <w:rsid w:val="00CD5E49"/>
    <w:rsid w:val="00CD64B0"/>
    <w:rsid w:val="00CE133C"/>
    <w:rsid w:val="00CE1358"/>
    <w:rsid w:val="00CE1737"/>
    <w:rsid w:val="00CE1976"/>
    <w:rsid w:val="00CE3D7A"/>
    <w:rsid w:val="00CE60F6"/>
    <w:rsid w:val="00CF2BA9"/>
    <w:rsid w:val="00CF6A76"/>
    <w:rsid w:val="00D050DC"/>
    <w:rsid w:val="00D11F89"/>
    <w:rsid w:val="00D13046"/>
    <w:rsid w:val="00D140B4"/>
    <w:rsid w:val="00D14AD8"/>
    <w:rsid w:val="00D176C8"/>
    <w:rsid w:val="00D17887"/>
    <w:rsid w:val="00D219C5"/>
    <w:rsid w:val="00D21BB9"/>
    <w:rsid w:val="00D256F7"/>
    <w:rsid w:val="00D30387"/>
    <w:rsid w:val="00D308CD"/>
    <w:rsid w:val="00D319E4"/>
    <w:rsid w:val="00D31F7C"/>
    <w:rsid w:val="00D325F4"/>
    <w:rsid w:val="00D32A4D"/>
    <w:rsid w:val="00D34E8C"/>
    <w:rsid w:val="00D35320"/>
    <w:rsid w:val="00D45B67"/>
    <w:rsid w:val="00D50401"/>
    <w:rsid w:val="00D50CAE"/>
    <w:rsid w:val="00D50F86"/>
    <w:rsid w:val="00D52297"/>
    <w:rsid w:val="00D551DE"/>
    <w:rsid w:val="00D5534A"/>
    <w:rsid w:val="00D55FD8"/>
    <w:rsid w:val="00D568B7"/>
    <w:rsid w:val="00D608BB"/>
    <w:rsid w:val="00D615C5"/>
    <w:rsid w:val="00D627A1"/>
    <w:rsid w:val="00D648F0"/>
    <w:rsid w:val="00D72A7C"/>
    <w:rsid w:val="00D75FB8"/>
    <w:rsid w:val="00D80FDE"/>
    <w:rsid w:val="00D818F3"/>
    <w:rsid w:val="00D81EB0"/>
    <w:rsid w:val="00D83712"/>
    <w:rsid w:val="00D91BFB"/>
    <w:rsid w:val="00D92D03"/>
    <w:rsid w:val="00DA0975"/>
    <w:rsid w:val="00DA1848"/>
    <w:rsid w:val="00DA4242"/>
    <w:rsid w:val="00DA5604"/>
    <w:rsid w:val="00DA5855"/>
    <w:rsid w:val="00DA67AF"/>
    <w:rsid w:val="00DB12B2"/>
    <w:rsid w:val="00DB1FF0"/>
    <w:rsid w:val="00DB5CA5"/>
    <w:rsid w:val="00DC42AE"/>
    <w:rsid w:val="00DC4E9F"/>
    <w:rsid w:val="00DC5088"/>
    <w:rsid w:val="00DC6E9D"/>
    <w:rsid w:val="00DD149D"/>
    <w:rsid w:val="00DD39FB"/>
    <w:rsid w:val="00DD6949"/>
    <w:rsid w:val="00DD7C5F"/>
    <w:rsid w:val="00DE2678"/>
    <w:rsid w:val="00DE54A8"/>
    <w:rsid w:val="00DE6B46"/>
    <w:rsid w:val="00DE6EAE"/>
    <w:rsid w:val="00DF14BB"/>
    <w:rsid w:val="00DF32D6"/>
    <w:rsid w:val="00DF4051"/>
    <w:rsid w:val="00DF4722"/>
    <w:rsid w:val="00DF564D"/>
    <w:rsid w:val="00DF6765"/>
    <w:rsid w:val="00E0062D"/>
    <w:rsid w:val="00E04F00"/>
    <w:rsid w:val="00E07B5C"/>
    <w:rsid w:val="00E112D6"/>
    <w:rsid w:val="00E11908"/>
    <w:rsid w:val="00E121C6"/>
    <w:rsid w:val="00E147FF"/>
    <w:rsid w:val="00E16D7B"/>
    <w:rsid w:val="00E16DDE"/>
    <w:rsid w:val="00E21FAC"/>
    <w:rsid w:val="00E32AB6"/>
    <w:rsid w:val="00E333EC"/>
    <w:rsid w:val="00E33F66"/>
    <w:rsid w:val="00E341B3"/>
    <w:rsid w:val="00E358F4"/>
    <w:rsid w:val="00E361E3"/>
    <w:rsid w:val="00E3735E"/>
    <w:rsid w:val="00E42D17"/>
    <w:rsid w:val="00E43054"/>
    <w:rsid w:val="00E43CA4"/>
    <w:rsid w:val="00E449C3"/>
    <w:rsid w:val="00E45965"/>
    <w:rsid w:val="00E46D70"/>
    <w:rsid w:val="00E47FAF"/>
    <w:rsid w:val="00E5239F"/>
    <w:rsid w:val="00E53569"/>
    <w:rsid w:val="00E5564B"/>
    <w:rsid w:val="00E56632"/>
    <w:rsid w:val="00E5674B"/>
    <w:rsid w:val="00E63726"/>
    <w:rsid w:val="00E64394"/>
    <w:rsid w:val="00E67261"/>
    <w:rsid w:val="00E67376"/>
    <w:rsid w:val="00E70AB3"/>
    <w:rsid w:val="00E71C81"/>
    <w:rsid w:val="00E71F21"/>
    <w:rsid w:val="00E72679"/>
    <w:rsid w:val="00E72CAE"/>
    <w:rsid w:val="00E73B9C"/>
    <w:rsid w:val="00E76B7C"/>
    <w:rsid w:val="00E8093E"/>
    <w:rsid w:val="00E81751"/>
    <w:rsid w:val="00E854EE"/>
    <w:rsid w:val="00E95C23"/>
    <w:rsid w:val="00E97BDA"/>
    <w:rsid w:val="00E97E17"/>
    <w:rsid w:val="00EA1089"/>
    <w:rsid w:val="00EA1425"/>
    <w:rsid w:val="00EA1525"/>
    <w:rsid w:val="00EA1D33"/>
    <w:rsid w:val="00EA1E05"/>
    <w:rsid w:val="00EA2FB0"/>
    <w:rsid w:val="00EA6A00"/>
    <w:rsid w:val="00EB3809"/>
    <w:rsid w:val="00EB3AA4"/>
    <w:rsid w:val="00EB5942"/>
    <w:rsid w:val="00EB5CDE"/>
    <w:rsid w:val="00EB73AA"/>
    <w:rsid w:val="00EC0420"/>
    <w:rsid w:val="00EC060E"/>
    <w:rsid w:val="00EC23CB"/>
    <w:rsid w:val="00EC2760"/>
    <w:rsid w:val="00ED0070"/>
    <w:rsid w:val="00ED0B56"/>
    <w:rsid w:val="00ED27B9"/>
    <w:rsid w:val="00ED29ED"/>
    <w:rsid w:val="00EE08A0"/>
    <w:rsid w:val="00EE1695"/>
    <w:rsid w:val="00EE3A5E"/>
    <w:rsid w:val="00EE4D5A"/>
    <w:rsid w:val="00EE6E6F"/>
    <w:rsid w:val="00EE78FF"/>
    <w:rsid w:val="00EF16FD"/>
    <w:rsid w:val="00EF1E7C"/>
    <w:rsid w:val="00EF59D3"/>
    <w:rsid w:val="00EF6E69"/>
    <w:rsid w:val="00F0020F"/>
    <w:rsid w:val="00F0068F"/>
    <w:rsid w:val="00F007C6"/>
    <w:rsid w:val="00F02133"/>
    <w:rsid w:val="00F04076"/>
    <w:rsid w:val="00F07BE6"/>
    <w:rsid w:val="00F10A63"/>
    <w:rsid w:val="00F12FD7"/>
    <w:rsid w:val="00F132D4"/>
    <w:rsid w:val="00F15C96"/>
    <w:rsid w:val="00F21607"/>
    <w:rsid w:val="00F23B9B"/>
    <w:rsid w:val="00F24965"/>
    <w:rsid w:val="00F257C5"/>
    <w:rsid w:val="00F30075"/>
    <w:rsid w:val="00F30319"/>
    <w:rsid w:val="00F30374"/>
    <w:rsid w:val="00F3094B"/>
    <w:rsid w:val="00F31449"/>
    <w:rsid w:val="00F32588"/>
    <w:rsid w:val="00F32B6F"/>
    <w:rsid w:val="00F3597D"/>
    <w:rsid w:val="00F361B0"/>
    <w:rsid w:val="00F364E7"/>
    <w:rsid w:val="00F36E35"/>
    <w:rsid w:val="00F373CD"/>
    <w:rsid w:val="00F373F8"/>
    <w:rsid w:val="00F40C50"/>
    <w:rsid w:val="00F40DBC"/>
    <w:rsid w:val="00F4113C"/>
    <w:rsid w:val="00F419E6"/>
    <w:rsid w:val="00F41A23"/>
    <w:rsid w:val="00F42F54"/>
    <w:rsid w:val="00F446B5"/>
    <w:rsid w:val="00F44715"/>
    <w:rsid w:val="00F44DC4"/>
    <w:rsid w:val="00F45416"/>
    <w:rsid w:val="00F47B26"/>
    <w:rsid w:val="00F50462"/>
    <w:rsid w:val="00F5084F"/>
    <w:rsid w:val="00F535E6"/>
    <w:rsid w:val="00F5571F"/>
    <w:rsid w:val="00F55EF9"/>
    <w:rsid w:val="00F60F0F"/>
    <w:rsid w:val="00F6258F"/>
    <w:rsid w:val="00F627D3"/>
    <w:rsid w:val="00F630CA"/>
    <w:rsid w:val="00F65C4F"/>
    <w:rsid w:val="00F67CD1"/>
    <w:rsid w:val="00F7056E"/>
    <w:rsid w:val="00F732E0"/>
    <w:rsid w:val="00F77CB0"/>
    <w:rsid w:val="00F82CBE"/>
    <w:rsid w:val="00F84213"/>
    <w:rsid w:val="00F84831"/>
    <w:rsid w:val="00F86D44"/>
    <w:rsid w:val="00F9035A"/>
    <w:rsid w:val="00F918BD"/>
    <w:rsid w:val="00F91CED"/>
    <w:rsid w:val="00F9274D"/>
    <w:rsid w:val="00F927AE"/>
    <w:rsid w:val="00F96774"/>
    <w:rsid w:val="00FA0FFF"/>
    <w:rsid w:val="00FA627D"/>
    <w:rsid w:val="00FA6914"/>
    <w:rsid w:val="00FA6D44"/>
    <w:rsid w:val="00FB6496"/>
    <w:rsid w:val="00FB7085"/>
    <w:rsid w:val="00FC02F9"/>
    <w:rsid w:val="00FC4A48"/>
    <w:rsid w:val="00FC5640"/>
    <w:rsid w:val="00FC6316"/>
    <w:rsid w:val="00FC73E1"/>
    <w:rsid w:val="00FC7A19"/>
    <w:rsid w:val="00FD0C6F"/>
    <w:rsid w:val="00FD1E95"/>
    <w:rsid w:val="00FD33C7"/>
    <w:rsid w:val="00FD4C31"/>
    <w:rsid w:val="00FD65BA"/>
    <w:rsid w:val="00FD7E8E"/>
    <w:rsid w:val="00FE0550"/>
    <w:rsid w:val="00FE1D08"/>
    <w:rsid w:val="00FE41A9"/>
    <w:rsid w:val="00FE57BE"/>
    <w:rsid w:val="00FE746C"/>
    <w:rsid w:val="00FE77FE"/>
    <w:rsid w:val="00FF004B"/>
    <w:rsid w:val="00FF2449"/>
    <w:rsid w:val="00FF29C2"/>
    <w:rsid w:val="00FF3278"/>
    <w:rsid w:val="00FF3520"/>
    <w:rsid w:val="00FF38B4"/>
    <w:rsid w:val="00FF44A6"/>
    <w:rsid w:val="00FF7FA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99"/>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99"/>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0817">
      <w:bodyDiv w:val="1"/>
      <w:marLeft w:val="0"/>
      <w:marRight w:val="0"/>
      <w:marTop w:val="0"/>
      <w:marBottom w:val="0"/>
      <w:divBdr>
        <w:top w:val="none" w:sz="0" w:space="0" w:color="auto"/>
        <w:left w:val="none" w:sz="0" w:space="0" w:color="auto"/>
        <w:bottom w:val="none" w:sz="0" w:space="0" w:color="auto"/>
        <w:right w:val="none" w:sz="0" w:space="0" w:color="auto"/>
      </w:divBdr>
    </w:div>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452141081">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17633521">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1506896031">
      <w:bodyDiv w:val="1"/>
      <w:marLeft w:val="0"/>
      <w:marRight w:val="0"/>
      <w:marTop w:val="0"/>
      <w:marBottom w:val="0"/>
      <w:divBdr>
        <w:top w:val="none" w:sz="0" w:space="0" w:color="auto"/>
        <w:left w:val="none" w:sz="0" w:space="0" w:color="auto"/>
        <w:bottom w:val="none" w:sz="0" w:space="0" w:color="auto"/>
        <w:right w:val="none" w:sz="0" w:space="0" w:color="auto"/>
      </w:divBdr>
    </w:div>
    <w:div w:id="1897542548">
      <w:bodyDiv w:val="1"/>
      <w:marLeft w:val="0"/>
      <w:marRight w:val="0"/>
      <w:marTop w:val="0"/>
      <w:marBottom w:val="0"/>
      <w:divBdr>
        <w:top w:val="none" w:sz="0" w:space="0" w:color="auto"/>
        <w:left w:val="none" w:sz="0" w:space="0" w:color="auto"/>
        <w:bottom w:val="none" w:sz="0" w:space="0" w:color="auto"/>
        <w:right w:val="none" w:sz="0" w:space="0" w:color="auto"/>
      </w:divBdr>
    </w:div>
    <w:div w:id="1947805686">
      <w:bodyDiv w:val="1"/>
      <w:marLeft w:val="0"/>
      <w:marRight w:val="0"/>
      <w:marTop w:val="0"/>
      <w:marBottom w:val="0"/>
      <w:divBdr>
        <w:top w:val="none" w:sz="0" w:space="0" w:color="auto"/>
        <w:left w:val="none" w:sz="0" w:space="0" w:color="auto"/>
        <w:bottom w:val="none" w:sz="0" w:space="0" w:color="auto"/>
        <w:right w:val="none" w:sz="0" w:space="0" w:color="auto"/>
      </w:divBdr>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2444</Words>
  <Characters>13931</Characters>
  <Application>Microsoft Office Word</Application>
  <DocSecurity>0</DocSecurity>
  <Lines>116</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16343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Ramunė Franckevičienė</cp:lastModifiedBy>
  <cp:revision>5</cp:revision>
  <cp:lastPrinted>2022-08-09T07:41:00Z</cp:lastPrinted>
  <dcterms:created xsi:type="dcterms:W3CDTF">2025-07-23T13:22:00Z</dcterms:created>
  <dcterms:modified xsi:type="dcterms:W3CDTF">2025-07-28T10:56:00Z</dcterms:modified>
  <cp:category/>
</cp:coreProperties>
</file>