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A4CA" w14:textId="77777777" w:rsidR="00B32002" w:rsidRDefault="003B1AB5">
      <w:pPr>
        <w:spacing w:line="240" w:lineRule="auto"/>
        <w:contextualSpacing/>
        <w:jc w:val="center"/>
      </w:pPr>
      <w:r>
        <w:rPr>
          <w:rFonts w:ascii="Calibri" w:eastAsia="Calibri" w:hAnsi="Calibri"/>
          <w:noProof/>
          <w:color w:val="252753"/>
          <w:kern w:val="0"/>
          <w:sz w:val="22"/>
          <w:szCs w:val="20"/>
        </w:rPr>
        <w:drawing>
          <wp:inline distT="0" distB="0" distL="0" distR="0" wp14:anchorId="122EA4CA" wp14:editId="122EA4CB">
            <wp:extent cx="1714500" cy="472443"/>
            <wp:effectExtent l="0" t="0" r="0" b="3807"/>
            <wp:docPr id="1423493302"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0" cy="472443"/>
                    </a:xfrm>
                    <a:prstGeom prst="rect">
                      <a:avLst/>
                    </a:prstGeom>
                    <a:noFill/>
                    <a:ln>
                      <a:noFill/>
                      <a:prstDash/>
                    </a:ln>
                  </pic:spPr>
                </pic:pic>
              </a:graphicData>
            </a:graphic>
          </wp:inline>
        </w:drawing>
      </w:r>
    </w:p>
    <w:p w14:paraId="122EA4CB" w14:textId="77777777" w:rsidR="00B32002" w:rsidRDefault="003B1AB5">
      <w:pPr>
        <w:spacing w:line="360" w:lineRule="auto"/>
        <w:contextualSpacing/>
        <w:jc w:val="center"/>
      </w:pPr>
      <w:r>
        <w:rPr>
          <w:rFonts w:ascii="Montserrat" w:eastAsia="Calibri" w:hAnsi="Montserrat" w:cs="Arial"/>
          <w:bCs/>
          <w:kern w:val="0"/>
          <w:sz w:val="20"/>
          <w:szCs w:val="20"/>
        </w:rPr>
        <w:t>Savivaldybės įmonė „Susisiekimo paslaugos“</w:t>
      </w:r>
      <w:r>
        <w:rPr>
          <w:rFonts w:ascii="Montserrat" w:eastAsia="Calibri" w:hAnsi="Montserrat" w:cs="Arial"/>
          <w:bCs/>
          <w:caps/>
          <w:kern w:val="0"/>
          <w:sz w:val="20"/>
          <w:szCs w:val="20"/>
        </w:rPr>
        <w:br/>
      </w:r>
      <w:r>
        <w:rPr>
          <w:rFonts w:ascii="Montserrat" w:eastAsia="Calibri" w:hAnsi="Montserrat" w:cs="Arial"/>
          <w:bCs/>
          <w:kern w:val="0"/>
          <w:sz w:val="20"/>
          <w:szCs w:val="20"/>
        </w:rPr>
        <w:t>Pirkimų skyrius</w:t>
      </w:r>
    </w:p>
    <w:p w14:paraId="122EA4CC" w14:textId="77777777" w:rsidR="00B32002" w:rsidRDefault="00B32002">
      <w:pPr>
        <w:spacing w:line="360" w:lineRule="auto"/>
        <w:contextualSpacing/>
        <w:jc w:val="center"/>
      </w:pPr>
    </w:p>
    <w:tbl>
      <w:tblPr>
        <w:tblW w:w="9923" w:type="dxa"/>
        <w:tblInd w:w="-284" w:type="dxa"/>
        <w:tblCellMar>
          <w:left w:w="10" w:type="dxa"/>
          <w:right w:w="10" w:type="dxa"/>
        </w:tblCellMar>
        <w:tblLook w:val="0000" w:firstRow="0" w:lastRow="0" w:firstColumn="0" w:lastColumn="0" w:noHBand="0" w:noVBand="0"/>
      </w:tblPr>
      <w:tblGrid>
        <w:gridCol w:w="6640"/>
        <w:gridCol w:w="715"/>
        <w:gridCol w:w="2285"/>
        <w:gridCol w:w="283"/>
      </w:tblGrid>
      <w:tr w:rsidR="00B32002" w14:paraId="122EA4CF" w14:textId="77777777">
        <w:tblPrEx>
          <w:tblCellMar>
            <w:top w:w="0" w:type="dxa"/>
            <w:bottom w:w="0" w:type="dxa"/>
          </w:tblCellMar>
        </w:tblPrEx>
        <w:tc>
          <w:tcPr>
            <w:tcW w:w="6640" w:type="dxa"/>
            <w:shd w:val="clear" w:color="auto" w:fill="auto"/>
            <w:tcMar>
              <w:top w:w="0" w:type="dxa"/>
              <w:left w:w="108" w:type="dxa"/>
              <w:bottom w:w="0" w:type="dxa"/>
              <w:right w:w="108" w:type="dxa"/>
            </w:tcMar>
          </w:tcPr>
          <w:p w14:paraId="122EA4CD" w14:textId="77777777" w:rsidR="00B32002" w:rsidRDefault="003B1AB5">
            <w:pPr>
              <w:spacing w:after="0"/>
              <w:rPr>
                <w:rFonts w:ascii="Montserrat" w:eastAsia="Calibri" w:hAnsi="Montserrat"/>
                <w:kern w:val="0"/>
                <w:sz w:val="20"/>
                <w:szCs w:val="20"/>
                <w:lang w:val="en-US"/>
              </w:rPr>
            </w:pPr>
            <w:r>
              <w:rPr>
                <w:rFonts w:ascii="Montserrat" w:eastAsia="Calibri" w:hAnsi="Montserrat"/>
                <w:kern w:val="0"/>
                <w:sz w:val="20"/>
                <w:szCs w:val="20"/>
                <w:lang w:val="en-US"/>
              </w:rPr>
              <w:t>Suinteresuotiems dalyviams</w:t>
            </w:r>
          </w:p>
        </w:tc>
        <w:tc>
          <w:tcPr>
            <w:tcW w:w="3283" w:type="dxa"/>
            <w:gridSpan w:val="3"/>
            <w:shd w:val="clear" w:color="auto" w:fill="auto"/>
            <w:tcMar>
              <w:top w:w="0" w:type="dxa"/>
              <w:left w:w="108" w:type="dxa"/>
              <w:bottom w:w="0" w:type="dxa"/>
              <w:right w:w="108" w:type="dxa"/>
            </w:tcMar>
          </w:tcPr>
          <w:p w14:paraId="122EA4CE" w14:textId="77777777" w:rsidR="00B32002" w:rsidRDefault="003B1AB5">
            <w:pPr>
              <w:spacing w:after="120" w:line="242" w:lineRule="auto"/>
              <w:rPr>
                <w:rFonts w:ascii="Montserrat" w:eastAsia="Calibri" w:hAnsi="Montserrat"/>
                <w:kern w:val="0"/>
                <w:sz w:val="20"/>
                <w:szCs w:val="20"/>
                <w:lang w:val="en-US"/>
              </w:rPr>
            </w:pPr>
            <w:r>
              <w:rPr>
                <w:rFonts w:ascii="Montserrat" w:eastAsia="Calibri" w:hAnsi="Montserrat"/>
                <w:kern w:val="0"/>
                <w:sz w:val="20"/>
                <w:szCs w:val="20"/>
                <w:lang w:val="en-US"/>
              </w:rPr>
              <w:t>2025-07-28  Nr. 2025-SD-1120</w:t>
            </w:r>
          </w:p>
        </w:tc>
      </w:tr>
      <w:tr w:rsidR="00B32002" w14:paraId="122EA4D2" w14:textId="77777777">
        <w:tblPrEx>
          <w:tblCellMar>
            <w:top w:w="0" w:type="dxa"/>
            <w:bottom w:w="0" w:type="dxa"/>
          </w:tblCellMar>
        </w:tblPrEx>
        <w:tc>
          <w:tcPr>
            <w:tcW w:w="7355" w:type="dxa"/>
            <w:gridSpan w:val="2"/>
            <w:shd w:val="clear" w:color="auto" w:fill="auto"/>
            <w:tcMar>
              <w:top w:w="0" w:type="dxa"/>
              <w:left w:w="108" w:type="dxa"/>
              <w:bottom w:w="0" w:type="dxa"/>
              <w:right w:w="108" w:type="dxa"/>
            </w:tcMar>
          </w:tcPr>
          <w:p w14:paraId="122EA4D0" w14:textId="77777777" w:rsidR="00B32002" w:rsidRDefault="003B1AB5">
            <w:pPr>
              <w:spacing w:after="120"/>
              <w:rPr>
                <w:rFonts w:ascii="Montserrat" w:eastAsia="Calibri" w:hAnsi="Montserrat"/>
                <w:kern w:val="0"/>
                <w:sz w:val="20"/>
                <w:szCs w:val="20"/>
                <w:lang w:val="en-US"/>
              </w:rPr>
            </w:pPr>
            <w:r>
              <w:rPr>
                <w:rFonts w:ascii="Montserrat" w:eastAsia="Calibri" w:hAnsi="Montserrat"/>
                <w:kern w:val="0"/>
                <w:sz w:val="20"/>
                <w:szCs w:val="20"/>
                <w:lang w:val="en-US"/>
              </w:rPr>
              <w:t>CVP IS susirašinėjimo priemonėmis</w:t>
            </w:r>
          </w:p>
        </w:tc>
        <w:tc>
          <w:tcPr>
            <w:tcW w:w="2568" w:type="dxa"/>
            <w:gridSpan w:val="2"/>
            <w:shd w:val="clear" w:color="auto" w:fill="auto"/>
            <w:tcMar>
              <w:top w:w="0" w:type="dxa"/>
              <w:left w:w="108" w:type="dxa"/>
              <w:bottom w:w="0" w:type="dxa"/>
              <w:right w:w="108" w:type="dxa"/>
            </w:tcMar>
          </w:tcPr>
          <w:p w14:paraId="122EA4D1" w14:textId="77777777" w:rsidR="00B32002" w:rsidRDefault="00B32002">
            <w:pPr>
              <w:spacing w:after="120" w:line="242" w:lineRule="auto"/>
              <w:rPr>
                <w:rFonts w:ascii="Montserrat" w:eastAsia="Calibri" w:hAnsi="Montserrat"/>
                <w:kern w:val="0"/>
                <w:sz w:val="20"/>
                <w:szCs w:val="20"/>
                <w:lang w:val="en-US"/>
              </w:rPr>
            </w:pPr>
          </w:p>
        </w:tc>
      </w:tr>
      <w:tr w:rsidR="00B32002" w14:paraId="122EA4D7" w14:textId="77777777">
        <w:tblPrEx>
          <w:tblCellMar>
            <w:top w:w="0" w:type="dxa"/>
            <w:bottom w:w="0" w:type="dxa"/>
          </w:tblCellMar>
        </w:tblPrEx>
        <w:trPr>
          <w:trHeight w:val="570"/>
        </w:trPr>
        <w:tc>
          <w:tcPr>
            <w:tcW w:w="9640" w:type="dxa"/>
            <w:gridSpan w:val="3"/>
            <w:shd w:val="clear" w:color="auto" w:fill="auto"/>
            <w:tcMar>
              <w:top w:w="0" w:type="dxa"/>
              <w:left w:w="108" w:type="dxa"/>
              <w:bottom w:w="0" w:type="dxa"/>
              <w:right w:w="108" w:type="dxa"/>
            </w:tcMar>
          </w:tcPr>
          <w:p w14:paraId="122EA4D3" w14:textId="77777777" w:rsidR="00B32002" w:rsidRDefault="00B32002">
            <w:pPr>
              <w:spacing w:after="120" w:line="242" w:lineRule="auto"/>
              <w:rPr>
                <w:rFonts w:ascii="Montserrat" w:eastAsia="Calibri" w:hAnsi="Montserrat"/>
                <w:b/>
                <w:bCs/>
                <w:kern w:val="0"/>
                <w:sz w:val="20"/>
                <w:szCs w:val="20"/>
                <w:lang w:val="en-US"/>
              </w:rPr>
            </w:pPr>
          </w:p>
          <w:p w14:paraId="122EA4D4" w14:textId="77777777" w:rsidR="00B32002" w:rsidRDefault="003B1AB5">
            <w:pPr>
              <w:spacing w:after="120" w:line="242" w:lineRule="auto"/>
              <w:rPr>
                <w:rFonts w:ascii="Montserrat" w:eastAsia="Calibri" w:hAnsi="Montserrat"/>
                <w:b/>
                <w:bCs/>
                <w:kern w:val="0"/>
                <w:sz w:val="20"/>
                <w:szCs w:val="20"/>
                <w:lang w:val="en-US"/>
              </w:rPr>
            </w:pPr>
            <w:r>
              <w:rPr>
                <w:rFonts w:ascii="Montserrat" w:eastAsia="Calibri" w:hAnsi="Montserrat"/>
                <w:b/>
                <w:bCs/>
                <w:kern w:val="0"/>
                <w:sz w:val="20"/>
                <w:szCs w:val="20"/>
                <w:lang w:val="en-US"/>
              </w:rPr>
              <w:t xml:space="preserve">DĖL GAUTO PAKLAUSIMO NAGRINĖJIMO </w:t>
            </w:r>
          </w:p>
          <w:p w14:paraId="122EA4D5" w14:textId="77777777" w:rsidR="00B32002" w:rsidRDefault="00B32002">
            <w:pPr>
              <w:spacing w:after="120" w:line="242" w:lineRule="auto"/>
              <w:rPr>
                <w:rFonts w:ascii="Montserrat" w:eastAsia="Calibri" w:hAnsi="Montserrat"/>
                <w:b/>
                <w:bCs/>
                <w:kern w:val="0"/>
                <w:sz w:val="20"/>
                <w:szCs w:val="20"/>
                <w:lang w:val="en-US"/>
              </w:rPr>
            </w:pPr>
          </w:p>
        </w:tc>
        <w:tc>
          <w:tcPr>
            <w:tcW w:w="283" w:type="dxa"/>
            <w:shd w:val="clear" w:color="auto" w:fill="auto"/>
            <w:tcMar>
              <w:top w:w="0" w:type="dxa"/>
              <w:left w:w="108" w:type="dxa"/>
              <w:bottom w:w="0" w:type="dxa"/>
              <w:right w:w="108" w:type="dxa"/>
            </w:tcMar>
          </w:tcPr>
          <w:p w14:paraId="122EA4D6" w14:textId="77777777" w:rsidR="00B32002" w:rsidRDefault="00B32002">
            <w:pPr>
              <w:spacing w:after="120" w:line="242" w:lineRule="auto"/>
              <w:jc w:val="center"/>
              <w:rPr>
                <w:rFonts w:ascii="Montserrat" w:eastAsia="Calibri" w:hAnsi="Montserrat"/>
                <w:kern w:val="0"/>
                <w:sz w:val="20"/>
                <w:szCs w:val="20"/>
                <w:lang w:val="en-US"/>
              </w:rPr>
            </w:pPr>
          </w:p>
        </w:tc>
      </w:tr>
      <w:tr w:rsidR="00B32002" w14:paraId="122EA4ED" w14:textId="77777777">
        <w:tblPrEx>
          <w:tblCellMar>
            <w:top w:w="0" w:type="dxa"/>
            <w:bottom w:w="0" w:type="dxa"/>
          </w:tblCellMar>
        </w:tblPrEx>
        <w:tc>
          <w:tcPr>
            <w:tcW w:w="9923" w:type="dxa"/>
            <w:gridSpan w:val="4"/>
            <w:shd w:val="clear" w:color="auto" w:fill="auto"/>
            <w:tcMar>
              <w:top w:w="0" w:type="dxa"/>
              <w:left w:w="108" w:type="dxa"/>
              <w:bottom w:w="0" w:type="dxa"/>
              <w:right w:w="108" w:type="dxa"/>
            </w:tcMar>
          </w:tcPr>
          <w:p w14:paraId="122EA4D8" w14:textId="77777777" w:rsidR="00B32002" w:rsidRDefault="003B1AB5">
            <w:pPr>
              <w:tabs>
                <w:tab w:val="left" w:pos="284"/>
              </w:tabs>
              <w:spacing w:after="0" w:line="360" w:lineRule="auto"/>
              <w:jc w:val="both"/>
              <w:textAlignment w:val="baseline"/>
            </w:pPr>
            <w:r>
              <w:rPr>
                <w:rFonts w:ascii="Montserrat" w:eastAsia="Calibri" w:hAnsi="Montserrat"/>
                <w:kern w:val="0"/>
                <w:sz w:val="20"/>
                <w:szCs w:val="20"/>
                <w:lang w:val="en-US"/>
              </w:rPr>
              <w:t xml:space="preserve">       Savivaldybės įmonės </w:t>
            </w:r>
            <w:r>
              <w:rPr>
                <w:rFonts w:ascii="Montserrat" w:eastAsia="Calibri" w:hAnsi="Montserrat"/>
                <w:kern w:val="0"/>
                <w:sz w:val="20"/>
                <w:szCs w:val="20"/>
                <w:lang w:val="en-US"/>
              </w:rPr>
              <w:t xml:space="preserve">„Susisiekimo paslaugos“ sudaryta nuolatinė viešųjų pirkimų komisija (toliau – Komisija), vykdo </w:t>
            </w:r>
            <w:r>
              <w:rPr>
                <w:rFonts w:ascii="Montserrat" w:eastAsia="Calibri" w:hAnsi="Montserrat" w:cs="Arial"/>
                <w:bCs/>
                <w:kern w:val="0"/>
                <w:sz w:val="20"/>
                <w:szCs w:val="20"/>
              </w:rPr>
              <w:t>Elektroninių bilietų pardavimo (platinimo) per Trafi mobiliąją programėlę paslaugų</w:t>
            </w:r>
            <w:r>
              <w:rPr>
                <w:rFonts w:ascii="Montserrat" w:eastAsia="Calibri" w:hAnsi="Montserrat"/>
                <w:bCs/>
                <w:kern w:val="0"/>
                <w:sz w:val="20"/>
                <w:szCs w:val="20"/>
              </w:rPr>
              <w:t xml:space="preserve"> </w:t>
            </w:r>
            <w:r>
              <w:rPr>
                <w:rFonts w:ascii="Montserrat" w:eastAsia="Arial Unicode MS" w:hAnsi="Montserrat" w:cs="Arial"/>
                <w:iCs/>
                <w:sz w:val="20"/>
                <w:szCs w:val="20"/>
              </w:rPr>
              <w:t>viešąjį pirkimą</w:t>
            </w:r>
            <w:r>
              <w:rPr>
                <w:rFonts w:ascii="Montserrat" w:eastAsia="Calibri" w:hAnsi="Montserrat" w:cs="Calibri"/>
                <w:kern w:val="0"/>
                <w:sz w:val="20"/>
                <w:szCs w:val="20"/>
                <w:shd w:val="clear" w:color="auto" w:fill="FFFFFF"/>
                <w:lang w:val="en-US"/>
              </w:rPr>
              <w:t xml:space="preserve">, </w:t>
            </w:r>
            <w:r>
              <w:rPr>
                <w:rFonts w:ascii="Montserrat" w:eastAsia="Calibri" w:hAnsi="Montserrat"/>
                <w:kern w:val="0"/>
                <w:sz w:val="20"/>
                <w:szCs w:val="20"/>
                <w:lang w:val="en-US"/>
              </w:rPr>
              <w:t>atviro konkurso būdu. </w:t>
            </w:r>
          </w:p>
          <w:p w14:paraId="122EA4D9" w14:textId="77777777" w:rsidR="00B32002" w:rsidRDefault="003B1AB5">
            <w:pPr>
              <w:tabs>
                <w:tab w:val="left" w:pos="284"/>
              </w:tabs>
              <w:spacing w:after="0" w:line="360" w:lineRule="auto"/>
              <w:jc w:val="both"/>
              <w:textAlignment w:val="baseline"/>
            </w:pPr>
            <w:r>
              <w:rPr>
                <w:rFonts w:ascii="Montserrat" w:eastAsia="Calibri" w:hAnsi="Montserrat" w:cs="Arial"/>
                <w:bCs/>
                <w:iCs/>
                <w:kern w:val="0"/>
                <w:sz w:val="20"/>
                <w:szCs w:val="20"/>
                <w:lang w:val="en-US"/>
              </w:rPr>
              <w:tab/>
              <w:t xml:space="preserve">Informuojame, kad 2025 m. </w:t>
            </w:r>
            <w:r>
              <w:rPr>
                <w:rFonts w:ascii="Montserrat" w:eastAsia="Calibri" w:hAnsi="Montserrat" w:cs="Arial"/>
                <w:bCs/>
                <w:iCs/>
                <w:kern w:val="0"/>
                <w:sz w:val="20"/>
                <w:szCs w:val="20"/>
                <w:lang w:val="en-US"/>
              </w:rPr>
              <w:t>liepos 14 d. 14:18 val., Centrinės viešųjų pirkimų informacinės sistemos (toliau – CVP IS) priemonėmis, nepraleidžiant pirkimo sąlygų 81 punkte nurodyto prašymų dėl papildomos su pirkimo dokumentais susijusios informacijos teikimo termino, buvo gautas tiekėjo pranešimas</w:t>
            </w:r>
            <w:r>
              <w:rPr>
                <w:rFonts w:ascii="Montserrat" w:eastAsia="Calibri" w:hAnsi="Montserrat"/>
                <w:kern w:val="0"/>
                <w:sz w:val="20"/>
                <w:szCs w:val="20"/>
              </w:rPr>
              <w:t xml:space="preserve"> „API dokumentacija nepilna“ (Pranešimo ID</w:t>
            </w:r>
            <w:r>
              <w:rPr>
                <w:rFonts w:ascii="Montserrat" w:eastAsia="Calibri" w:hAnsi="Montserrat"/>
                <w:color w:val="00241A"/>
                <w:kern w:val="0"/>
                <w:sz w:val="20"/>
                <w:szCs w:val="20"/>
                <w:shd w:val="clear" w:color="auto" w:fill="FFFFFF"/>
              </w:rPr>
              <w:t xml:space="preserve"> 278811</w:t>
            </w:r>
            <w:r>
              <w:rPr>
                <w:rFonts w:ascii="Montserrat" w:eastAsia="Calibri" w:hAnsi="Montserrat"/>
                <w:kern w:val="0"/>
                <w:sz w:val="20"/>
                <w:szCs w:val="20"/>
              </w:rPr>
              <w:t>).</w:t>
            </w:r>
          </w:p>
          <w:p w14:paraId="122EA4DA" w14:textId="77777777" w:rsidR="00B32002" w:rsidRDefault="003B1AB5">
            <w:pPr>
              <w:tabs>
                <w:tab w:val="left" w:pos="284"/>
              </w:tabs>
              <w:spacing w:after="0" w:line="360" w:lineRule="auto"/>
              <w:jc w:val="both"/>
              <w:textAlignment w:val="baseline"/>
              <w:rPr>
                <w:rFonts w:ascii="Montserrat" w:eastAsia="Calibri" w:hAnsi="Montserrat" w:cs="Arial"/>
                <w:bCs/>
                <w:iCs/>
                <w:kern w:val="0"/>
                <w:sz w:val="20"/>
                <w:szCs w:val="20"/>
                <w:lang w:val="en-US"/>
              </w:rPr>
            </w:pPr>
            <w:r>
              <w:rPr>
                <w:rFonts w:ascii="Montserrat" w:eastAsia="Calibri" w:hAnsi="Montserrat" w:cs="Arial"/>
                <w:bCs/>
                <w:iCs/>
                <w:kern w:val="0"/>
                <w:sz w:val="20"/>
                <w:szCs w:val="20"/>
                <w:lang w:val="en-US"/>
              </w:rPr>
              <w:t xml:space="preserve">       Komisija išnagrinėjo tiekėjo CVP IS priemonėmis pateiktą pranešimą ir vadovaujantis Lietuvos Respublikos viešųjų pirkimų įstatymo 36 str. 5 d. ir pirkimo dokumentų 82 punktu, teikia atsakymą į klausimus, atsakymus formuluojant taip:</w:t>
            </w:r>
          </w:p>
          <w:p w14:paraId="122EA4DB" w14:textId="77777777" w:rsidR="00B32002" w:rsidRDefault="003B1AB5">
            <w:pPr>
              <w:tabs>
                <w:tab w:val="left" w:pos="284"/>
              </w:tabs>
              <w:spacing w:after="0" w:line="360" w:lineRule="auto"/>
              <w:jc w:val="both"/>
              <w:textAlignment w:val="baseline"/>
              <w:rPr>
                <w:rFonts w:ascii="Montserrat" w:eastAsia="Calibri" w:hAnsi="Montserrat" w:cs="Arial"/>
                <w:b/>
                <w:bCs/>
                <w:i/>
                <w:iCs/>
                <w:kern w:val="0"/>
                <w:sz w:val="20"/>
                <w:szCs w:val="20"/>
              </w:rPr>
            </w:pPr>
            <w:r>
              <w:rPr>
                <w:rFonts w:ascii="Montserrat" w:eastAsia="Calibri" w:hAnsi="Montserrat" w:cs="Arial"/>
                <w:b/>
                <w:bCs/>
                <w:i/>
                <w:iCs/>
                <w:kern w:val="0"/>
                <w:sz w:val="20"/>
                <w:szCs w:val="20"/>
              </w:rPr>
              <w:t>1 Klausimas:</w:t>
            </w:r>
          </w:p>
          <w:p w14:paraId="122EA4DC"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 xml:space="preserve">„Laba diena, </w:t>
            </w:r>
          </w:p>
          <w:p w14:paraId="122EA4DD"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 xml:space="preserve">Elektroninių bilietų pardavimo (platinimo) per mobiliąją programėlę paslaugų pirkimo viešojo pirkimo dokumentaciją papildėte API dokumentacija, kuri turėtų sudaryti galybes </w:t>
            </w:r>
            <w:r>
              <w:rPr>
                <w:rFonts w:ascii="Montserrat" w:eastAsia="Calibri" w:hAnsi="Montserrat" w:cs="Arial"/>
                <w:bCs/>
                <w:i/>
                <w:iCs/>
                <w:kern w:val="0"/>
                <w:sz w:val="20"/>
                <w:szCs w:val="20"/>
              </w:rPr>
              <w:t>įvertinti integracijos sudėtingumą, iš anksto pasiruošti sistemą integracijai. Pagal Sutarties 4.1 punktą integraciją atlikti ir paslaugas privaloma pradėti teikti per 28 kalendorines dienas. Turime pastabų API dokumentacijai, kuri yra nepilna, neįmanoma pilnai įvertinti integracijos sudėtingumą, nėra galimybės atlikti bet kokius pasiruošiamuosius darbus.</w:t>
            </w:r>
          </w:p>
          <w:p w14:paraId="122EA4DE"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 xml:space="preserve"> Prašome:</w:t>
            </w:r>
          </w:p>
          <w:p w14:paraId="122EA4DF"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 xml:space="preserve">1. API dokumentacijoje pateikti: </w:t>
            </w:r>
          </w:p>
          <w:p w14:paraId="122EA4E0"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a. Kaip sukurti naują vartotoją;</w:t>
            </w:r>
          </w:p>
          <w:p w14:paraId="122EA4E1"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b. Kaip gauti nuolaidų tipus;</w:t>
            </w:r>
          </w:p>
          <w:p w14:paraId="122EA4E2"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c. Kaip gauti bilietų tipus ir kainas;</w:t>
            </w:r>
          </w:p>
          <w:p w14:paraId="122EA4E3"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d. Kaip gauti vartotojo (keleivio) bilietus;</w:t>
            </w:r>
          </w:p>
          <w:p w14:paraId="122EA4E4"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 xml:space="preserve">e. Kaip aktyvuoti bilietą; </w:t>
            </w:r>
          </w:p>
          <w:p w14:paraId="122EA4E5"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t>f. Kaip gauti aktyvuoto bilieto info (pvz., QR kodą).</w:t>
            </w:r>
          </w:p>
          <w:p w14:paraId="122EA4E6" w14:textId="77777777" w:rsidR="00B32002" w:rsidRDefault="003B1AB5">
            <w:pPr>
              <w:tabs>
                <w:tab w:val="left" w:pos="284"/>
              </w:tabs>
              <w:spacing w:after="0" w:line="360" w:lineRule="auto"/>
              <w:jc w:val="both"/>
              <w:textAlignment w:val="baseline"/>
              <w:rPr>
                <w:rFonts w:ascii="Montserrat" w:eastAsia="Calibri" w:hAnsi="Montserrat" w:cs="Arial"/>
                <w:bCs/>
                <w:i/>
                <w:iCs/>
                <w:kern w:val="0"/>
                <w:sz w:val="20"/>
                <w:szCs w:val="20"/>
              </w:rPr>
            </w:pPr>
            <w:r>
              <w:rPr>
                <w:rFonts w:ascii="Montserrat" w:eastAsia="Calibri" w:hAnsi="Montserrat" w:cs="Arial"/>
                <w:bCs/>
                <w:i/>
                <w:iCs/>
                <w:kern w:val="0"/>
                <w:sz w:val="20"/>
                <w:szCs w:val="20"/>
              </w:rPr>
              <w:lastRenderedPageBreak/>
              <w:t xml:space="preserve">2. Prašau pateikite prisijungimus su naudotojo duomenimis prie sistemos testinės aplinkos, jog galėtume išbandyti užklausas ir </w:t>
            </w:r>
            <w:r>
              <w:rPr>
                <w:rFonts w:ascii="Montserrat" w:eastAsia="Calibri" w:hAnsi="Montserrat" w:cs="Arial"/>
                <w:bCs/>
                <w:i/>
                <w:iCs/>
                <w:kern w:val="0"/>
                <w:sz w:val="20"/>
                <w:szCs w:val="20"/>
              </w:rPr>
              <w:t>atsakymus.</w:t>
            </w:r>
          </w:p>
          <w:p w14:paraId="122EA4E7" w14:textId="77777777" w:rsidR="00B32002" w:rsidRDefault="003B1AB5">
            <w:pPr>
              <w:tabs>
                <w:tab w:val="left" w:pos="284"/>
              </w:tabs>
              <w:spacing w:after="0" w:line="360" w:lineRule="auto"/>
              <w:jc w:val="both"/>
              <w:textAlignment w:val="baseline"/>
              <w:rPr>
                <w:rFonts w:ascii="Montserrat" w:eastAsia="Calibri" w:hAnsi="Montserrat" w:cs="Arial"/>
                <w:b/>
                <w:bCs/>
                <w:i/>
                <w:iCs/>
                <w:kern w:val="0"/>
                <w:sz w:val="20"/>
                <w:szCs w:val="20"/>
              </w:rPr>
            </w:pPr>
            <w:r>
              <w:rPr>
                <w:rFonts w:ascii="Montserrat" w:eastAsia="Calibri" w:hAnsi="Montserrat" w:cs="Arial"/>
                <w:b/>
                <w:bCs/>
                <w:i/>
                <w:iCs/>
                <w:kern w:val="0"/>
                <w:sz w:val="20"/>
                <w:szCs w:val="20"/>
              </w:rPr>
              <w:t>Atsakymas:</w:t>
            </w:r>
          </w:p>
          <w:p w14:paraId="122EA4E8" w14:textId="77777777" w:rsidR="00B32002" w:rsidRDefault="003B1AB5">
            <w:pPr>
              <w:tabs>
                <w:tab w:val="left" w:pos="284"/>
              </w:tabs>
              <w:spacing w:after="0" w:line="360" w:lineRule="auto"/>
              <w:jc w:val="both"/>
              <w:textAlignment w:val="baseline"/>
            </w:pPr>
            <w:r>
              <w:rPr>
                <w:rFonts w:ascii="Montserrat" w:eastAsia="Calibri" w:hAnsi="Montserrat" w:cs="Arial"/>
                <w:bCs/>
                <w:i/>
                <w:iCs/>
                <w:kern w:val="0"/>
                <w:sz w:val="20"/>
                <w:szCs w:val="20"/>
              </w:rPr>
              <w:t>„Pažymime, kad šiuo metu pateiktoje API dokumentacijoje yra informacija, kuri reikalinga įsivertinti integracijos galimybes ir informuojame, kad papildomi prašomi duomenys bus pateikti tik po sutarties pasirašymo, sutarties vykdymo metu, kai bus vykdoma integracija.“</w:t>
            </w:r>
          </w:p>
          <w:p w14:paraId="122EA4E9" w14:textId="77777777" w:rsidR="00B32002" w:rsidRDefault="00B32002">
            <w:pPr>
              <w:tabs>
                <w:tab w:val="left" w:pos="284"/>
              </w:tabs>
              <w:spacing w:after="0" w:line="360" w:lineRule="auto"/>
              <w:jc w:val="both"/>
              <w:textAlignment w:val="baseline"/>
              <w:rPr>
                <w:rFonts w:ascii="Montserrat" w:eastAsia="Calibri" w:hAnsi="Montserrat" w:cs="Arial"/>
                <w:bCs/>
                <w:iCs/>
                <w:kern w:val="0"/>
                <w:sz w:val="20"/>
                <w:szCs w:val="20"/>
                <w:lang w:val="en-US"/>
              </w:rPr>
            </w:pPr>
          </w:p>
          <w:p w14:paraId="122EA4EA" w14:textId="77777777" w:rsidR="00B32002" w:rsidRDefault="00B32002">
            <w:pPr>
              <w:tabs>
                <w:tab w:val="left" w:pos="284"/>
              </w:tabs>
              <w:spacing w:after="0"/>
              <w:jc w:val="both"/>
              <w:textAlignment w:val="baseline"/>
              <w:rPr>
                <w:rFonts w:ascii="Montserrat" w:eastAsia="Calibri" w:hAnsi="Montserrat" w:cs="Arial"/>
                <w:bCs/>
                <w:iCs/>
                <w:kern w:val="0"/>
                <w:sz w:val="20"/>
                <w:szCs w:val="20"/>
                <w:lang w:val="en-US"/>
              </w:rPr>
            </w:pPr>
          </w:p>
          <w:p w14:paraId="122EA4EB" w14:textId="77777777" w:rsidR="00B32002" w:rsidRDefault="00B32002">
            <w:pPr>
              <w:tabs>
                <w:tab w:val="left" w:pos="284"/>
              </w:tabs>
              <w:spacing w:after="0"/>
              <w:jc w:val="both"/>
              <w:textAlignment w:val="baseline"/>
              <w:rPr>
                <w:rFonts w:ascii="Montserrat" w:eastAsia="Calibri" w:hAnsi="Montserrat" w:cs="Arial"/>
                <w:bCs/>
                <w:iCs/>
                <w:kern w:val="0"/>
                <w:sz w:val="20"/>
                <w:szCs w:val="20"/>
              </w:rPr>
            </w:pPr>
          </w:p>
          <w:p w14:paraId="122EA4EC" w14:textId="77777777" w:rsidR="00B32002" w:rsidRDefault="003B1AB5">
            <w:pPr>
              <w:spacing w:line="249" w:lineRule="auto"/>
              <w:rPr>
                <w:rFonts w:ascii="Montserrat" w:eastAsia="Times New Roman" w:hAnsi="Montserrat" w:cs="Aptos"/>
                <w:color w:val="000000"/>
                <w:kern w:val="0"/>
                <w:sz w:val="20"/>
                <w:szCs w:val="20"/>
                <w:lang w:eastAsia="lt-LT"/>
              </w:rPr>
            </w:pPr>
            <w:r>
              <w:rPr>
                <w:rFonts w:ascii="Montserrat" w:eastAsia="Times New Roman" w:hAnsi="Montserrat" w:cs="Aptos"/>
                <w:color w:val="000000"/>
                <w:kern w:val="0"/>
                <w:sz w:val="20"/>
                <w:szCs w:val="20"/>
                <w:lang w:eastAsia="lt-LT"/>
              </w:rPr>
              <w:t xml:space="preserve">      Komisijos pirmininkė           </w:t>
            </w:r>
            <w:r>
              <w:rPr>
                <w:rFonts w:ascii="Montserrat" w:eastAsia="Times New Roman" w:hAnsi="Montserrat" w:cs="Aptos"/>
                <w:color w:val="000000"/>
                <w:kern w:val="0"/>
                <w:sz w:val="20"/>
                <w:szCs w:val="20"/>
                <w:lang w:eastAsia="lt-LT"/>
              </w:rPr>
              <w:tab/>
            </w:r>
            <w:r>
              <w:rPr>
                <w:rFonts w:ascii="Montserrat" w:eastAsia="Times New Roman" w:hAnsi="Montserrat" w:cs="Aptos"/>
                <w:color w:val="000000"/>
                <w:kern w:val="0"/>
                <w:sz w:val="20"/>
                <w:szCs w:val="20"/>
                <w:lang w:eastAsia="lt-LT"/>
              </w:rPr>
              <w:tab/>
              <w:t xml:space="preserve">                                   Gintarė Bartusevičiūtė</w:t>
            </w:r>
          </w:p>
        </w:tc>
      </w:tr>
      <w:tr w:rsidR="00B32002" w14:paraId="122EA4F1" w14:textId="77777777">
        <w:tblPrEx>
          <w:tblCellMar>
            <w:top w:w="0" w:type="dxa"/>
            <w:bottom w:w="0" w:type="dxa"/>
          </w:tblCellMar>
        </w:tblPrEx>
        <w:tc>
          <w:tcPr>
            <w:tcW w:w="9923" w:type="dxa"/>
            <w:gridSpan w:val="4"/>
            <w:shd w:val="clear" w:color="auto" w:fill="auto"/>
            <w:tcMar>
              <w:top w:w="0" w:type="dxa"/>
              <w:left w:w="108" w:type="dxa"/>
              <w:bottom w:w="0" w:type="dxa"/>
              <w:right w:w="108" w:type="dxa"/>
            </w:tcMar>
          </w:tcPr>
          <w:p w14:paraId="122EA4EE" w14:textId="77777777" w:rsidR="00B32002" w:rsidRDefault="00B32002">
            <w:pPr>
              <w:tabs>
                <w:tab w:val="left" w:pos="284"/>
              </w:tabs>
              <w:spacing w:after="0" w:line="240" w:lineRule="auto"/>
              <w:jc w:val="both"/>
              <w:textAlignment w:val="baseline"/>
              <w:rPr>
                <w:rFonts w:ascii="Montserrat" w:eastAsia="Calibri" w:hAnsi="Montserrat"/>
                <w:b/>
                <w:bCs/>
                <w:i/>
                <w:iCs/>
                <w:kern w:val="0"/>
                <w:sz w:val="20"/>
                <w:szCs w:val="20"/>
              </w:rPr>
            </w:pPr>
          </w:p>
          <w:p w14:paraId="122EA4EF" w14:textId="77777777" w:rsidR="00B32002" w:rsidRDefault="00B32002">
            <w:pPr>
              <w:tabs>
                <w:tab w:val="left" w:pos="284"/>
              </w:tabs>
              <w:spacing w:after="0" w:line="240" w:lineRule="auto"/>
              <w:jc w:val="both"/>
              <w:textAlignment w:val="baseline"/>
              <w:rPr>
                <w:rFonts w:ascii="Montserrat" w:eastAsia="Calibri" w:hAnsi="Montserrat"/>
                <w:b/>
                <w:bCs/>
                <w:i/>
                <w:iCs/>
                <w:kern w:val="0"/>
                <w:sz w:val="20"/>
                <w:szCs w:val="20"/>
              </w:rPr>
            </w:pPr>
          </w:p>
          <w:p w14:paraId="122EA4F0" w14:textId="77777777" w:rsidR="00B32002" w:rsidRDefault="00B32002">
            <w:pPr>
              <w:tabs>
                <w:tab w:val="left" w:pos="284"/>
              </w:tabs>
              <w:spacing w:after="0" w:line="240" w:lineRule="auto"/>
              <w:jc w:val="both"/>
              <w:textAlignment w:val="baseline"/>
              <w:rPr>
                <w:rFonts w:ascii="Montserrat" w:eastAsia="Calibri" w:hAnsi="Montserrat"/>
                <w:i/>
                <w:iCs/>
                <w:color w:val="00241A"/>
                <w:kern w:val="0"/>
                <w:sz w:val="20"/>
                <w:szCs w:val="20"/>
                <w:shd w:val="clear" w:color="auto" w:fill="FFFFFF"/>
              </w:rPr>
            </w:pPr>
          </w:p>
        </w:tc>
      </w:tr>
      <w:tr w:rsidR="00B32002" w14:paraId="122EA4F3" w14:textId="77777777">
        <w:tblPrEx>
          <w:tblCellMar>
            <w:top w:w="0" w:type="dxa"/>
            <w:bottom w:w="0" w:type="dxa"/>
          </w:tblCellMar>
        </w:tblPrEx>
        <w:tc>
          <w:tcPr>
            <w:tcW w:w="9923" w:type="dxa"/>
            <w:gridSpan w:val="4"/>
            <w:shd w:val="clear" w:color="auto" w:fill="auto"/>
            <w:tcMar>
              <w:top w:w="0" w:type="dxa"/>
              <w:left w:w="108" w:type="dxa"/>
              <w:bottom w:w="0" w:type="dxa"/>
              <w:right w:w="108" w:type="dxa"/>
            </w:tcMar>
          </w:tcPr>
          <w:p w14:paraId="122EA4F2" w14:textId="77777777" w:rsidR="00B32002" w:rsidRDefault="00B32002">
            <w:pPr>
              <w:tabs>
                <w:tab w:val="left" w:pos="284"/>
              </w:tabs>
              <w:spacing w:after="0" w:line="240" w:lineRule="auto"/>
              <w:jc w:val="both"/>
              <w:textAlignment w:val="baseline"/>
              <w:rPr>
                <w:rFonts w:ascii="Montserrat" w:eastAsia="Calibri" w:hAnsi="Montserrat"/>
                <w:b/>
                <w:bCs/>
                <w:i/>
                <w:iCs/>
                <w:kern w:val="0"/>
                <w:sz w:val="20"/>
                <w:szCs w:val="20"/>
              </w:rPr>
            </w:pPr>
          </w:p>
        </w:tc>
      </w:tr>
    </w:tbl>
    <w:p w14:paraId="122EA4F4" w14:textId="77777777" w:rsidR="00B32002" w:rsidRDefault="00B32002"/>
    <w:sectPr w:rsidR="00B32002">
      <w:pgSz w:w="11906" w:h="16838"/>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A4D0" w14:textId="77777777" w:rsidR="003B1AB5" w:rsidRDefault="003B1AB5">
      <w:pPr>
        <w:spacing w:after="0" w:line="240" w:lineRule="auto"/>
      </w:pPr>
      <w:r>
        <w:separator/>
      </w:r>
    </w:p>
  </w:endnote>
  <w:endnote w:type="continuationSeparator" w:id="0">
    <w:p w14:paraId="122EA4D2" w14:textId="77777777" w:rsidR="003B1AB5" w:rsidRDefault="003B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A4CC" w14:textId="77777777" w:rsidR="003B1AB5" w:rsidRDefault="003B1AB5">
      <w:pPr>
        <w:spacing w:after="0" w:line="240" w:lineRule="auto"/>
      </w:pPr>
      <w:r>
        <w:rPr>
          <w:color w:val="000000"/>
        </w:rPr>
        <w:separator/>
      </w:r>
    </w:p>
  </w:footnote>
  <w:footnote w:type="continuationSeparator" w:id="0">
    <w:p w14:paraId="122EA4CE" w14:textId="77777777" w:rsidR="003B1AB5" w:rsidRDefault="003B1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32002"/>
    <w:rsid w:val="003B1AB5"/>
    <w:rsid w:val="00B32002"/>
    <w:rsid w:val="00EF0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A4CA"/>
  <w15:docId w15:val="{20BDB4A3-25D9-41AA-BD69-EBA7DB2A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866</Characters>
  <Application>Microsoft Office Word</Application>
  <DocSecurity>0</DocSecurity>
  <Lines>7</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Gintarė Bartusevičiūtė</cp:lastModifiedBy>
  <cp:revision>2</cp:revision>
  <dcterms:created xsi:type="dcterms:W3CDTF">2025-07-28T12:14:00Z</dcterms:created>
  <dcterms:modified xsi:type="dcterms:W3CDTF">2025-07-28T12:14:00Z</dcterms:modified>
</cp:coreProperties>
</file>