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0135BA" w:rsidRDefault="005B70D7" w:rsidP="007C7568">
      <w:pPr>
        <w:jc w:val="center"/>
        <w:rPr>
          <w:rFonts w:asciiTheme="majorHAnsi" w:hAnsiTheme="majorHAnsi"/>
          <w:b/>
          <w:bCs/>
          <w:sz w:val="22"/>
          <w:szCs w:val="22"/>
          <w:lang w:val="lt-LT"/>
        </w:rPr>
      </w:pPr>
      <w:r w:rsidRPr="005B70D7">
        <w:rPr>
          <w:rFonts w:asciiTheme="majorHAnsi" w:hAnsiTheme="majorHAnsi"/>
          <w:b/>
          <w:bCs/>
          <w:sz w:val="22"/>
          <w:szCs w:val="22"/>
          <w:lang w:val="lt-LT"/>
        </w:rPr>
        <w:t>DEZINFEKCINĖ MEDŽIAGA PAVIRŠIŲ VALYMUI IR DEZINFEKCIJAI KETVIRTINIŲ AMONIO JUNGINIŲ PAGRINDU</w:t>
      </w:r>
      <w:r w:rsidRPr="00D02107">
        <w:rPr>
          <w:rFonts w:asciiTheme="majorHAnsi" w:hAnsiTheme="majorHAnsi"/>
          <w:b/>
          <w:bCs/>
          <w:sz w:val="22"/>
          <w:szCs w:val="22"/>
          <w:lang w:val="lt-LT"/>
        </w:rPr>
        <w:tab/>
      </w:r>
    </w:p>
    <w:p w:rsidR="005B70D7" w:rsidRPr="00D02107" w:rsidRDefault="005B70D7"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5B70D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5B70D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5B70D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5B70D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5B70D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5B70D7">
        <w:rPr>
          <w:rFonts w:asciiTheme="majorHAnsi" w:hAnsiTheme="majorHAnsi"/>
          <w:b/>
          <w:bCs/>
          <w:color w:val="548DD4" w:themeColor="text2" w:themeTint="99"/>
          <w:sz w:val="22"/>
          <w:szCs w:val="22"/>
        </w:rPr>
        <w:t>d</w:t>
      </w:r>
      <w:r w:rsidR="005B70D7" w:rsidRPr="005B70D7">
        <w:rPr>
          <w:rFonts w:asciiTheme="majorHAnsi" w:hAnsiTheme="majorHAnsi"/>
          <w:b/>
          <w:bCs/>
          <w:color w:val="548DD4" w:themeColor="text2" w:themeTint="99"/>
          <w:sz w:val="22"/>
          <w:szCs w:val="22"/>
        </w:rPr>
        <w:t>ezinfekcin</w:t>
      </w:r>
      <w:r w:rsidR="005B70D7">
        <w:rPr>
          <w:rFonts w:asciiTheme="majorHAnsi" w:hAnsiTheme="majorHAnsi"/>
          <w:b/>
          <w:bCs/>
          <w:color w:val="548DD4" w:themeColor="text2" w:themeTint="99"/>
          <w:sz w:val="22"/>
          <w:szCs w:val="22"/>
        </w:rPr>
        <w:t>ę</w:t>
      </w:r>
      <w:r w:rsidR="005B70D7" w:rsidRPr="005B70D7">
        <w:rPr>
          <w:rFonts w:asciiTheme="majorHAnsi" w:hAnsiTheme="majorHAnsi"/>
          <w:b/>
          <w:bCs/>
          <w:color w:val="548DD4" w:themeColor="text2" w:themeTint="99"/>
          <w:sz w:val="22"/>
          <w:szCs w:val="22"/>
        </w:rPr>
        <w:t xml:space="preserve"> medžiag</w:t>
      </w:r>
      <w:r w:rsidR="005B70D7">
        <w:rPr>
          <w:rFonts w:asciiTheme="majorHAnsi" w:hAnsiTheme="majorHAnsi"/>
          <w:b/>
          <w:bCs/>
          <w:color w:val="548DD4" w:themeColor="text2" w:themeTint="99"/>
          <w:sz w:val="22"/>
          <w:szCs w:val="22"/>
        </w:rPr>
        <w:t>ą</w:t>
      </w:r>
      <w:r w:rsidR="005B70D7" w:rsidRPr="005B70D7">
        <w:rPr>
          <w:rFonts w:asciiTheme="majorHAnsi" w:hAnsiTheme="majorHAnsi"/>
          <w:b/>
          <w:bCs/>
          <w:color w:val="548DD4" w:themeColor="text2" w:themeTint="99"/>
          <w:sz w:val="22"/>
          <w:szCs w:val="22"/>
        </w:rPr>
        <w:t xml:space="preserve"> paviršių valymui ir dezinfekcijai ketvirtinių amonio junginių pagrindu</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5B70D7">
        <w:rPr>
          <w:rFonts w:asciiTheme="majorHAnsi" w:hAnsiTheme="majorHAnsi"/>
          <w:b/>
          <w:bCs/>
          <w:color w:val="548DD4" w:themeColor="text2" w:themeTint="99"/>
        </w:rPr>
        <w:t>d</w:t>
      </w:r>
      <w:r w:rsidR="005B70D7" w:rsidRPr="005B70D7">
        <w:rPr>
          <w:rFonts w:asciiTheme="majorHAnsi" w:hAnsiTheme="majorHAnsi"/>
          <w:b/>
          <w:bCs/>
          <w:color w:val="548DD4" w:themeColor="text2" w:themeTint="99"/>
        </w:rPr>
        <w:t>ezinfekcinė medžiaga paviršių valymui ir dezinfekcijai ketvirtinių amonio junginių pagrindu</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9" w:name="_Toc60525484"/>
      <w:bookmarkStart w:id="10" w:name="_Toc47844930"/>
      <w:bookmarkStart w:id="11" w:name="_Toc227136939"/>
      <w:r w:rsidR="00496649" w:rsidRPr="005B70D7">
        <w:rPr>
          <w:rFonts w:asciiTheme="majorHAnsi" w:hAnsiTheme="majorHAnsi"/>
          <w:sz w:val="22"/>
          <w:szCs w:val="22"/>
          <w:lang w:val="lt-LT"/>
        </w:rPr>
        <w:t xml:space="preserve"> </w:t>
      </w:r>
    </w:p>
    <w:p w:rsidR="00C8482E" w:rsidRPr="00420A48" w:rsidRDefault="00C8482E" w:rsidP="00420A48">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420A48">
        <w:rPr>
          <w:rFonts w:asciiTheme="majorHAnsi" w:hAnsiTheme="majorHAnsi"/>
        </w:rPr>
        <w:t>nėa</w:t>
      </w:r>
      <w:r w:rsidRPr="00D02107">
        <w:rPr>
          <w:rFonts w:asciiTheme="majorHAnsi" w:hAnsiTheme="majorHAnsi"/>
        </w:rPr>
        <w:t xml:space="preserve"> skirstomas į atskiras pirkimo dalis.</w:t>
      </w:r>
      <w:r w:rsidR="00420A48">
        <w:rPr>
          <w:rFonts w:asciiTheme="majorHAnsi" w:hAnsiTheme="majorHAnsi"/>
        </w:rPr>
        <w:t xml:space="preserve"> </w:t>
      </w:r>
      <w:r w:rsidR="00420A48" w:rsidRPr="00420A48">
        <w:rPr>
          <w:rFonts w:asciiTheme="majorHAnsi" w:hAnsiTheme="majorHAnsi"/>
        </w:rPr>
        <w:t>Pasiūlymas turi būti pateiktas visai techninėje specifikacijoje nurodytai apimčiai, neskaidant jos smulkiau</w:t>
      </w:r>
      <w:r w:rsidR="00420A48">
        <w:rPr>
          <w:rFonts w:asciiTheme="majorHAnsi" w:hAnsiTheme="majorHAnsi"/>
        </w:rPr>
        <w:t xml:space="preserve">. </w:t>
      </w:r>
      <w:r w:rsidRPr="00420A48">
        <w:rPr>
          <w:rFonts w:asciiTheme="majorHAnsi" w:hAnsiTheme="majorHAnsi"/>
          <w:lang w:eastAsia="lt-LT"/>
        </w:rPr>
        <w:t xml:space="preserve"> Alternatyvūs pasiūlymai negalimi.</w:t>
      </w:r>
    </w:p>
    <w:p w:rsidR="00DF624F" w:rsidRPr="005B70D7" w:rsidRDefault="00DF624F"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2.4</w:t>
      </w:r>
      <w:r w:rsidR="00BE5253" w:rsidRPr="005B70D7">
        <w:rPr>
          <w:rFonts w:asciiTheme="majorHAnsi" w:hAnsiTheme="majorHAnsi"/>
          <w:sz w:val="22"/>
          <w:szCs w:val="22"/>
          <w:lang w:val="lt-LT"/>
        </w:rPr>
        <w:t>.</w:t>
      </w:r>
      <w:r w:rsidRPr="005B70D7">
        <w:rPr>
          <w:rFonts w:asciiTheme="majorHAnsi" w:hAnsiTheme="majorHAnsi"/>
          <w:sz w:val="22"/>
          <w:szCs w:val="22"/>
          <w:lang w:val="lt-LT"/>
        </w:rPr>
        <w:t xml:space="preserve"> Prekių pristatymo vieta yra Lietuvos sveikatos mokslų universiteto ligoninė Kauno klinikos, adresas Eivenių g. 2, LT-50161 Kaunas.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2.5.</w:t>
      </w:r>
      <w:r w:rsidRPr="005B70D7">
        <w:rPr>
          <w:rFonts w:asciiTheme="majorHAnsi" w:hAnsiTheme="majorHAnsi"/>
          <w:sz w:val="22"/>
          <w:szCs w:val="22"/>
          <w:lang w:val="lt-LT"/>
        </w:rPr>
        <w:tab/>
        <w:t xml:space="preserve">Perkančioji organizacija privalo nutraukti pradėtas pirkimo procedūras, jeigu buvo pažeisti </w:t>
      </w:r>
      <w:r w:rsidR="00420A48" w:rsidRPr="005B70D7">
        <w:rPr>
          <w:rFonts w:asciiTheme="majorHAnsi" w:hAnsiTheme="majorHAnsi"/>
          <w:sz w:val="22"/>
          <w:szCs w:val="22"/>
          <w:lang w:val="lt-LT"/>
        </w:rPr>
        <w:t xml:space="preserve">Lietuvos Respublikos </w:t>
      </w:r>
      <w:r w:rsidR="003A2006" w:rsidRPr="005B70D7">
        <w:rPr>
          <w:rFonts w:asciiTheme="majorHAnsi" w:hAnsiTheme="majorHAnsi"/>
          <w:sz w:val="22"/>
          <w:szCs w:val="22"/>
          <w:lang w:val="lt-LT"/>
        </w:rPr>
        <w:t>Viešųjų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2.6.</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7.</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8.</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5B70D7">
        <w:rPr>
          <w:rFonts w:asciiTheme="majorHAnsi" w:hAnsiTheme="majorHAnsi"/>
          <w:b/>
          <w:sz w:val="22"/>
          <w:szCs w:val="22"/>
          <w:lang w:val="it-IT"/>
        </w:rPr>
        <w:t>3660096</w:t>
      </w:r>
      <w:r w:rsidRPr="005B70D7">
        <w:rPr>
          <w:rFonts w:asciiTheme="majorHAnsi" w:hAnsiTheme="majorHAnsi"/>
          <w:sz w:val="22"/>
          <w:szCs w:val="22"/>
          <w:lang w:val="it-IT"/>
        </w:rPr>
        <w:t>.</w:t>
      </w:r>
    </w:p>
    <w:p w:rsidR="0077405F" w:rsidRPr="005B70D7" w:rsidRDefault="0077405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2.9.</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420A48" w:rsidRPr="00D02107" w:rsidRDefault="00420A48" w:rsidP="0077405F">
      <w:pPr>
        <w:pStyle w:val="NoSpacing"/>
        <w:tabs>
          <w:tab w:val="left" w:pos="1560"/>
          <w:tab w:val="left" w:pos="1701"/>
        </w:tabs>
        <w:ind w:firstLine="1134"/>
        <w:jc w:val="both"/>
        <w:rPr>
          <w:rFonts w:asciiTheme="majorHAnsi" w:hAnsiTheme="majorHAnsi"/>
          <w:sz w:val="22"/>
          <w:szCs w:val="22"/>
        </w:rPr>
      </w:pPr>
      <w:r>
        <w:rPr>
          <w:rFonts w:asciiTheme="majorHAnsi" w:hAnsiTheme="majorHAnsi"/>
          <w:sz w:val="22"/>
          <w:szCs w:val="20"/>
        </w:rPr>
        <w:t xml:space="preserve">2.10. </w:t>
      </w:r>
      <w:r w:rsidRPr="00201055">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201055">
        <w:rPr>
          <w:rFonts w:asciiTheme="majorHAnsi" w:hAnsiTheme="majorHAnsi"/>
          <w:sz w:val="22"/>
          <w:szCs w:val="20"/>
        </w:rPr>
        <w:t>patvirtinimo“</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papunkčiu.</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asis viešųjų pirkimų dokumentas (EBVPD</w:t>
      </w:r>
      <w:proofErr w:type="gramStart"/>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val="pt-PT" w:eastAsia="lt-LT"/>
        </w:rPr>
        <w:t>pagal</w:t>
      </w:r>
      <w:proofErr w:type="gramEnd"/>
      <w:r w:rsidRPr="00D02107">
        <w:rPr>
          <w:rFonts w:asciiTheme="majorHAnsi" w:hAnsiTheme="majorHAnsi"/>
          <w:color w:val="000000"/>
          <w:sz w:val="22"/>
          <w:szCs w:val="22"/>
          <w:lang w:val="pt-PT" w:eastAsia="lt-LT"/>
        </w:rPr>
        <w:t xml:space="preserve">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3.2. </w:t>
      </w:r>
      <w:r w:rsidR="0077405F" w:rsidRPr="00D02107">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D02107">
              <w:rPr>
                <w:rFonts w:asciiTheme="majorHAnsi" w:hAnsiTheme="majorHAnsi"/>
                <w:bCs/>
                <w:color w:val="000000"/>
                <w:sz w:val="22"/>
                <w:szCs w:val="22"/>
                <w:lang w:eastAsia="lt-LT"/>
              </w:rPr>
              <w:lastRenderedPageBreak/>
              <w:t xml:space="preserve">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tiekėjo, kuris yra juridinis asmuo, kita organizacija ar jos struktūrinis padalinys, vadovo ar asmens (asmenų), turinčio (turinčių) teisę surašyti ir pasirašyti tiekėjo finansinės apskaitos dokumentus, per pastaruosius 5 metus buvo </w:t>
            </w:r>
            <w:r w:rsidRPr="005B70D7">
              <w:rPr>
                <w:rFonts w:asciiTheme="majorHAnsi" w:hAnsiTheme="majorHAnsi"/>
                <w:bCs/>
                <w:color w:val="000000"/>
                <w:sz w:val="22"/>
                <w:szCs w:val="22"/>
                <w:lang w:val="it-IT" w:eastAsia="lt-LT"/>
              </w:rPr>
              <w:lastRenderedPageBreak/>
              <w:t>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w:t>
            </w:r>
            <w:r w:rsidRPr="00D02107">
              <w:rPr>
                <w:rFonts w:asciiTheme="majorHAnsi" w:hAnsiTheme="majorHAnsi"/>
                <w:bCs/>
                <w:color w:val="000000"/>
                <w:sz w:val="22"/>
                <w:szCs w:val="22"/>
                <w:lang w:eastAsia="lt-LT"/>
              </w:rPr>
              <w:lastRenderedPageBreak/>
              <w:t>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w:t>
            </w:r>
            <w:r w:rsidRPr="00D02107">
              <w:rPr>
                <w:rFonts w:asciiTheme="majorHAnsi" w:hAnsiTheme="majorHAnsi"/>
                <w:sz w:val="22"/>
                <w:szCs w:val="22"/>
              </w:rPr>
              <w:lastRenderedPageBreak/>
              <w:t xml:space="preserve">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w:t>
            </w:r>
            <w:r w:rsidRPr="00D02107">
              <w:rPr>
                <w:rFonts w:asciiTheme="majorHAnsi" w:hAnsiTheme="majorHAnsi"/>
                <w:color w:val="000000"/>
                <w:sz w:val="22"/>
                <w:szCs w:val="22"/>
                <w:lang w:eastAsia="lt-LT"/>
              </w:rPr>
              <w:lastRenderedPageBreak/>
              <w:t xml:space="preserve">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02107">
              <w:rPr>
                <w:rFonts w:asciiTheme="majorHAnsi" w:hAnsiTheme="majorHAnsi"/>
                <w:color w:val="000000"/>
                <w:sz w:val="22"/>
                <w:szCs w:val="22"/>
                <w:lang w:eastAsia="lt-LT"/>
              </w:rPr>
              <w:lastRenderedPageBreak/>
              <w:t xml:space="preserve">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5B70D7"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5B70D7"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D02107">
              <w:rPr>
                <w:rFonts w:asciiTheme="majorHAnsi" w:hAnsiTheme="majorHAnsi"/>
                <w:sz w:val="22"/>
                <w:szCs w:val="22"/>
              </w:rPr>
              <w:lastRenderedPageBreak/>
              <w:t xml:space="preserve">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lastRenderedPageBreak/>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5B70D7"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5B70D7"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5B70D7" w:rsidRDefault="007C7568" w:rsidP="007C7568">
      <w:pPr>
        <w:rPr>
          <w:rFonts w:asciiTheme="majorHAnsi" w:hAnsiTheme="majorHAnsi"/>
          <w:sz w:val="22"/>
          <w:szCs w:val="22"/>
          <w:lang w:val="lt-LT" w:eastAsia="lt-LT"/>
        </w:rPr>
      </w:pPr>
    </w:p>
    <w:bookmarkEnd w:id="17"/>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4.9. Tiekėjas pasiūlyme turi nurodyti, kokiai pirkimo sutarties daliai ir kokius subtiekėjus, jeigu jie yra žinomi, jis ketina pasitelkti.</w:t>
      </w:r>
    </w:p>
    <w:p w:rsidR="007C7568" w:rsidRPr="005B70D7"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5B70D7" w:rsidRDefault="007C7568" w:rsidP="007C7568">
      <w:pPr>
        <w:rPr>
          <w:rFonts w:asciiTheme="majorHAnsi" w:hAnsiTheme="majorHAnsi"/>
          <w:sz w:val="22"/>
          <w:szCs w:val="22"/>
          <w:lang w:val="lt-LT" w:eastAsia="lt-LT"/>
        </w:rPr>
      </w:pPr>
    </w:p>
    <w:p w:rsidR="007C7568" w:rsidRPr="005B70D7"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5B70D7">
        <w:rPr>
          <w:rFonts w:asciiTheme="majorHAnsi" w:hAnsiTheme="majorHAnsi" w:cs="Times New Roman"/>
          <w:lang w:val="lt-LT"/>
        </w:rPr>
        <w:tab/>
        <w:t xml:space="preserve">5.1. Tiekėjas gali pateikti tik vieną </w:t>
      </w:r>
      <w:r w:rsidRPr="00D02107">
        <w:rPr>
          <w:rFonts w:asciiTheme="majorHAnsi" w:hAnsiTheme="majorHAnsi" w:cs="Times New Roman"/>
          <w:lang w:val="es-ES_tradnl"/>
        </w:rPr>
        <w:t>pasi</w:t>
      </w:r>
      <w:r w:rsidRPr="005B70D7">
        <w:rPr>
          <w:rFonts w:asciiTheme="majorHAnsi" w:hAnsiTheme="majorHAnsi" w:cs="Times New Roman"/>
          <w:lang w:val="lt-LT"/>
        </w:rPr>
        <w:t xml:space="preserve">ūlymą. Jei tiekėjas pateikia daugiau kaip vieną </w:t>
      </w:r>
      <w:r w:rsidRPr="00D02107">
        <w:rPr>
          <w:rFonts w:asciiTheme="majorHAnsi" w:hAnsiTheme="majorHAnsi" w:cs="Times New Roman"/>
          <w:lang w:val="es-ES_tradnl"/>
        </w:rPr>
        <w:t>pasi</w:t>
      </w:r>
      <w:r w:rsidRPr="005B70D7">
        <w:rPr>
          <w:rFonts w:asciiTheme="majorHAnsi" w:hAnsiTheme="majorHAnsi" w:cs="Times New Roman"/>
          <w:lang w:val="lt-LT"/>
        </w:rPr>
        <w:t>ūlymą arba ūkio subjektų grupės dalyvis dalyvauja teikiant kelis pasiūlymus, visi tokie pasiūlymai bus atmesti.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lt-LT"/>
        </w:rPr>
        <w:tab/>
      </w:r>
      <w:r w:rsidRPr="005B70D7">
        <w:rPr>
          <w:rFonts w:asciiTheme="majorHAnsi" w:hAnsiTheme="majorHAnsi" w:cs="Times New Roman"/>
          <w:lang w:val="it-IT"/>
        </w:rPr>
        <w:t xml:space="preserve">5.2. Tiekėjas negali pateikti alternatyvių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Tiekėjui pateikus alternatyvų </w:t>
      </w:r>
      <w:r w:rsidRPr="00D02107">
        <w:rPr>
          <w:rFonts w:asciiTheme="majorHAnsi" w:hAnsiTheme="majorHAnsi" w:cs="Times New Roman"/>
          <w:lang w:val="es-ES_tradnl"/>
        </w:rPr>
        <w:t>pasi</w:t>
      </w:r>
      <w:r w:rsidRPr="005B70D7">
        <w:rPr>
          <w:rFonts w:asciiTheme="majorHAnsi" w:hAnsiTheme="majorHAnsi" w:cs="Times New Roman"/>
          <w:lang w:val="it-IT"/>
        </w:rPr>
        <w:t>ūlymą, jo pasiū</w:t>
      </w:r>
      <w:r w:rsidRPr="00D02107">
        <w:rPr>
          <w:rFonts w:asciiTheme="majorHAnsi" w:hAnsiTheme="majorHAnsi" w:cs="Times New Roman"/>
          <w:lang w:val="es-ES_tradnl"/>
        </w:rPr>
        <w:t>lymas ir alternatyvus pasi</w:t>
      </w:r>
      <w:r w:rsidRPr="005B70D7">
        <w:rPr>
          <w:rFonts w:asciiTheme="majorHAnsi" w:hAnsiTheme="majorHAnsi" w:cs="Times New Roman"/>
          <w:lang w:val="it-IT"/>
        </w:rPr>
        <w:t>ūlymas (alternatyvū</w:t>
      </w:r>
      <w:r w:rsidRPr="00D02107">
        <w:rPr>
          <w:rFonts w:asciiTheme="majorHAnsi" w:hAnsiTheme="majorHAnsi" w:cs="Times New Roman"/>
          <w:lang w:val="es-ES_tradnl"/>
        </w:rPr>
        <w:t>s pasi</w:t>
      </w:r>
      <w:r w:rsidRPr="005B70D7">
        <w:rPr>
          <w:rFonts w:asciiTheme="majorHAnsi" w:hAnsiTheme="majorHAnsi" w:cs="Times New Roman"/>
          <w:lang w:val="it-IT"/>
        </w:rPr>
        <w:t>ūlymai) bus atmesti.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5.3. </w:t>
      </w:r>
      <w:r w:rsidRPr="00D02107">
        <w:rPr>
          <w:rFonts w:asciiTheme="majorHAnsi" w:hAnsiTheme="majorHAnsi" w:cs="Times New Roman"/>
          <w:lang w:val="sv-SE"/>
        </w:rPr>
        <w:t>Perkan</w:t>
      </w:r>
      <w:r w:rsidRPr="005B70D7">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5B70D7">
        <w:rPr>
          <w:rFonts w:asciiTheme="majorHAnsi" w:hAnsiTheme="majorHAnsi" w:cs="Times New Roman"/>
          <w:lang w:val="it-IT"/>
        </w:rPr>
        <w:t>ėšti tiekėjui (kurjeriui) ar grąž</w:t>
      </w:r>
      <w:r w:rsidRPr="00D02107">
        <w:rPr>
          <w:rFonts w:asciiTheme="majorHAnsi" w:hAnsiTheme="majorHAnsi" w:cs="Times New Roman"/>
          <w:lang w:val="it-IT"/>
        </w:rPr>
        <w:t>inami registruotu lai</w:t>
      </w:r>
      <w:r w:rsidRPr="005B70D7">
        <w:rPr>
          <w:rFonts w:asciiTheme="majorHAnsi" w:hAnsiTheme="majorHAnsi" w:cs="Times New Roman"/>
          <w:lang w:val="it-IT"/>
        </w:rPr>
        <w:t xml:space="preserve">šku ir nebus priimami ir vertinami. 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lastRenderedPageBreak/>
        <w:tab/>
        <w:t xml:space="preserve">5.4.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DA753B" w:rsidRPr="005B70D7">
        <w:rPr>
          <w:rFonts w:asciiTheme="majorHAnsi" w:hAnsiTheme="majorHAnsi" w:cs="Times New Roman"/>
          <w:b/>
          <w:iCs/>
          <w:color w:val="548DD4" w:themeColor="text2" w:themeTint="99"/>
          <w:lang w:val="it-IT"/>
        </w:rPr>
        <w:t>5</w:t>
      </w:r>
      <w:r w:rsidR="00A267EC" w:rsidRPr="005B70D7">
        <w:rPr>
          <w:rFonts w:asciiTheme="majorHAnsi" w:hAnsiTheme="majorHAnsi" w:cs="Times New Roman"/>
          <w:b/>
          <w:iCs/>
          <w:color w:val="548DD4" w:themeColor="text2" w:themeTint="99"/>
          <w:lang w:val="it-IT"/>
        </w:rPr>
        <w:t xml:space="preserve"> m. </w:t>
      </w:r>
      <w:r w:rsidR="005B70D7">
        <w:rPr>
          <w:rFonts w:asciiTheme="majorHAnsi" w:hAnsiTheme="majorHAnsi" w:cs="Times New Roman"/>
          <w:b/>
          <w:iCs/>
          <w:color w:val="548DD4" w:themeColor="text2" w:themeTint="99"/>
          <w:lang w:val="it-IT"/>
        </w:rPr>
        <w:t>rugpjūčio</w:t>
      </w:r>
      <w:r w:rsidR="00BB7F9F" w:rsidRPr="005B70D7">
        <w:rPr>
          <w:rFonts w:asciiTheme="majorHAnsi" w:hAnsiTheme="majorHAnsi" w:cs="Times New Roman"/>
          <w:b/>
          <w:iCs/>
          <w:color w:val="548DD4" w:themeColor="text2" w:themeTint="99"/>
          <w:lang w:val="it-IT"/>
        </w:rPr>
        <w:t xml:space="preserve"> </w:t>
      </w:r>
      <w:r w:rsidR="005B70D7">
        <w:rPr>
          <w:rFonts w:asciiTheme="majorHAnsi" w:hAnsiTheme="majorHAnsi" w:cs="Times New Roman"/>
          <w:b/>
          <w:iCs/>
          <w:color w:val="548DD4" w:themeColor="text2" w:themeTint="99"/>
          <w:lang w:val="it-IT"/>
        </w:rPr>
        <w:t>11</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5.5.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5.6.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 xml:space="preserve">5.8.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 xml:space="preserve">5.9.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5.10.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t>5.11.2.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 xml:space="preserve">5.11.3.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5.11.</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5.11.</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5.12.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 xml:space="preserve">5.13.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072312" w:rsidP="0077405F">
      <w:pPr>
        <w:pStyle w:val="Body2"/>
        <w:ind w:firstLine="720"/>
        <w:rPr>
          <w:rFonts w:asciiTheme="majorHAnsi" w:hAnsiTheme="majorHAnsi"/>
          <w:b/>
          <w:bCs/>
          <w:iCs/>
          <w:color w:val="auto"/>
          <w:lang w:val="lt-LT"/>
        </w:rPr>
      </w:pPr>
      <w:r w:rsidRPr="005B70D7">
        <w:rPr>
          <w:rFonts w:asciiTheme="majorHAnsi" w:hAnsiTheme="majorHAnsi"/>
          <w:b/>
          <w:bCs/>
          <w:iCs/>
          <w:color w:val="auto"/>
          <w:highlight w:val="yellow"/>
          <w:lang w:val="lt-LT"/>
        </w:rPr>
        <w:t>Kartu su pasiūlymu turi būti pateikti techninėje specifikacijoje nurodyti dokumentai (skaitmeninės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w:t>
      </w:r>
      <w:r w:rsidRPr="005B70D7">
        <w:rPr>
          <w:rFonts w:asciiTheme="majorHAnsi" w:hAnsiTheme="majorHAnsi"/>
          <w:b/>
          <w:bCs/>
          <w:iCs/>
          <w:color w:val="auto"/>
          <w:highlight w:val="yellow"/>
          <w:lang w:val="lt-LT"/>
        </w:rPr>
        <w:lastRenderedPageBreak/>
        <w:t>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5.15</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lastRenderedPageBreak/>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5B70D7">
        <w:rPr>
          <w:rFonts w:asciiTheme="majorHAnsi" w:hAnsiTheme="majorHAnsi"/>
          <w:b/>
          <w:iCs/>
          <w:color w:val="548DD4" w:themeColor="text2" w:themeTint="99"/>
          <w:sz w:val="22"/>
          <w:szCs w:val="22"/>
        </w:rPr>
        <w:t>rugpjūčio</w:t>
      </w:r>
      <w:r w:rsidR="006C6C9B" w:rsidRPr="00D02107">
        <w:rPr>
          <w:rFonts w:asciiTheme="majorHAnsi" w:hAnsiTheme="majorHAnsi"/>
          <w:b/>
          <w:iCs/>
          <w:color w:val="548DD4" w:themeColor="text2" w:themeTint="99"/>
          <w:sz w:val="22"/>
          <w:szCs w:val="22"/>
        </w:rPr>
        <w:t xml:space="preserve"> </w:t>
      </w:r>
      <w:r w:rsidR="005B70D7">
        <w:rPr>
          <w:rFonts w:asciiTheme="majorHAnsi" w:hAnsiTheme="majorHAnsi"/>
          <w:b/>
          <w:iCs/>
          <w:color w:val="548DD4" w:themeColor="text2" w:themeTint="99"/>
          <w:sz w:val="22"/>
          <w:szCs w:val="22"/>
        </w:rPr>
        <w:t>11</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5B70D7">
        <w:rPr>
          <w:rFonts w:asciiTheme="majorHAnsi" w:hAnsiTheme="majorHAnsi"/>
          <w:b/>
          <w:iCs/>
          <w:color w:val="548DD4" w:themeColor="text2" w:themeTint="99"/>
          <w:sz w:val="22"/>
          <w:szCs w:val="22"/>
          <w:u w:val="single"/>
        </w:rPr>
        <w:t>rugpjūčio</w:t>
      </w:r>
      <w:r w:rsidR="003D29B2">
        <w:rPr>
          <w:rFonts w:asciiTheme="majorHAnsi" w:hAnsiTheme="majorHAnsi"/>
          <w:b/>
          <w:iCs/>
          <w:color w:val="548DD4" w:themeColor="text2" w:themeTint="99"/>
          <w:sz w:val="22"/>
          <w:szCs w:val="22"/>
          <w:u w:val="single"/>
        </w:rPr>
        <w:t xml:space="preserve"> </w:t>
      </w:r>
      <w:r w:rsidR="005B70D7">
        <w:rPr>
          <w:rFonts w:asciiTheme="majorHAnsi" w:hAnsiTheme="majorHAnsi"/>
          <w:b/>
          <w:iCs/>
          <w:color w:val="548DD4" w:themeColor="text2" w:themeTint="99"/>
          <w:sz w:val="22"/>
          <w:szCs w:val="22"/>
          <w:u w:val="single"/>
        </w:rPr>
        <w:t>11</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lastRenderedPageBreak/>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5B70D7" w:rsidRDefault="007C7568" w:rsidP="00662C1E">
      <w:pPr>
        <w:pStyle w:val="Body2"/>
        <w:rPr>
          <w:rFonts w:asciiTheme="majorHAnsi" w:hAnsiTheme="majorHAnsi" w:cs="Times New Roman"/>
          <w:lang w:val="lt-LT"/>
        </w:rPr>
      </w:pPr>
      <w:bookmarkStart w:id="38" w:name="_Toc60525491"/>
      <w:bookmarkStart w:id="39" w:name="_Toc47844937"/>
      <w:bookmarkStart w:id="40"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5B70D7">
        <w:rPr>
          <w:rFonts w:asciiTheme="majorHAnsi" w:hAnsiTheme="majorHAnsi" w:cs="Times New Roman"/>
          <w:lang w:val="lt-LT"/>
        </w:rPr>
        <w:tab/>
      </w:r>
      <w:r w:rsidRPr="00D02107">
        <w:rPr>
          <w:rFonts w:asciiTheme="majorHAnsi" w:hAnsiTheme="majorHAnsi" w:cs="Times New Roman"/>
        </w:rPr>
        <w:t xml:space="preserve">13.1.5. pasiūlyta per didelė, </w:t>
      </w:r>
      <w:proofErr w:type="gramStart"/>
      <w:r w:rsidRPr="00D02107">
        <w:rPr>
          <w:rFonts w:asciiTheme="majorHAnsi" w:hAnsiTheme="majorHAnsi" w:cs="Times New Roman"/>
        </w:rPr>
        <w:t>perkančiajai  organizacijai</w:t>
      </w:r>
      <w:proofErr w:type="gramEnd"/>
      <w:r w:rsidRPr="00D02107">
        <w:rPr>
          <w:rFonts w:asciiTheme="majorHAnsi" w:hAnsiTheme="majorHAnsi" w:cs="Times New Roman"/>
        </w:rPr>
        <w:t xml:space="preserve">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lastRenderedPageBreak/>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5B70D7" w:rsidRDefault="007C7568" w:rsidP="007C7568">
      <w:pPr>
        <w:rPr>
          <w:rFonts w:asciiTheme="majorHAnsi" w:hAnsiTheme="majorHAnsi"/>
          <w:b/>
          <w:color w:val="000000"/>
          <w:sz w:val="22"/>
          <w:szCs w:val="22"/>
          <w:lang w:val="lt-LT"/>
        </w:rPr>
      </w:pPr>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5B70D7"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5B70D7"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Pr="005B70D7">
        <w:rPr>
          <w:rFonts w:asciiTheme="majorHAnsi" w:hAnsiTheme="majorHAnsi"/>
          <w:b/>
          <w:bCs/>
          <w:sz w:val="22"/>
          <w:szCs w:val="22"/>
        </w:rPr>
        <w:t>DEZINFEKCINĖ</w:t>
      </w:r>
      <w:r>
        <w:rPr>
          <w:rFonts w:asciiTheme="majorHAnsi" w:hAnsiTheme="majorHAnsi"/>
          <w:b/>
          <w:bCs/>
          <w:sz w:val="22"/>
          <w:szCs w:val="22"/>
        </w:rPr>
        <w:t>S</w:t>
      </w:r>
      <w:r w:rsidRPr="005B70D7">
        <w:rPr>
          <w:rFonts w:asciiTheme="majorHAnsi" w:hAnsiTheme="majorHAnsi"/>
          <w:b/>
          <w:bCs/>
          <w:sz w:val="22"/>
          <w:szCs w:val="22"/>
        </w:rPr>
        <w:t xml:space="preserve"> MEDŽIAG</w:t>
      </w:r>
      <w:r>
        <w:rPr>
          <w:rFonts w:asciiTheme="majorHAnsi" w:hAnsiTheme="majorHAnsi"/>
          <w:b/>
          <w:bCs/>
          <w:sz w:val="22"/>
          <w:szCs w:val="22"/>
        </w:rPr>
        <w:t>OS</w:t>
      </w:r>
      <w:r w:rsidRPr="005B70D7">
        <w:rPr>
          <w:rFonts w:asciiTheme="majorHAnsi" w:hAnsiTheme="majorHAnsi"/>
          <w:b/>
          <w:bCs/>
          <w:sz w:val="22"/>
          <w:szCs w:val="22"/>
        </w:rPr>
        <w:t xml:space="preserve"> PAVIRŠIŲ VALYMUI IR DEZINFEKCIJAI KETVIRTINIŲ AMONIO JUNGINIŲ PAGRINDU</w:t>
      </w:r>
      <w:r>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5B70D7"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5B70D7"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5B70D7"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5B70D7"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5B70D7"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5B70D7"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5B70D7"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bookmarkStart w:id="47" w:name="_GoBack"/>
            <w:bookmarkEnd w:id="47"/>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5B70D7"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5B70D7"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5B70D7"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5B70D7"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ABA" w:rsidRDefault="00C32ABA" w:rsidP="000D1449">
      <w:r>
        <w:separator/>
      </w:r>
    </w:p>
  </w:endnote>
  <w:endnote w:type="continuationSeparator" w:id="0">
    <w:p w:rsidR="00C32ABA" w:rsidRDefault="00C32AB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ABA" w:rsidRDefault="00C32ABA" w:rsidP="000D1449">
      <w:r>
        <w:separator/>
      </w:r>
    </w:p>
  </w:footnote>
  <w:footnote w:type="continuationSeparator" w:id="0">
    <w:p w:rsidR="00C32ABA" w:rsidRDefault="00C32ABA" w:rsidP="000D1449">
      <w:r>
        <w:continuationSeparator/>
      </w:r>
    </w:p>
  </w:footnote>
  <w:footnote w:id="1">
    <w:p w:rsidR="005B70D7" w:rsidRPr="00BA5459" w:rsidRDefault="005B70D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BA5459" w:rsidRDefault="005B70D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B70D7" w:rsidRPr="00BA5459" w:rsidRDefault="005B70D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2">
    <w:p w:rsidR="005B70D7" w:rsidRPr="00344E3D" w:rsidRDefault="005B70D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344E3D" w:rsidRDefault="005B70D7" w:rsidP="00B377D7">
      <w:pPr>
        <w:pStyle w:val="FootnoteText"/>
        <w:numPr>
          <w:ilvl w:val="0"/>
          <w:numId w:val="14"/>
        </w:numPr>
        <w:spacing w:after="0"/>
        <w:rPr>
          <w:i/>
          <w:iCs/>
          <w:sz w:val="18"/>
          <w:szCs w:val="18"/>
        </w:rPr>
      </w:pPr>
      <w:r w:rsidRPr="00344E3D">
        <w:rPr>
          <w:i/>
          <w:iCs/>
          <w:sz w:val="18"/>
          <w:szCs w:val="18"/>
        </w:rPr>
        <w:t xml:space="preserve">priesaikos deklaracija; </w:t>
      </w:r>
    </w:p>
    <w:p w:rsidR="005B70D7" w:rsidRPr="00344E3D" w:rsidRDefault="005B70D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3">
    <w:p w:rsidR="005B70D7" w:rsidRPr="00D76940" w:rsidRDefault="005B70D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D76940" w:rsidRDefault="005B70D7" w:rsidP="00B377D7">
      <w:pPr>
        <w:pStyle w:val="FootnoteText"/>
        <w:numPr>
          <w:ilvl w:val="0"/>
          <w:numId w:val="15"/>
        </w:numPr>
        <w:spacing w:after="0"/>
        <w:rPr>
          <w:i/>
          <w:iCs/>
          <w:sz w:val="18"/>
          <w:szCs w:val="18"/>
        </w:rPr>
      </w:pPr>
      <w:r w:rsidRPr="00D76940">
        <w:rPr>
          <w:i/>
          <w:iCs/>
          <w:sz w:val="18"/>
          <w:szCs w:val="18"/>
        </w:rPr>
        <w:t xml:space="preserve">priesaikos deklaracija; </w:t>
      </w:r>
    </w:p>
    <w:p w:rsidR="005B70D7" w:rsidRPr="00D76940" w:rsidRDefault="005B70D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29B2"/>
    <w:rsid w:val="003D3206"/>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3CF5"/>
    <w:rsid w:val="005B70D7"/>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00B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35E3BF-3419-4DA4-83EF-6F37281E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21</Pages>
  <Words>40965</Words>
  <Characters>23351</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47</cp:revision>
  <cp:lastPrinted>2022-07-19T12:55:00Z</cp:lastPrinted>
  <dcterms:created xsi:type="dcterms:W3CDTF">2020-10-05T13:26:00Z</dcterms:created>
  <dcterms:modified xsi:type="dcterms:W3CDTF">2025-07-29T06:29:00Z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