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D73089A" w14:textId="77777777" w:rsidR="00E33975" w:rsidRPr="00234AB7" w:rsidRDefault="00E33975" w:rsidP="00E33975">
          <w:pPr>
            <w:spacing w:line="240" w:lineRule="auto"/>
            <w:ind w:firstLine="0"/>
            <w:jc w:val="center"/>
            <w:rPr>
              <w:rFonts w:ascii="Times New Roman" w:hAnsi="Times New Roman" w:cs="Times New Roman"/>
            </w:rPr>
          </w:pPr>
          <w:r w:rsidRPr="00234AB7">
            <w:rPr>
              <w:rFonts w:ascii="Times New Roman" w:hAnsi="Times New Roman" w:cs="Times New Roman"/>
              <w:noProof/>
            </w:rPr>
            <w:drawing>
              <wp:inline distT="0" distB="0" distL="0" distR="0" wp14:anchorId="6906A026" wp14:editId="3E3ABE7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511DDC27" w14:textId="77777777" w:rsidR="00E33975" w:rsidRPr="00234AB7" w:rsidRDefault="00E33975" w:rsidP="00E33975">
          <w:pPr>
            <w:tabs>
              <w:tab w:val="right" w:leader="underscore" w:pos="8505"/>
            </w:tabs>
            <w:spacing w:line="240" w:lineRule="auto"/>
            <w:ind w:firstLine="0"/>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0193A6B4" w14:textId="77777777" w:rsidR="00E33975" w:rsidRPr="00234AB7" w:rsidRDefault="00E33975" w:rsidP="00E33975">
          <w:pPr>
            <w:tabs>
              <w:tab w:val="right" w:leader="underscore" w:pos="8505"/>
            </w:tabs>
            <w:spacing w:line="240" w:lineRule="auto"/>
            <w:jc w:val="center"/>
            <w:rPr>
              <w:rFonts w:ascii="Times New Roman" w:hAnsi="Times New Roman" w:cs="Times New Roman"/>
              <w:b/>
              <w:szCs w:val="24"/>
            </w:rPr>
          </w:pPr>
        </w:p>
        <w:p w14:paraId="186EF566" w14:textId="77777777" w:rsidR="00E33975" w:rsidRPr="00234AB7" w:rsidRDefault="00E33975" w:rsidP="00E33975">
          <w:pPr>
            <w:pStyle w:val="Porat"/>
            <w:spacing w:line="240" w:lineRule="auto"/>
            <w:ind w:firstLine="0"/>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73C911C2" w14:textId="77777777" w:rsidR="00E33975" w:rsidRPr="00234AB7" w:rsidRDefault="00E33975" w:rsidP="00E33975">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03BB44AA" w14:textId="77777777" w:rsidR="00E33975" w:rsidRPr="00234AB7" w:rsidRDefault="00E33975" w:rsidP="00E33975">
          <w:pPr>
            <w:spacing w:line="240" w:lineRule="auto"/>
            <w:rPr>
              <w:rFonts w:ascii="Times New Roman" w:hAnsi="Times New Roman" w:cs="Times New Roman"/>
              <w:color w:val="00B050"/>
            </w:rPr>
          </w:pPr>
        </w:p>
        <w:p w14:paraId="4245EF52" w14:textId="77777777" w:rsidR="00E33975" w:rsidRDefault="00E33975" w:rsidP="00E33975">
          <w:pPr>
            <w:spacing w:line="240" w:lineRule="auto"/>
            <w:ind w:left="567" w:firstLine="0"/>
            <w:contextualSpacing/>
            <w:jc w:val="center"/>
            <w:rPr>
              <w:rFonts w:ascii="Times New Roman" w:hAnsi="Times New Roman" w:cs="Times New Roman"/>
              <w:color w:val="00B050"/>
            </w:rPr>
          </w:pPr>
        </w:p>
        <w:p w14:paraId="0FFAF429" w14:textId="77777777" w:rsidR="00E33975" w:rsidRDefault="00E33975" w:rsidP="00E33975">
          <w:pPr>
            <w:spacing w:line="240" w:lineRule="auto"/>
            <w:ind w:left="567" w:firstLine="0"/>
            <w:contextualSpacing/>
            <w:jc w:val="center"/>
            <w:rPr>
              <w:rFonts w:ascii="Times New Roman" w:hAnsi="Times New Roman" w:cs="Times New Roman"/>
              <w:color w:val="00B050"/>
            </w:rPr>
          </w:pPr>
        </w:p>
        <w:p w14:paraId="2975746E" w14:textId="77777777" w:rsidR="00E33975" w:rsidRDefault="00E33975" w:rsidP="00E33975">
          <w:pPr>
            <w:spacing w:line="240" w:lineRule="auto"/>
            <w:ind w:left="567" w:firstLine="0"/>
            <w:contextualSpacing/>
            <w:jc w:val="center"/>
            <w:rPr>
              <w:rFonts w:ascii="Times New Roman" w:hAnsi="Times New Roman" w:cs="Times New Roman"/>
              <w:color w:val="00B050"/>
            </w:rPr>
          </w:pPr>
        </w:p>
        <w:p w14:paraId="1A0067E5" w14:textId="77777777" w:rsidR="00E33975" w:rsidRDefault="00E33975" w:rsidP="00E33975">
          <w:pPr>
            <w:spacing w:line="240" w:lineRule="auto"/>
            <w:ind w:left="567" w:firstLine="0"/>
            <w:contextualSpacing/>
            <w:jc w:val="center"/>
            <w:rPr>
              <w:rFonts w:ascii="Times New Roman" w:hAnsi="Times New Roman" w:cs="Times New Roman"/>
              <w:color w:val="00B050"/>
            </w:rPr>
          </w:pPr>
        </w:p>
        <w:p w14:paraId="1C9E7E0E" w14:textId="77777777" w:rsidR="00E33975" w:rsidRDefault="00E33975" w:rsidP="00E33975">
          <w:pPr>
            <w:spacing w:line="240" w:lineRule="auto"/>
            <w:ind w:left="567" w:firstLine="0"/>
            <w:contextualSpacing/>
            <w:jc w:val="center"/>
            <w:rPr>
              <w:rFonts w:ascii="Times New Roman" w:hAnsi="Times New Roman" w:cs="Times New Roman"/>
              <w:color w:val="00B050"/>
            </w:rPr>
          </w:pPr>
        </w:p>
        <w:p w14:paraId="0756ABF7" w14:textId="77777777" w:rsidR="00E33975" w:rsidRPr="00234AB7" w:rsidRDefault="00E33975" w:rsidP="00E33975">
          <w:pPr>
            <w:spacing w:line="240" w:lineRule="auto"/>
            <w:ind w:left="567" w:firstLine="0"/>
            <w:contextualSpacing/>
            <w:jc w:val="center"/>
            <w:rPr>
              <w:rFonts w:ascii="Times New Roman" w:hAnsi="Times New Roman" w:cs="Times New Roman"/>
              <w:color w:val="00B050"/>
            </w:rPr>
          </w:pPr>
        </w:p>
        <w:p w14:paraId="230FE425" w14:textId="77777777" w:rsidR="00E33975" w:rsidRPr="00234AB7" w:rsidRDefault="00E33975" w:rsidP="00E33975">
          <w:pPr>
            <w:spacing w:line="240" w:lineRule="auto"/>
            <w:ind w:left="567" w:firstLine="0"/>
            <w:contextualSpacing/>
            <w:jc w:val="center"/>
            <w:rPr>
              <w:rFonts w:ascii="Times New Roman" w:hAnsi="Times New Roman" w:cs="Times New Roman"/>
            </w:rPr>
          </w:pPr>
        </w:p>
        <w:p w14:paraId="33B028DF" w14:textId="77777777" w:rsidR="00E33975" w:rsidRPr="00234AB7" w:rsidRDefault="00E33975" w:rsidP="00E33975">
          <w:pPr>
            <w:spacing w:line="240" w:lineRule="auto"/>
            <w:ind w:left="567" w:firstLine="0"/>
            <w:contextualSpacing/>
            <w:jc w:val="center"/>
            <w:rPr>
              <w:rFonts w:ascii="Times New Roman" w:hAnsi="Times New Roman" w:cs="Times New Roman"/>
              <w:sz w:val="28"/>
              <w:szCs w:val="28"/>
            </w:rPr>
          </w:pPr>
        </w:p>
        <w:p w14:paraId="081CCD27" w14:textId="77777777" w:rsidR="00E33975" w:rsidRPr="00234AB7" w:rsidRDefault="00E33975" w:rsidP="00E33975">
          <w:pPr>
            <w:spacing w:line="240" w:lineRule="auto"/>
            <w:ind w:left="567" w:firstLine="0"/>
            <w:contextualSpacing/>
            <w:jc w:val="center"/>
            <w:rPr>
              <w:rFonts w:ascii="Times New Roman" w:hAnsi="Times New Roman" w:cs="Times New Roman"/>
              <w:sz w:val="28"/>
              <w:szCs w:val="28"/>
            </w:rPr>
          </w:pPr>
        </w:p>
        <w:p w14:paraId="53F71859" w14:textId="4D3F4A19" w:rsidR="00E33975" w:rsidRPr="00A44346" w:rsidRDefault="00E33975" w:rsidP="00E33975">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Pr="00E33975">
            <w:rPr>
              <w:rFonts w:ascii="Times New Roman" w:eastAsiaTheme="majorEastAsia" w:hAnsi="Times New Roman" w:cs="Times New Roman"/>
              <w:b/>
              <w:bCs/>
              <w:caps/>
              <w:sz w:val="24"/>
              <w:szCs w:val="24"/>
            </w:rPr>
            <w:t>Priedangos, S</w:t>
          </w:r>
          <w:r w:rsidRPr="00E33975">
            <w:rPr>
              <w:rFonts w:ascii="Times New Roman" w:eastAsiaTheme="majorEastAsia" w:hAnsi="Times New Roman" w:cs="Times New Roman" w:hint="eastAsia"/>
              <w:b/>
              <w:bCs/>
              <w:caps/>
              <w:sz w:val="24"/>
              <w:szCs w:val="24"/>
            </w:rPr>
            <w:t>ą</w:t>
          </w:r>
          <w:r w:rsidRPr="00E33975">
            <w:rPr>
              <w:rFonts w:ascii="Times New Roman" w:eastAsiaTheme="majorEastAsia" w:hAnsi="Times New Roman" w:cs="Times New Roman"/>
              <w:b/>
              <w:bCs/>
              <w:caps/>
              <w:sz w:val="24"/>
              <w:szCs w:val="24"/>
            </w:rPr>
            <w:t>j</w:t>
          </w:r>
          <w:r w:rsidRPr="00E33975">
            <w:rPr>
              <w:rFonts w:ascii="Times New Roman" w:eastAsiaTheme="majorEastAsia" w:hAnsi="Times New Roman" w:cs="Times New Roman" w:hint="eastAsia"/>
              <w:b/>
              <w:bCs/>
              <w:caps/>
              <w:sz w:val="24"/>
              <w:szCs w:val="24"/>
            </w:rPr>
            <w:t>ū</w:t>
          </w:r>
          <w:r w:rsidRPr="00E33975">
            <w:rPr>
              <w:rFonts w:ascii="Times New Roman" w:eastAsiaTheme="majorEastAsia" w:hAnsi="Times New Roman" w:cs="Times New Roman"/>
              <w:b/>
              <w:bCs/>
              <w:caps/>
              <w:sz w:val="24"/>
              <w:szCs w:val="24"/>
            </w:rPr>
            <w:t>d</w:t>
          </w:r>
          <w:r w:rsidRPr="00E33975">
            <w:rPr>
              <w:rFonts w:ascii="Times New Roman" w:eastAsiaTheme="majorEastAsia" w:hAnsi="Times New Roman" w:cs="Times New Roman" w:hint="eastAsia"/>
              <w:b/>
              <w:bCs/>
              <w:caps/>
              <w:sz w:val="24"/>
              <w:szCs w:val="24"/>
            </w:rPr>
            <w:t>ž</w:t>
          </w:r>
          <w:r w:rsidRPr="00E33975">
            <w:rPr>
              <w:rFonts w:ascii="Times New Roman" w:eastAsiaTheme="majorEastAsia" w:hAnsi="Times New Roman" w:cs="Times New Roman"/>
              <w:b/>
              <w:bCs/>
              <w:caps/>
              <w:sz w:val="24"/>
              <w:szCs w:val="24"/>
            </w:rPr>
            <w:t>io a. 1, Roki</w:t>
          </w:r>
          <w:r w:rsidRPr="00E33975">
            <w:rPr>
              <w:rFonts w:ascii="Times New Roman" w:eastAsiaTheme="majorEastAsia" w:hAnsi="Times New Roman" w:cs="Times New Roman" w:hint="eastAsia"/>
              <w:b/>
              <w:bCs/>
              <w:caps/>
              <w:sz w:val="24"/>
              <w:szCs w:val="24"/>
            </w:rPr>
            <w:t>š</w:t>
          </w:r>
          <w:r w:rsidRPr="00E33975">
            <w:rPr>
              <w:rFonts w:ascii="Times New Roman" w:eastAsiaTheme="majorEastAsia" w:hAnsi="Times New Roman" w:cs="Times New Roman"/>
              <w:b/>
              <w:bCs/>
              <w:caps/>
              <w:sz w:val="24"/>
              <w:szCs w:val="24"/>
            </w:rPr>
            <w:t>kis, paprastojo remonto darbai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496DFD9A" w14:textId="77777777" w:rsidR="00E33975" w:rsidRPr="00D77B54" w:rsidRDefault="00E33975" w:rsidP="00E33975">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1BA6CCAC" w:rsidR="001C24BC" w:rsidRPr="00D77B54" w:rsidRDefault="00C63BCE" w:rsidP="00E3397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45EAE02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51652F6F" w14:textId="77777777" w:rsidR="00F0104C" w:rsidRDefault="00F0104C">
          <w:pPr>
            <w:rPr>
              <w:rFonts w:ascii="Times New Roman" w:hAnsi="Times New Roman" w:cs="Times New Roman"/>
            </w:rPr>
          </w:pPr>
          <w:r>
            <w:rPr>
              <w:rFonts w:ascii="Times New Roman" w:hAnsi="Times New Roman" w:cs="Times New Roman"/>
            </w:rPr>
            <w:br w:type="page"/>
          </w:r>
        </w:p>
        <w:p w14:paraId="73CCB438" w14:textId="7832D6BE"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64AA7813" w14:textId="77777777" w:rsidR="001A4A80" w:rsidRPr="00C73607" w:rsidRDefault="001A4A80" w:rsidP="001A4A8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Perkančioji organizacija – </w:t>
      </w:r>
      <w:r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Pr="00C73607">
        <w:rPr>
          <w:rFonts w:ascii="Times New Roman" w:eastAsiaTheme="minorHAnsi" w:hAnsi="Times New Roman" w:cs="Times New Roman"/>
          <w:sz w:val="24"/>
          <w:szCs w:val="24"/>
          <w:lang w:eastAsia="en-US"/>
        </w:rPr>
        <w:t>Perkančioji organizacija nėra PVM mokėtoja</w:t>
      </w:r>
      <w:r w:rsidRPr="00C73607">
        <w:rPr>
          <w:rFonts w:ascii="Times New Roman" w:eastAsia="Calibri" w:hAnsi="Times New Roman" w:cs="Times New Roman"/>
          <w:sz w:val="24"/>
          <w:szCs w:val="24"/>
        </w:rPr>
        <w:t>.</w:t>
      </w:r>
    </w:p>
    <w:p w14:paraId="26FE117C" w14:textId="6DD459E5" w:rsidR="004512CB" w:rsidRPr="00453B09" w:rsidRDefault="001A4A80" w:rsidP="000D0351">
      <w:pPr>
        <w:pStyle w:val="Sraopastraipa"/>
        <w:numPr>
          <w:ilvl w:val="1"/>
          <w:numId w:val="39"/>
        </w:numPr>
        <w:spacing w:line="240" w:lineRule="auto"/>
        <w:ind w:left="0" w:firstLine="710"/>
        <w:rPr>
          <w:rFonts w:ascii="Times New Roman" w:hAnsi="Times New Roman" w:cs="Times New Roman"/>
          <w:sz w:val="24"/>
          <w:szCs w:val="24"/>
        </w:rPr>
      </w:pPr>
      <w:r w:rsidRPr="00453B09">
        <w:rPr>
          <w:rFonts w:ascii="Times New Roman" w:hAnsi="Times New Roman" w:cs="Times New Roman"/>
          <w:color w:val="000000" w:themeColor="text1"/>
          <w:sz w:val="24"/>
          <w:szCs w:val="24"/>
        </w:rPr>
        <w:t xml:space="preserve">Pirkimas neatliekamas naudojantis centralizuotų pirkimų katalogu, </w:t>
      </w:r>
      <w:r w:rsidR="004512CB" w:rsidRPr="00453B09">
        <w:rPr>
          <w:rFonts w:ascii="Times New Roman" w:hAnsi="Times New Roman" w:cs="Times New Roman"/>
          <w:sz w:val="24"/>
          <w:szCs w:val="24"/>
        </w:rPr>
        <w:t>nes centralizuotų pirkimų kataloge tokio objekto, apimančio pirkimo sąlygų techninę specifikaciją ir pirkimo sutarties sąlygas, įsigyti galimybės nėra.</w:t>
      </w:r>
    </w:p>
    <w:p w14:paraId="36002FEA" w14:textId="4076C205" w:rsidR="001A4A80" w:rsidRPr="00453B09" w:rsidRDefault="001A4A80" w:rsidP="000D0351">
      <w:pPr>
        <w:pStyle w:val="Sraopastraipa"/>
        <w:numPr>
          <w:ilvl w:val="1"/>
          <w:numId w:val="39"/>
        </w:numPr>
        <w:spacing w:line="240" w:lineRule="auto"/>
        <w:ind w:left="0" w:firstLine="710"/>
        <w:rPr>
          <w:rFonts w:ascii="Times New Roman" w:hAnsi="Times New Roman" w:cs="Times New Roman"/>
          <w:sz w:val="24"/>
          <w:szCs w:val="24"/>
        </w:rPr>
      </w:pPr>
      <w:r w:rsidRPr="004512CB">
        <w:rPr>
          <w:rFonts w:ascii="Times New Roman" w:hAnsi="Times New Roman" w:cs="Times New Roman"/>
          <w:sz w:val="24"/>
          <w:szCs w:val="24"/>
        </w:rPr>
        <w:t xml:space="preserve"> </w:t>
      </w:r>
      <w:r w:rsidRPr="00453B0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3CBEF03663E54D0FADAD5236A7C47B27"/>
          </w:placeholder>
          <w15:color w:val="000000"/>
          <w:dropDownList>
            <w:listItem w:value="[Pasirinkite]"/>
            <w:listItem w:displayText="nėra" w:value="nėra"/>
            <w:listItem w:displayText="yra" w:value="yra"/>
          </w:dropDownList>
        </w:sdtPr>
        <w:sdtContent>
          <w:r w:rsidRPr="00453B09">
            <w:rPr>
              <w:rFonts w:ascii="Times New Roman" w:hAnsi="Times New Roman" w:cs="Times New Roman"/>
              <w:sz w:val="24"/>
              <w:szCs w:val="24"/>
            </w:rPr>
            <w:t>nėra</w:t>
          </w:r>
        </w:sdtContent>
      </w:sdt>
      <w:r w:rsidRPr="00453B09" w:rsidDel="00A100C8">
        <w:rPr>
          <w:rFonts w:ascii="Times New Roman" w:hAnsi="Times New Roman" w:cs="Times New Roman"/>
          <w:sz w:val="24"/>
          <w:szCs w:val="24"/>
        </w:rPr>
        <w:t xml:space="preserve"> </w:t>
      </w:r>
      <w:r w:rsidRPr="00453B09">
        <w:rPr>
          <w:rFonts w:ascii="Times New Roman" w:hAnsi="Times New Roman" w:cs="Times New Roman"/>
          <w:sz w:val="24"/>
          <w:szCs w:val="24"/>
        </w:rPr>
        <w:t>sudaroma.</w:t>
      </w:r>
    </w:p>
    <w:p w14:paraId="403AEAAA" w14:textId="77777777" w:rsidR="001A4A80" w:rsidRPr="00453B09" w:rsidRDefault="001A4A80" w:rsidP="001A4A80">
      <w:pPr>
        <w:pStyle w:val="Sraopastraipa"/>
        <w:numPr>
          <w:ilvl w:val="1"/>
          <w:numId w:val="39"/>
        </w:numPr>
        <w:spacing w:line="240" w:lineRule="auto"/>
        <w:ind w:left="0" w:firstLine="710"/>
        <w:rPr>
          <w:rFonts w:ascii="Times New Roman" w:hAnsi="Times New Roman" w:cs="Times New Roman"/>
          <w:sz w:val="24"/>
          <w:szCs w:val="24"/>
        </w:rPr>
      </w:pPr>
      <w:r w:rsidRPr="00453B09">
        <w:rPr>
          <w:rFonts w:ascii="Times New Roman" w:hAnsi="Times New Roman" w:cs="Times New Roman"/>
          <w:sz w:val="24"/>
          <w:szCs w:val="24"/>
        </w:rPr>
        <w:t xml:space="preserve">Atliekamas žaliasis pirkimas. Pirkimas vykdomas vadovaujantis </w:t>
      </w:r>
      <w:hyperlink r:id="rId13" w:history="1">
        <w:r w:rsidRPr="00453B09">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453B09">
        <w:t xml:space="preserve"> </w:t>
      </w:r>
      <w:r w:rsidRPr="00453B09">
        <w:rPr>
          <w:rFonts w:ascii="Times New Roman" w:hAnsi="Times New Roman" w:cs="Times New Roman"/>
          <w:sz w:val="24"/>
          <w:szCs w:val="24"/>
        </w:rPr>
        <w:t xml:space="preserve">4 punkto 4.1 papunkčiu ir 4.4.4.1 papunkčiu. Aplinkos apaugos kriterijai nustatyti specialiųjų pirkimo sąlygų </w:t>
      </w:r>
      <w:r w:rsidRPr="00453B09">
        <w:rPr>
          <w:rFonts w:ascii="Times New Roman" w:hAnsi="Times New Roman" w:cs="Times New Roman"/>
          <w:b/>
          <w:bCs/>
          <w:sz w:val="24"/>
          <w:szCs w:val="24"/>
        </w:rPr>
        <w:t>1 priede</w:t>
      </w:r>
      <w:r w:rsidRPr="00453B09">
        <w:rPr>
          <w:rFonts w:ascii="Times New Roman" w:hAnsi="Times New Roman" w:cs="Times New Roman"/>
          <w:sz w:val="24"/>
          <w:szCs w:val="24"/>
        </w:rPr>
        <w:t xml:space="preserve"> „Techninė specifikacija“ ir </w:t>
      </w:r>
      <w:r w:rsidRPr="00453B09">
        <w:rPr>
          <w:rFonts w:ascii="Times New Roman" w:hAnsi="Times New Roman" w:cs="Times New Roman"/>
          <w:b/>
          <w:bCs/>
          <w:sz w:val="24"/>
          <w:szCs w:val="24"/>
        </w:rPr>
        <w:t xml:space="preserve">4 priede </w:t>
      </w:r>
      <w:r w:rsidRPr="00453B09">
        <w:rPr>
          <w:rFonts w:ascii="Times New Roman" w:hAnsi="Times New Roman" w:cs="Times New Roman"/>
          <w:sz w:val="24"/>
          <w:szCs w:val="24"/>
        </w:rPr>
        <w:t>„Sutarties projekte“.</w:t>
      </w:r>
    </w:p>
    <w:p w14:paraId="2F49609D" w14:textId="77777777" w:rsidR="001A4A80" w:rsidRPr="007F3C87" w:rsidRDefault="001A4A80" w:rsidP="001A4A80">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 pirkimo sąlygos yra neatskiriama šių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1431E884" w:rsidR="00FB3C75" w:rsidRPr="003D6048" w:rsidRDefault="4A330118" w:rsidP="003D604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3D6048">
        <w:rPr>
          <w:rFonts w:ascii="Times New Roman" w:hAnsi="Times New Roman" w:cs="Times New Roman"/>
          <w:sz w:val="24"/>
          <w:szCs w:val="24"/>
        </w:rPr>
        <w:t xml:space="preserve"> </w:t>
      </w:r>
      <w:r w:rsidR="00651664" w:rsidRPr="003D6048">
        <w:rPr>
          <w:rFonts w:ascii="Times New Roman" w:hAnsi="Times New Roman" w:cs="Times New Roman"/>
          <w:sz w:val="24"/>
          <w:szCs w:val="24"/>
        </w:rPr>
        <w:t xml:space="preserve">Perkančioji organizacija </w:t>
      </w:r>
      <w:r w:rsidR="00FB3C75" w:rsidRPr="003D6048">
        <w:rPr>
          <w:rFonts w:ascii="Times New Roman" w:eastAsia="Calibri" w:hAnsi="Times New Roman" w:cs="Times New Roman"/>
          <w:color w:val="000000" w:themeColor="text1"/>
          <w:sz w:val="24"/>
          <w:szCs w:val="24"/>
        </w:rPr>
        <w:t>numato įsigyti</w:t>
      </w:r>
      <w:r w:rsidR="00BF21B9" w:rsidRPr="003D6048">
        <w:rPr>
          <w:rFonts w:ascii="Times New Roman" w:hAnsi="Times New Roman" w:cs="Times New Roman"/>
          <w:color w:val="000000" w:themeColor="text1"/>
          <w:sz w:val="24"/>
          <w:szCs w:val="24"/>
        </w:rPr>
        <w:t xml:space="preserve"> </w:t>
      </w:r>
      <w:r w:rsidR="001A4A80">
        <w:rPr>
          <w:rFonts w:ascii="Times New Roman" w:hAnsi="Times New Roman" w:cs="Times New Roman"/>
          <w:color w:val="000000" w:themeColor="text1"/>
          <w:sz w:val="24"/>
          <w:szCs w:val="24"/>
        </w:rPr>
        <w:t>p</w:t>
      </w:r>
      <w:r w:rsidR="001A4A80" w:rsidRPr="001A4A80">
        <w:rPr>
          <w:rFonts w:ascii="Times New Roman" w:eastAsia="Times New Roman" w:hAnsi="Times New Roman" w:cs="Times New Roman"/>
          <w:sz w:val="24"/>
          <w:szCs w:val="24"/>
        </w:rPr>
        <w:t xml:space="preserve">riedangos, Sąjūdžio a. 1, Rokiškis, paprastojo remonto </w:t>
      </w:r>
      <w:r w:rsidR="003D6048" w:rsidRPr="003D6048">
        <w:rPr>
          <w:rFonts w:ascii="Times New Roman" w:eastAsia="Times New Roman" w:hAnsi="Times New Roman" w:cs="Times New Roman"/>
          <w:sz w:val="24"/>
          <w:szCs w:val="24"/>
        </w:rPr>
        <w:t>darbus.</w:t>
      </w:r>
      <w:r w:rsidR="003D6048" w:rsidRPr="003D6048">
        <w:rPr>
          <w:rFonts w:ascii="Times New Roman" w:hAnsi="Times New Roman" w:cs="Times New Roman"/>
          <w:color w:val="000000" w:themeColor="text1"/>
          <w:sz w:val="24"/>
          <w:szCs w:val="24"/>
        </w:rPr>
        <w:t xml:space="preserve"> </w:t>
      </w:r>
      <w:r w:rsidR="00FB3C75" w:rsidRPr="003D6048">
        <w:rPr>
          <w:rFonts w:ascii="Times New Roman" w:hAnsi="Times New Roman" w:cs="Times New Roman"/>
          <w:sz w:val="24"/>
          <w:szCs w:val="24"/>
        </w:rPr>
        <w:t xml:space="preserve">Reikalavimai </w:t>
      </w:r>
      <w:r w:rsidR="00966703" w:rsidRPr="003D6048">
        <w:rPr>
          <w:rFonts w:ascii="Times New Roman" w:hAnsi="Times New Roman" w:cs="Times New Roman"/>
          <w:sz w:val="24"/>
          <w:szCs w:val="24"/>
        </w:rPr>
        <w:t>p</w:t>
      </w:r>
      <w:r w:rsidR="00FB3C75" w:rsidRPr="003D6048">
        <w:rPr>
          <w:rFonts w:ascii="Times New Roman" w:hAnsi="Times New Roman" w:cs="Times New Roman"/>
          <w:sz w:val="24"/>
          <w:szCs w:val="24"/>
        </w:rPr>
        <w:t>irkimo objektui nustatyti</w:t>
      </w:r>
      <w:r w:rsidR="00AE2AEF" w:rsidRPr="003D6048">
        <w:rPr>
          <w:rFonts w:ascii="Times New Roman" w:hAnsi="Times New Roman" w:cs="Times New Roman"/>
          <w:sz w:val="24"/>
          <w:szCs w:val="24"/>
        </w:rPr>
        <w:t xml:space="preserve"> </w:t>
      </w:r>
      <w:r w:rsidR="00966703" w:rsidRPr="003D6048">
        <w:rPr>
          <w:rFonts w:ascii="Times New Roman" w:hAnsi="Times New Roman" w:cs="Times New Roman"/>
          <w:sz w:val="24"/>
          <w:szCs w:val="24"/>
        </w:rPr>
        <w:t>s</w:t>
      </w:r>
      <w:r w:rsidR="00044836" w:rsidRPr="003D6048">
        <w:rPr>
          <w:rFonts w:ascii="Times New Roman" w:hAnsi="Times New Roman" w:cs="Times New Roman"/>
          <w:sz w:val="24"/>
          <w:szCs w:val="24"/>
        </w:rPr>
        <w:t>pecialiųjų p</w:t>
      </w:r>
      <w:r w:rsidR="00AE2AEF" w:rsidRPr="003D6048">
        <w:rPr>
          <w:rFonts w:ascii="Times New Roman" w:hAnsi="Times New Roman" w:cs="Times New Roman"/>
          <w:sz w:val="24"/>
          <w:szCs w:val="24"/>
        </w:rPr>
        <w:t xml:space="preserve">irkimo sąlygų </w:t>
      </w:r>
      <w:r w:rsidR="00303400" w:rsidRPr="003D6048">
        <w:rPr>
          <w:rFonts w:ascii="Times New Roman" w:hAnsi="Times New Roman" w:cs="Times New Roman"/>
          <w:b/>
          <w:bCs/>
          <w:sz w:val="24"/>
          <w:szCs w:val="24"/>
        </w:rPr>
        <w:t>1 priede</w:t>
      </w:r>
      <w:r w:rsidR="00303400" w:rsidRPr="003D6048">
        <w:rPr>
          <w:rFonts w:ascii="Times New Roman" w:hAnsi="Times New Roman" w:cs="Times New Roman"/>
          <w:sz w:val="24"/>
          <w:szCs w:val="24"/>
        </w:rPr>
        <w:t>.</w:t>
      </w:r>
    </w:p>
    <w:p w14:paraId="49117D58" w14:textId="51AF8B9D"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DF31C2">
        <w:rPr>
          <w:rFonts w:ascii="Times New Roman" w:hAnsi="Times New Roman" w:cs="Times New Roman"/>
          <w:b/>
          <w:bCs/>
          <w:sz w:val="24"/>
          <w:szCs w:val="24"/>
        </w:rPr>
        <w:t>1</w:t>
      </w:r>
      <w:r w:rsidR="00DF31C2" w:rsidRPr="00DA3AC8">
        <w:rPr>
          <w:rFonts w:ascii="Times New Roman" w:hAnsi="Times New Roman" w:cs="Times New Roman"/>
          <w:b/>
          <w:bCs/>
          <w:sz w:val="24"/>
          <w:szCs w:val="24"/>
        </w:rPr>
        <w:t xml:space="preserve"> priede</w:t>
      </w:r>
      <w:r w:rsidR="00DF31C2" w:rsidRPr="00303400">
        <w:rPr>
          <w:rFonts w:ascii="Times New Roman" w:hAnsi="Times New Roman" w:cs="Times New Roman"/>
          <w:sz w:val="24"/>
          <w:szCs w:val="24"/>
        </w:rPr>
        <w:t>.</w:t>
      </w:r>
      <w:r w:rsidR="00FC78AD">
        <w:rPr>
          <w:rFonts w:ascii="Times New Roman" w:hAnsi="Times New Roman" w:cs="Times New Roman"/>
          <w:sz w:val="24"/>
          <w:szCs w:val="24"/>
        </w:rPr>
        <w:t xml:space="preserve"> </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1C096A9" w:rsidR="00FB3C75" w:rsidRPr="00AB5BF8" w:rsidRDefault="00F0104C"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4</w:t>
      </w:r>
      <w:r w:rsidR="003434D4">
        <w:rPr>
          <w:rFonts w:ascii="Times New Roman" w:hAnsi="Times New Roman" w:cs="Times New Roman"/>
          <w:b/>
          <w:bCs/>
          <w:color w:val="auto"/>
          <w:sz w:val="24"/>
          <w:szCs w:val="24"/>
        </w:rPr>
        <w:t xml:space="preserve">.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5894D5E"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4F69CD1D"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2DFF0A66" w14:textId="66490A79"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D93C" w14:textId="77777777" w:rsidR="004E6F49" w:rsidRDefault="004E6F49" w:rsidP="00D05666">
      <w:r>
        <w:separator/>
      </w:r>
    </w:p>
  </w:endnote>
  <w:endnote w:type="continuationSeparator" w:id="0">
    <w:p w14:paraId="332F6C08" w14:textId="77777777" w:rsidR="004E6F49" w:rsidRDefault="004E6F49" w:rsidP="00D05666">
      <w:r>
        <w:continuationSeparator/>
      </w:r>
    </w:p>
  </w:endnote>
  <w:endnote w:type="continuationNotice" w:id="1">
    <w:p w14:paraId="4AE9E5BB" w14:textId="77777777" w:rsidR="004E6F49" w:rsidRDefault="004E6F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4163" w14:textId="77777777" w:rsidR="004E6F49" w:rsidRDefault="004E6F49" w:rsidP="00D05666">
      <w:r>
        <w:separator/>
      </w:r>
    </w:p>
  </w:footnote>
  <w:footnote w:type="continuationSeparator" w:id="0">
    <w:p w14:paraId="0899167C" w14:textId="77777777" w:rsidR="004E6F49" w:rsidRDefault="004E6F49" w:rsidP="00D05666">
      <w:r>
        <w:continuationSeparator/>
      </w:r>
    </w:p>
  </w:footnote>
  <w:footnote w:type="continuationNotice" w:id="1">
    <w:p w14:paraId="4C1C77A4" w14:textId="77777777" w:rsidR="004E6F49" w:rsidRDefault="004E6F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557"/>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4A80"/>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8CF"/>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337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730"/>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656"/>
    <w:rsid w:val="003D11CB"/>
    <w:rsid w:val="003D12EA"/>
    <w:rsid w:val="003D1383"/>
    <w:rsid w:val="003D35C4"/>
    <w:rsid w:val="003D3902"/>
    <w:rsid w:val="003D3D6B"/>
    <w:rsid w:val="003D3DF5"/>
    <w:rsid w:val="003D3F5F"/>
    <w:rsid w:val="003D3FF6"/>
    <w:rsid w:val="003D4559"/>
    <w:rsid w:val="003D5A05"/>
    <w:rsid w:val="003D5EC9"/>
    <w:rsid w:val="003D6048"/>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2CB"/>
    <w:rsid w:val="00451E77"/>
    <w:rsid w:val="00452374"/>
    <w:rsid w:val="004525F0"/>
    <w:rsid w:val="0045276F"/>
    <w:rsid w:val="00452C1D"/>
    <w:rsid w:val="00453770"/>
    <w:rsid w:val="00453B09"/>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49"/>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CC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213"/>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18B4"/>
    <w:rsid w:val="006E2477"/>
    <w:rsid w:val="006E28D7"/>
    <w:rsid w:val="006E2957"/>
    <w:rsid w:val="006E2B14"/>
    <w:rsid w:val="006E42EC"/>
    <w:rsid w:val="006E533D"/>
    <w:rsid w:val="006E538B"/>
    <w:rsid w:val="006E6528"/>
    <w:rsid w:val="006E6883"/>
    <w:rsid w:val="006E75C7"/>
    <w:rsid w:val="006E7679"/>
    <w:rsid w:val="006F1F4B"/>
    <w:rsid w:val="006F2288"/>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DB"/>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432"/>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34B"/>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43CE"/>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3D9F"/>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44EA"/>
    <w:rsid w:val="00BC7052"/>
    <w:rsid w:val="00BC74E7"/>
    <w:rsid w:val="00BC759E"/>
    <w:rsid w:val="00BC7964"/>
    <w:rsid w:val="00BD0086"/>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1B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CD"/>
    <w:rsid w:val="00E25CFD"/>
    <w:rsid w:val="00E25D98"/>
    <w:rsid w:val="00E267BA"/>
    <w:rsid w:val="00E2694C"/>
    <w:rsid w:val="00E26CF5"/>
    <w:rsid w:val="00E270AB"/>
    <w:rsid w:val="00E2768A"/>
    <w:rsid w:val="00E27D77"/>
    <w:rsid w:val="00E312C2"/>
    <w:rsid w:val="00E32664"/>
    <w:rsid w:val="00E32EE3"/>
    <w:rsid w:val="00E33261"/>
    <w:rsid w:val="00E33975"/>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04C"/>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03C"/>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EF03663E54D0FADAD5236A7C47B27"/>
        <w:category>
          <w:name w:val="Bendrosios nuostatos"/>
          <w:gallery w:val="placeholder"/>
        </w:category>
        <w:types>
          <w:type w:val="bbPlcHdr"/>
        </w:types>
        <w:behaviors>
          <w:behavior w:val="content"/>
        </w:behaviors>
        <w:guid w:val="{9D8E6472-72A8-42D3-A283-8CAF205DB35E}"/>
      </w:docPartPr>
      <w:docPartBody>
        <w:p w:rsidR="00AF5D92" w:rsidRDefault="009201FD" w:rsidP="009201FD">
          <w:pPr>
            <w:pStyle w:val="3CBEF03663E54D0FADAD5236A7C47B27"/>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1557"/>
    <w:rsid w:val="001042A3"/>
    <w:rsid w:val="0011506D"/>
    <w:rsid w:val="001251FC"/>
    <w:rsid w:val="00127A9E"/>
    <w:rsid w:val="00171BD5"/>
    <w:rsid w:val="001A2190"/>
    <w:rsid w:val="001A6EE0"/>
    <w:rsid w:val="001E3B26"/>
    <w:rsid w:val="00235044"/>
    <w:rsid w:val="00256A57"/>
    <w:rsid w:val="002605CF"/>
    <w:rsid w:val="00264276"/>
    <w:rsid w:val="00267FAB"/>
    <w:rsid w:val="00295EF8"/>
    <w:rsid w:val="002B4247"/>
    <w:rsid w:val="002C1509"/>
    <w:rsid w:val="002E2CD7"/>
    <w:rsid w:val="0032565C"/>
    <w:rsid w:val="00332081"/>
    <w:rsid w:val="00363376"/>
    <w:rsid w:val="003661A6"/>
    <w:rsid w:val="003A391E"/>
    <w:rsid w:val="003F53C9"/>
    <w:rsid w:val="004161F4"/>
    <w:rsid w:val="004201D7"/>
    <w:rsid w:val="004276A2"/>
    <w:rsid w:val="00430113"/>
    <w:rsid w:val="004405D9"/>
    <w:rsid w:val="004460F6"/>
    <w:rsid w:val="004476F2"/>
    <w:rsid w:val="004509A9"/>
    <w:rsid w:val="00460C76"/>
    <w:rsid w:val="0046126A"/>
    <w:rsid w:val="004B583B"/>
    <w:rsid w:val="004C214A"/>
    <w:rsid w:val="004D38E9"/>
    <w:rsid w:val="00511E45"/>
    <w:rsid w:val="00515E63"/>
    <w:rsid w:val="00523E4F"/>
    <w:rsid w:val="00565992"/>
    <w:rsid w:val="005A7CCD"/>
    <w:rsid w:val="00601216"/>
    <w:rsid w:val="00617B59"/>
    <w:rsid w:val="00652F79"/>
    <w:rsid w:val="00685665"/>
    <w:rsid w:val="006B2EB2"/>
    <w:rsid w:val="006B771C"/>
    <w:rsid w:val="006D571E"/>
    <w:rsid w:val="006D77F5"/>
    <w:rsid w:val="006F2288"/>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01FD"/>
    <w:rsid w:val="00926BF1"/>
    <w:rsid w:val="009520DA"/>
    <w:rsid w:val="009743CE"/>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AF5D92"/>
    <w:rsid w:val="00B02DFF"/>
    <w:rsid w:val="00B031BD"/>
    <w:rsid w:val="00B43D9F"/>
    <w:rsid w:val="00B46BD1"/>
    <w:rsid w:val="00B55CB1"/>
    <w:rsid w:val="00B604DE"/>
    <w:rsid w:val="00B61D46"/>
    <w:rsid w:val="00B70DD9"/>
    <w:rsid w:val="00B94A57"/>
    <w:rsid w:val="00B971E7"/>
    <w:rsid w:val="00BD0BCD"/>
    <w:rsid w:val="00C13521"/>
    <w:rsid w:val="00C35C05"/>
    <w:rsid w:val="00C43DF6"/>
    <w:rsid w:val="00C64F5A"/>
    <w:rsid w:val="00C7313F"/>
    <w:rsid w:val="00C7450E"/>
    <w:rsid w:val="00CA7064"/>
    <w:rsid w:val="00CD27B6"/>
    <w:rsid w:val="00CF4CEB"/>
    <w:rsid w:val="00D1288B"/>
    <w:rsid w:val="00D3662D"/>
    <w:rsid w:val="00D40CA0"/>
    <w:rsid w:val="00D74EC3"/>
    <w:rsid w:val="00DD0180"/>
    <w:rsid w:val="00DE23D8"/>
    <w:rsid w:val="00DE6D52"/>
    <w:rsid w:val="00E25CCD"/>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CBEF03663E54D0FADAD5236A7C47B27">
    <w:name w:val="3CBEF03663E54D0FADAD5236A7C47B27"/>
    <w:rsid w:val="009201F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7362</Words>
  <Characters>4197</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Akvilė Kisielienė</cp:lastModifiedBy>
  <cp:revision>3</cp:revision>
  <cp:lastPrinted>2021-11-03T05:49:00Z</cp:lastPrinted>
  <dcterms:created xsi:type="dcterms:W3CDTF">2025-07-28T13:47:00Z</dcterms:created>
  <dcterms:modified xsi:type="dcterms:W3CDTF">2025-07-29T05:19:00Z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