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A47586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A47586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A47586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A47586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A47586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A47586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A47586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A47586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A47586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A47586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07FF539A" w:rsidR="00520494" w:rsidRPr="00A47586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A47586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A47586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A47586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A47586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A47586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6E2679" w:rsidRPr="00A47586">
        <w:rPr>
          <w:rStyle w:val="normaltextrun"/>
          <w:rFonts w:ascii="Arial" w:hAnsi="Arial" w:cs="Arial"/>
          <w:sz w:val="22"/>
          <w:szCs w:val="22"/>
          <w:lang w:val="lt-LT"/>
        </w:rPr>
        <w:t>7</w:t>
      </w:r>
      <w:r w:rsidR="007159C6" w:rsidRPr="00A47586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 w:rsidRPr="00A47586">
        <w:rPr>
          <w:rStyle w:val="normaltextrun"/>
          <w:rFonts w:ascii="Arial" w:hAnsi="Arial" w:cs="Arial"/>
          <w:sz w:val="22"/>
          <w:szCs w:val="22"/>
          <w:lang w:val="lt-LT"/>
        </w:rPr>
        <w:t>2</w:t>
      </w:r>
      <w:r w:rsidR="006E2679" w:rsidRPr="00A47586">
        <w:rPr>
          <w:rStyle w:val="normaltextrun"/>
          <w:rFonts w:ascii="Arial" w:hAnsi="Arial" w:cs="Arial"/>
          <w:sz w:val="22"/>
          <w:szCs w:val="22"/>
          <w:lang w:val="lt-LT"/>
        </w:rPr>
        <w:t>9</w:t>
      </w:r>
    </w:p>
    <w:p w14:paraId="7D5EB376" w14:textId="77777777" w:rsidR="00520494" w:rsidRPr="00A47586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A47586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A47586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7F1B30CD" w:rsidR="00442E2B" w:rsidRPr="00A47586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A47586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A47586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A47586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73668A" w:rsidRPr="00A47586">
        <w:rPr>
          <w:rStyle w:val="contentcontrolboundarysink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​</w:t>
      </w:r>
      <w:r w:rsidR="0073668A" w:rsidRPr="00A4758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Dviračių stovus su montavimo darbais, Vilniaus universiteto sklypuose, Vilniuje TVPC5758</w:t>
      </w:r>
      <w:r w:rsidR="0073668A" w:rsidRPr="00A4758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4312DD" w:rsidRPr="00A47586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A47586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A47586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A47586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19795307" w:rsidR="00661F0A" w:rsidRPr="00A47586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47586">
        <w:rPr>
          <w:rFonts w:ascii="Arial" w:hAnsi="Arial" w:cs="Arial"/>
          <w:sz w:val="22"/>
          <w:szCs w:val="22"/>
          <w:lang w:val="lt-LT"/>
        </w:rPr>
        <w:t>2025-0</w:t>
      </w:r>
      <w:r w:rsidR="0073668A" w:rsidRPr="00A47586">
        <w:rPr>
          <w:rFonts w:ascii="Arial" w:hAnsi="Arial" w:cs="Arial"/>
          <w:sz w:val="22"/>
          <w:szCs w:val="22"/>
          <w:lang w:val="lt-LT"/>
        </w:rPr>
        <w:t>7</w:t>
      </w:r>
      <w:r w:rsidRPr="00A47586">
        <w:rPr>
          <w:rFonts w:ascii="Arial" w:hAnsi="Arial" w:cs="Arial"/>
          <w:sz w:val="22"/>
          <w:szCs w:val="22"/>
          <w:lang w:val="lt-LT"/>
        </w:rPr>
        <w:t>-</w:t>
      </w:r>
      <w:r w:rsidR="00EB4037" w:rsidRPr="00A47586">
        <w:rPr>
          <w:rFonts w:ascii="Arial" w:hAnsi="Arial" w:cs="Arial"/>
          <w:sz w:val="22"/>
          <w:szCs w:val="22"/>
          <w:lang w:val="lt-LT"/>
        </w:rPr>
        <w:t>2</w:t>
      </w:r>
      <w:r w:rsidR="0073668A" w:rsidRPr="00A47586">
        <w:rPr>
          <w:rFonts w:ascii="Arial" w:hAnsi="Arial" w:cs="Arial"/>
          <w:sz w:val="22"/>
          <w:szCs w:val="22"/>
          <w:lang w:val="lt-LT"/>
        </w:rPr>
        <w:t>8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A47586">
        <w:rPr>
          <w:rFonts w:ascii="Arial" w:hAnsi="Arial" w:cs="Arial"/>
          <w:sz w:val="22"/>
          <w:szCs w:val="22"/>
          <w:lang w:val="lt-LT"/>
        </w:rPr>
        <w:t>PO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A47586">
        <w:rPr>
          <w:rFonts w:ascii="Arial" w:hAnsi="Arial" w:cs="Arial"/>
          <w:sz w:val="22"/>
          <w:szCs w:val="22"/>
          <w:lang w:val="lt-LT"/>
        </w:rPr>
        <w:t>o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suinteresuot</w:t>
      </w:r>
      <w:r w:rsidR="0073668A" w:rsidRPr="00A47586">
        <w:rPr>
          <w:rFonts w:ascii="Arial" w:hAnsi="Arial" w:cs="Arial"/>
          <w:sz w:val="22"/>
          <w:szCs w:val="22"/>
          <w:lang w:val="lt-LT"/>
        </w:rPr>
        <w:t>ų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73668A" w:rsidRPr="00A47586">
        <w:rPr>
          <w:rFonts w:ascii="Arial" w:hAnsi="Arial" w:cs="Arial"/>
          <w:sz w:val="22"/>
          <w:szCs w:val="22"/>
          <w:lang w:val="lt-LT"/>
        </w:rPr>
        <w:t>ų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73668A" w:rsidRPr="00A47586">
        <w:rPr>
          <w:rFonts w:ascii="Arial" w:hAnsi="Arial" w:cs="Arial"/>
          <w:sz w:val="22"/>
          <w:szCs w:val="22"/>
          <w:lang w:val="lt-LT"/>
        </w:rPr>
        <w:t>us</w:t>
      </w:r>
      <w:r w:rsidRPr="00A47586">
        <w:rPr>
          <w:rFonts w:ascii="Arial" w:hAnsi="Arial" w:cs="Arial"/>
          <w:sz w:val="22"/>
          <w:szCs w:val="22"/>
          <w:lang w:val="lt-LT"/>
        </w:rPr>
        <w:t>, kuri</w:t>
      </w:r>
      <w:r w:rsidR="0073668A" w:rsidRPr="00A47586">
        <w:rPr>
          <w:rFonts w:ascii="Arial" w:hAnsi="Arial" w:cs="Arial"/>
          <w:sz w:val="22"/>
          <w:szCs w:val="22"/>
          <w:lang w:val="lt-LT"/>
        </w:rPr>
        <w:t>e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73668A" w:rsidRPr="00A47586">
        <w:rPr>
          <w:rFonts w:ascii="Arial" w:hAnsi="Arial" w:cs="Arial"/>
          <w:sz w:val="22"/>
          <w:szCs w:val="22"/>
          <w:lang w:val="lt-LT"/>
        </w:rPr>
        <w:t>i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A47586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A47586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A47586">
        <w:rPr>
          <w:rFonts w:ascii="Arial" w:hAnsi="Arial" w:cs="Arial"/>
          <w:sz w:val="22"/>
          <w:szCs w:val="22"/>
          <w:lang w:val="lt-LT"/>
        </w:rPr>
        <w:t>Pirkimo b</w:t>
      </w:r>
      <w:r w:rsidRPr="00A47586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A47586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A47586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A47586">
        <w:rPr>
          <w:rFonts w:ascii="Arial" w:hAnsi="Arial" w:cs="Arial"/>
          <w:sz w:val="22"/>
          <w:szCs w:val="22"/>
          <w:lang w:val="lt-LT"/>
        </w:rPr>
        <w:t>PO išnagrinėjo gaut</w:t>
      </w:r>
      <w:r w:rsidR="00560388" w:rsidRPr="00A47586">
        <w:rPr>
          <w:rFonts w:ascii="Arial" w:hAnsi="Arial" w:cs="Arial"/>
          <w:sz w:val="22"/>
          <w:szCs w:val="22"/>
          <w:lang w:val="lt-LT"/>
        </w:rPr>
        <w:t>us</w:t>
      </w:r>
      <w:r w:rsidR="004D3C22" w:rsidRPr="00A47586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560388" w:rsidRPr="00A47586">
        <w:rPr>
          <w:rFonts w:ascii="Arial" w:hAnsi="Arial" w:cs="Arial"/>
          <w:sz w:val="22"/>
          <w:szCs w:val="22"/>
          <w:lang w:val="lt-LT"/>
        </w:rPr>
        <w:t>us</w:t>
      </w:r>
      <w:r w:rsidR="004D3C22" w:rsidRPr="00A47586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A47586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A47586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A47586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A47586">
        <w:rPr>
          <w:rFonts w:ascii="Arial" w:hAnsi="Arial" w:cs="Arial"/>
          <w:sz w:val="22"/>
          <w:szCs w:val="22"/>
          <w:lang w:val="lt-LT"/>
        </w:rPr>
        <w:t>atsak</w:t>
      </w:r>
      <w:r w:rsidR="008672FD" w:rsidRPr="00A47586">
        <w:rPr>
          <w:rFonts w:ascii="Arial" w:hAnsi="Arial" w:cs="Arial"/>
          <w:sz w:val="22"/>
          <w:szCs w:val="22"/>
          <w:lang w:val="lt-LT"/>
        </w:rPr>
        <w:t>o</w:t>
      </w:r>
      <w:r w:rsidR="00A620C7" w:rsidRPr="00A47586">
        <w:rPr>
          <w:rFonts w:ascii="Arial" w:hAnsi="Arial" w:cs="Arial"/>
          <w:sz w:val="22"/>
          <w:szCs w:val="22"/>
          <w:lang w:val="lt-LT"/>
        </w:rPr>
        <w:t xml:space="preserve"> į suinteresuot</w:t>
      </w:r>
      <w:r w:rsidR="00560388" w:rsidRPr="00A47586">
        <w:rPr>
          <w:rFonts w:ascii="Arial" w:hAnsi="Arial" w:cs="Arial"/>
          <w:sz w:val="22"/>
          <w:szCs w:val="22"/>
          <w:lang w:val="lt-LT"/>
        </w:rPr>
        <w:t>ų</w:t>
      </w:r>
      <w:r w:rsidR="00A620C7" w:rsidRPr="00A47586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560388" w:rsidRPr="00A47586">
        <w:rPr>
          <w:rFonts w:ascii="Arial" w:hAnsi="Arial" w:cs="Arial"/>
          <w:sz w:val="22"/>
          <w:szCs w:val="22"/>
          <w:lang w:val="lt-LT"/>
        </w:rPr>
        <w:t>ų</w:t>
      </w:r>
      <w:r w:rsidR="00A620C7" w:rsidRPr="00A47586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560388" w:rsidRPr="00A47586">
        <w:rPr>
          <w:rFonts w:ascii="Arial" w:hAnsi="Arial" w:cs="Arial"/>
          <w:sz w:val="22"/>
          <w:szCs w:val="22"/>
          <w:lang w:val="lt-LT"/>
        </w:rPr>
        <w:t>us</w:t>
      </w:r>
      <w:r w:rsidR="00661F0A" w:rsidRPr="00A47586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A47586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A47586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A47586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A47586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A47586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A47586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A47586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A47586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A47586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A47586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A47586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A47586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A47586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3449D032" w:rsidR="00D40776" w:rsidRPr="00A47586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560388" w:rsidRPr="00A47586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Pr="00A47586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D146F2" w:rsidRPr="00A47586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560388" w:rsidRPr="00A47586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</w:p>
        </w:tc>
        <w:tc>
          <w:tcPr>
            <w:tcW w:w="6507" w:type="dxa"/>
            <w:shd w:val="clear" w:color="auto" w:fill="auto"/>
          </w:tcPr>
          <w:p w14:paraId="12A5310D" w14:textId="37FD5EE4" w:rsidR="00D40776" w:rsidRPr="00A47586" w:rsidRDefault="009F09D5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Atsižvelgdami į Specialiųjų pirkimo sąlygų priedą Nr. 1 „Techninė specifikacija“, norėtume pateikti šiuos klausimus:</w:t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1. Dėl 4.1.1 lentelės Nr. 2 punkto:</w:t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Numatyta, kad dviračių stovų montavimas turi būti atliekamas įbetonuojant, įvertinant esamos dangos (asfalto, betoninių plytelių arba trinkelių) ardymą ir atstatymą.</w:t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lastRenderedPageBreak/>
              <w:t>Klausimas: Ar galimas toks montavimo būdas – naudojant 100 mm skersmens gręžimo karūną, išgręžiant esamą dangą, o atlikus montavimo darbus, gręžinį užpildyti betonu ir paviršių sulyginti su esama danga?</w:t>
            </w:r>
          </w:p>
        </w:tc>
        <w:tc>
          <w:tcPr>
            <w:tcW w:w="6235" w:type="dxa"/>
          </w:tcPr>
          <w:p w14:paraId="6657724C" w14:textId="48878187" w:rsidR="00DF76D1" w:rsidRPr="00A47586" w:rsidRDefault="00C754DA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Taip, toks montavimas tinkamas.</w:t>
            </w:r>
          </w:p>
        </w:tc>
      </w:tr>
      <w:tr w:rsidR="00560388" w:rsidRPr="00A47586" w14:paraId="7E5136AE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151C603" w14:textId="77777777" w:rsidR="00560388" w:rsidRPr="00A47586" w:rsidRDefault="00560388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39262068" w14:textId="23B65C50" w:rsidR="00560388" w:rsidRPr="00A47586" w:rsidRDefault="00703AC9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hAnsi="Arial" w:cs="Arial"/>
                <w:sz w:val="22"/>
                <w:szCs w:val="22"/>
                <w:lang w:val="lt-LT"/>
              </w:rPr>
              <w:t>2025-07-29</w:t>
            </w:r>
          </w:p>
        </w:tc>
        <w:tc>
          <w:tcPr>
            <w:tcW w:w="6507" w:type="dxa"/>
            <w:shd w:val="clear" w:color="auto" w:fill="auto"/>
          </w:tcPr>
          <w:p w14:paraId="06B5FBEB" w14:textId="6172CCF0" w:rsidR="00560388" w:rsidRPr="00A47586" w:rsidRDefault="00D806DD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2. Dėl pasiūlymo dokumentų:</w:t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A47586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Ar teisingai suprantame, kad tiekėjas, dalyvaudamas pirkime, turi pateikti tik užpildytą Specialiųjų pirkimo sąlygų priedą Nr. 2 – pasiūlymo formą? Ar kartu su šia forma nereikia teikti daugiau jokių papildomų dokumentų?</w:t>
            </w:r>
          </w:p>
        </w:tc>
        <w:tc>
          <w:tcPr>
            <w:tcW w:w="6235" w:type="dxa"/>
          </w:tcPr>
          <w:p w14:paraId="0E8E25EA" w14:textId="7544E43C" w:rsidR="006D3263" w:rsidRPr="00A47586" w:rsidRDefault="006D3263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586">
              <w:rPr>
                <w:rFonts w:ascii="Arial" w:hAnsi="Arial" w:cs="Arial"/>
                <w:sz w:val="22"/>
                <w:szCs w:val="22"/>
              </w:rPr>
              <w:t>Tiekėjas, kuris teikia pasiūlymą turi pateikti užpildytą ir pasirašytą Pirkimo specialiųjų sąlygų priedą Nr. 2 Pasiūlymo forma, taip pat įgaliojimą pasirašančiam asmeniui, jei pasiūlymą pasirašo ne įmonės vadovas ir (ar) jungtinės veiklos sutartį, jei pasiūlymą teikia jungtinės veiklos partneriai. Pateikiami dokumentai su pasiūlymu nuro</w:t>
            </w:r>
            <w:r w:rsidR="00C43B94" w:rsidRPr="00A47586">
              <w:rPr>
                <w:rFonts w:ascii="Arial" w:hAnsi="Arial" w:cs="Arial"/>
                <w:sz w:val="22"/>
                <w:szCs w:val="22"/>
              </w:rPr>
              <w:t>d</w:t>
            </w:r>
            <w:r w:rsidRPr="00A47586">
              <w:rPr>
                <w:rFonts w:ascii="Arial" w:hAnsi="Arial" w:cs="Arial"/>
                <w:sz w:val="22"/>
                <w:szCs w:val="22"/>
              </w:rPr>
              <w:t>yti Pirkimo specialiųjų sąlygų priede Nr. 2 Pasiūlymo forma 4 punkte (jei taikoma).</w:t>
            </w:r>
          </w:p>
        </w:tc>
      </w:tr>
      <w:tr w:rsidR="00560388" w:rsidRPr="00A47586" w14:paraId="6CB733AC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51657B6" w14:textId="77777777" w:rsidR="00560388" w:rsidRPr="00A47586" w:rsidRDefault="00560388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552FB290" w14:textId="69803BEB" w:rsidR="00560388" w:rsidRPr="00A47586" w:rsidRDefault="00067D1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hAnsi="Arial" w:cs="Arial"/>
                <w:sz w:val="22"/>
                <w:szCs w:val="22"/>
                <w:lang w:val="lt-LT"/>
              </w:rPr>
              <w:t>2025-07-29</w:t>
            </w:r>
          </w:p>
        </w:tc>
        <w:tc>
          <w:tcPr>
            <w:tcW w:w="6507" w:type="dxa"/>
            <w:shd w:val="clear" w:color="auto" w:fill="auto"/>
          </w:tcPr>
          <w:p w14:paraId="21E2292A" w14:textId="62E6F137" w:rsidR="00560388" w:rsidRPr="00A47586" w:rsidRDefault="00067D1A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4758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Sveiki, domina objektas su dviračio stovų montavimu, ar galime susitarti dėl objekto apžiūros?</w:t>
            </w:r>
          </w:p>
        </w:tc>
        <w:tc>
          <w:tcPr>
            <w:tcW w:w="6235" w:type="dxa"/>
          </w:tcPr>
          <w:p w14:paraId="7C51E47B" w14:textId="75E85D7F" w:rsidR="00560388" w:rsidRPr="00A47586" w:rsidRDefault="00067D1A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586">
              <w:rPr>
                <w:rFonts w:ascii="Arial" w:hAnsi="Arial" w:cs="Arial"/>
                <w:sz w:val="22"/>
                <w:szCs w:val="22"/>
              </w:rPr>
              <w:t xml:space="preserve">Vadovaujantis </w:t>
            </w:r>
            <w:r w:rsidR="00A47586">
              <w:rPr>
                <w:rFonts w:ascii="Arial" w:hAnsi="Arial" w:cs="Arial"/>
                <w:sz w:val="22"/>
                <w:szCs w:val="22"/>
              </w:rPr>
              <w:t xml:space="preserve">Pirkimo </w:t>
            </w:r>
            <w:r w:rsidRPr="00A47586">
              <w:rPr>
                <w:rFonts w:ascii="Arial" w:hAnsi="Arial" w:cs="Arial"/>
                <w:sz w:val="22"/>
                <w:szCs w:val="22"/>
              </w:rPr>
              <w:t xml:space="preserve">specialiųjų sąlygų </w:t>
            </w:r>
            <w:r w:rsidR="00703AC9" w:rsidRPr="00A47586">
              <w:rPr>
                <w:rFonts w:ascii="Arial" w:hAnsi="Arial" w:cs="Arial"/>
                <w:sz w:val="22"/>
                <w:szCs w:val="22"/>
              </w:rPr>
              <w:t xml:space="preserve">1.4 punktu </w:t>
            </w:r>
            <w:r w:rsidR="00703AC9" w:rsidRPr="00A47586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703AC9" w:rsidRPr="00A47586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Perkančioji organizacija </w:t>
            </w:r>
            <w:r w:rsidR="00703AC9" w:rsidRPr="00A47586"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nenumato</w:t>
            </w:r>
            <w:r w:rsidR="00703AC9" w:rsidRPr="00A47586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objekto apžiūros.”</w:t>
            </w:r>
          </w:p>
        </w:tc>
      </w:tr>
    </w:tbl>
    <w:p w14:paraId="592F4F98" w14:textId="77777777" w:rsidR="004B08CD" w:rsidRPr="00A47586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A47586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A47586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A47586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A47586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A47586">
        <w:rPr>
          <w:rFonts w:ascii="Arial" w:hAnsi="Arial" w:cs="Arial"/>
          <w:sz w:val="22"/>
          <w:szCs w:val="22"/>
          <w:lang w:val="lt-LT"/>
        </w:rPr>
        <w:t> </w:t>
      </w:r>
      <w:r w:rsidR="00A76580" w:rsidRPr="00A47586">
        <w:rPr>
          <w:rFonts w:ascii="Arial" w:hAnsi="Arial" w:cs="Arial"/>
          <w:sz w:val="22"/>
          <w:szCs w:val="22"/>
          <w:lang w:val="lt-LT"/>
        </w:rPr>
        <w:t>6</w:t>
      </w:r>
      <w:r w:rsidRPr="00A47586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A47586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A47586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A47586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A47586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C877" w14:textId="77777777" w:rsidR="00DB75A4" w:rsidRDefault="00DB75A4" w:rsidP="000C042A">
      <w:r>
        <w:separator/>
      </w:r>
    </w:p>
  </w:endnote>
  <w:endnote w:type="continuationSeparator" w:id="0">
    <w:p w14:paraId="681415C9" w14:textId="77777777" w:rsidR="00DB75A4" w:rsidRDefault="00DB75A4" w:rsidP="000C042A">
      <w:r>
        <w:continuationSeparator/>
      </w:r>
    </w:p>
  </w:endnote>
  <w:endnote w:type="continuationNotice" w:id="1">
    <w:p w14:paraId="12B6C963" w14:textId="77777777" w:rsidR="00DB75A4" w:rsidRDefault="00DB7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FAE1" w14:textId="77777777" w:rsidR="00DB75A4" w:rsidRDefault="00DB75A4" w:rsidP="000C042A">
      <w:r>
        <w:separator/>
      </w:r>
    </w:p>
  </w:footnote>
  <w:footnote w:type="continuationSeparator" w:id="0">
    <w:p w14:paraId="30C3496F" w14:textId="77777777" w:rsidR="00DB75A4" w:rsidRDefault="00DB75A4" w:rsidP="000C042A">
      <w:r>
        <w:continuationSeparator/>
      </w:r>
    </w:p>
  </w:footnote>
  <w:footnote w:type="continuationNotice" w:id="1">
    <w:p w14:paraId="4025D40E" w14:textId="77777777" w:rsidR="00DB75A4" w:rsidRDefault="00DB75A4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67D1A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038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D3263"/>
    <w:rsid w:val="006E1D83"/>
    <w:rsid w:val="006E2679"/>
    <w:rsid w:val="006E4C74"/>
    <w:rsid w:val="006F5458"/>
    <w:rsid w:val="006F7FC8"/>
    <w:rsid w:val="00703AC9"/>
    <w:rsid w:val="007159C6"/>
    <w:rsid w:val="00716492"/>
    <w:rsid w:val="00717101"/>
    <w:rsid w:val="00733264"/>
    <w:rsid w:val="0073668A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09D5"/>
    <w:rsid w:val="009F24D6"/>
    <w:rsid w:val="009F3785"/>
    <w:rsid w:val="009F5CC3"/>
    <w:rsid w:val="009F697A"/>
    <w:rsid w:val="00A00AFD"/>
    <w:rsid w:val="00A12547"/>
    <w:rsid w:val="00A355A8"/>
    <w:rsid w:val="00A47586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D31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43B94"/>
    <w:rsid w:val="00C5699F"/>
    <w:rsid w:val="00C621E7"/>
    <w:rsid w:val="00C65F10"/>
    <w:rsid w:val="00C660FA"/>
    <w:rsid w:val="00C665CF"/>
    <w:rsid w:val="00C708A0"/>
    <w:rsid w:val="00C73F2D"/>
    <w:rsid w:val="00C754DA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557"/>
    <w:rsid w:val="00D76C17"/>
    <w:rsid w:val="00D806DD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B75A4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1580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7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2025-07-29T12:24:00Z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