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0A34" w14:textId="0AA361EE" w:rsidR="00933CB1" w:rsidRPr="00F07B6A" w:rsidRDefault="00DF554C" w:rsidP="00BC1957">
      <w:pPr>
        <w:tabs>
          <w:tab w:val="left" w:pos="426"/>
        </w:tabs>
        <w:spacing w:after="0" w:line="240" w:lineRule="auto"/>
        <w:jc w:val="right"/>
        <w:rPr>
          <w:rFonts w:cstheme="minorHAnsi"/>
          <w:lang w:val="lt-LT"/>
        </w:rPr>
      </w:pPr>
      <w:r w:rsidRPr="00F07B6A">
        <w:rPr>
          <w:rFonts w:cstheme="minorHAnsi"/>
          <w:lang w:val="lt-LT"/>
        </w:rPr>
        <w:t xml:space="preserve">SPS </w:t>
      </w:r>
      <w:r w:rsidR="00F07B6A" w:rsidRPr="00F07B6A">
        <w:rPr>
          <w:rFonts w:cstheme="minorHAnsi"/>
          <w:lang w:val="lt-LT"/>
        </w:rPr>
        <w:t>5</w:t>
      </w:r>
      <w:r w:rsidR="00CB0302" w:rsidRPr="00F07B6A">
        <w:rPr>
          <w:rFonts w:cstheme="minorHAnsi"/>
          <w:lang w:val="lt-LT"/>
        </w:rPr>
        <w:t xml:space="preserve"> priedas</w:t>
      </w:r>
    </w:p>
    <w:p w14:paraId="48511534" w14:textId="77777777" w:rsidR="00CB0302" w:rsidRPr="003A19A6" w:rsidRDefault="00CB0302" w:rsidP="00BC1957">
      <w:pPr>
        <w:tabs>
          <w:tab w:val="left" w:pos="426"/>
        </w:tabs>
        <w:spacing w:after="0" w:line="240" w:lineRule="auto"/>
        <w:jc w:val="right"/>
        <w:rPr>
          <w:rFonts w:cstheme="minorHAnsi"/>
          <w:lang w:val="lt-LT"/>
        </w:rPr>
      </w:pPr>
    </w:p>
    <w:p w14:paraId="69A73B16" w14:textId="3FCC1AAE" w:rsidR="00CB0302" w:rsidRPr="00631E6C" w:rsidRDefault="00CB0302" w:rsidP="00BC1957">
      <w:pPr>
        <w:tabs>
          <w:tab w:val="left" w:pos="426"/>
        </w:tabs>
        <w:spacing w:after="0" w:line="240" w:lineRule="auto"/>
        <w:jc w:val="center"/>
        <w:rPr>
          <w:rFonts w:cstheme="minorHAnsi"/>
          <w:b/>
          <w:sz w:val="21"/>
          <w:szCs w:val="21"/>
          <w:lang w:val="lt-LT"/>
        </w:rPr>
      </w:pPr>
      <w:r w:rsidRPr="00631E6C">
        <w:rPr>
          <w:rFonts w:cstheme="minorHAnsi"/>
          <w:b/>
          <w:sz w:val="21"/>
          <w:szCs w:val="21"/>
          <w:lang w:val="lt-LT"/>
        </w:rPr>
        <w:t>PAGRINDINĖS SUTARTIES SĄLYGOS</w:t>
      </w:r>
    </w:p>
    <w:p w14:paraId="14286293" w14:textId="6C5A6150" w:rsidR="00CC56A2" w:rsidRPr="00631E6C" w:rsidRDefault="00CC56A2" w:rsidP="00BC1957">
      <w:pPr>
        <w:tabs>
          <w:tab w:val="left" w:pos="426"/>
        </w:tabs>
        <w:spacing w:after="0" w:line="240" w:lineRule="auto"/>
        <w:jc w:val="center"/>
        <w:rPr>
          <w:rFonts w:cstheme="minorHAnsi"/>
          <w:b/>
          <w:sz w:val="21"/>
          <w:szCs w:val="21"/>
          <w:lang w:val="lt-LT"/>
        </w:rPr>
      </w:pPr>
    </w:p>
    <w:p w14:paraId="040BD195" w14:textId="75F8DEFE" w:rsidR="007A7614" w:rsidRPr="003365A3" w:rsidRDefault="007A7614" w:rsidP="005E0055">
      <w:pPr>
        <w:pStyle w:val="ListParagraph"/>
        <w:numPr>
          <w:ilvl w:val="1"/>
          <w:numId w:val="9"/>
        </w:numPr>
        <w:pBdr>
          <w:top w:val="nil"/>
          <w:left w:val="nil"/>
          <w:bottom w:val="nil"/>
          <w:right w:val="nil"/>
          <w:between w:val="nil"/>
          <w:bar w:val="nil"/>
        </w:pBdr>
        <w:tabs>
          <w:tab w:val="left" w:pos="567"/>
          <w:tab w:val="left" w:pos="993"/>
        </w:tabs>
        <w:ind w:left="0" w:firstLine="567"/>
        <w:contextualSpacing w:val="0"/>
        <w:jc w:val="both"/>
        <w:outlineLvl w:val="0"/>
        <w:rPr>
          <w:rFonts w:asciiTheme="minorHAnsi" w:hAnsiTheme="minorHAnsi" w:cstheme="minorHAnsi"/>
          <w:color w:val="EE0000"/>
          <w:sz w:val="21"/>
          <w:szCs w:val="21"/>
          <w:lang w:val="lt-LT" w:eastAsia="lt-LT"/>
        </w:rPr>
      </w:pPr>
      <w:bookmarkStart w:id="0" w:name="_Toc11397271"/>
      <w:r w:rsidRPr="00631E6C">
        <w:rPr>
          <w:rFonts w:asciiTheme="minorHAnsi" w:hAnsiTheme="minorHAnsi" w:cstheme="minorHAnsi"/>
          <w:color w:val="000000" w:themeColor="text1"/>
          <w:sz w:val="21"/>
          <w:szCs w:val="21"/>
          <w:lang w:val="lt-LT" w:eastAsia="lt-LT"/>
        </w:rPr>
        <w:t xml:space="preserve">Vadovaujantis Lietuvos Respublikos viešųjų pirkimų įstatymo 87 straipsnio 1 dalimi, perkamam objektui taikomos </w:t>
      </w:r>
      <w:r w:rsidR="00E4114C" w:rsidRPr="00631E6C">
        <w:rPr>
          <w:rFonts w:asciiTheme="minorHAnsi" w:hAnsiTheme="minorHAnsi" w:cstheme="minorHAnsi"/>
          <w:color w:val="000000" w:themeColor="text1"/>
          <w:sz w:val="21"/>
          <w:szCs w:val="21"/>
          <w:lang w:val="lt-LT" w:eastAsia="lt-LT"/>
        </w:rPr>
        <w:t>paslaugų</w:t>
      </w:r>
      <w:r w:rsidRPr="00631E6C">
        <w:rPr>
          <w:rFonts w:asciiTheme="minorHAnsi" w:hAnsiTheme="minorHAnsi" w:cstheme="minorHAnsi"/>
          <w:sz w:val="21"/>
          <w:szCs w:val="21"/>
          <w:lang w:val="lt-LT"/>
        </w:rPr>
        <w:t xml:space="preserve"> viešojo pirkimo</w:t>
      </w:r>
      <w:r w:rsidRPr="00631E6C">
        <w:rPr>
          <w:rFonts w:asciiTheme="minorHAnsi" w:eastAsia="Arial" w:hAnsiTheme="minorHAnsi" w:cstheme="minorHAnsi"/>
          <w:sz w:val="21"/>
          <w:szCs w:val="21"/>
          <w:lang w:val="lt-LT"/>
        </w:rPr>
        <w:t>–</w:t>
      </w:r>
      <w:r w:rsidRPr="00631E6C">
        <w:rPr>
          <w:rFonts w:asciiTheme="minorHAnsi" w:hAnsiTheme="minorHAnsi" w:cstheme="minorHAnsi"/>
          <w:sz w:val="21"/>
          <w:szCs w:val="21"/>
          <w:lang w:val="lt-LT"/>
        </w:rPr>
        <w:t>pardavimo sutarties tipinės sąlygos</w:t>
      </w:r>
      <w:r w:rsidR="003365A3">
        <w:rPr>
          <w:rFonts w:asciiTheme="minorHAnsi" w:hAnsiTheme="minorHAnsi" w:cstheme="minorHAnsi"/>
          <w:sz w:val="21"/>
          <w:szCs w:val="21"/>
          <w:lang w:val="lt-LT"/>
        </w:rPr>
        <w:t xml:space="preserve">, </w:t>
      </w:r>
      <w:r w:rsidR="003365A3" w:rsidRPr="003365A3">
        <w:rPr>
          <w:rFonts w:asciiTheme="minorHAnsi" w:hAnsiTheme="minorHAnsi" w:cstheme="minorHAnsi"/>
          <w:color w:val="EE0000"/>
          <w:sz w:val="21"/>
          <w:szCs w:val="21"/>
          <w:lang w:val="lt-LT"/>
        </w:rPr>
        <w:t xml:space="preserve">kurias galima rasti adresu </w:t>
      </w:r>
      <w:hyperlink r:id="rId8" w:history="1">
        <w:r w:rsidR="003365A3" w:rsidRPr="003365A3">
          <w:rPr>
            <w:rStyle w:val="Hyperlink"/>
            <w:rFonts w:asciiTheme="minorHAnsi" w:hAnsiTheme="minorHAnsi" w:cstheme="minorHAnsi"/>
            <w:color w:val="EE0000"/>
            <w:sz w:val="21"/>
            <w:szCs w:val="21"/>
            <w:lang w:val="lt-LT"/>
          </w:rPr>
          <w:t>https://vpt.lrv.lt/lt/metodine-pagalba/pavyzdiniai-dokumentai-3/privalomi-dokumentai/</w:t>
        </w:r>
      </w:hyperlink>
      <w:r w:rsidR="003365A3" w:rsidRPr="003365A3">
        <w:rPr>
          <w:rFonts w:asciiTheme="minorHAnsi" w:hAnsiTheme="minorHAnsi" w:cstheme="minorHAnsi"/>
          <w:color w:val="EE0000"/>
          <w:sz w:val="21"/>
          <w:szCs w:val="21"/>
          <w:lang w:val="lt-LT"/>
        </w:rPr>
        <w:t xml:space="preserve"> </w:t>
      </w:r>
      <w:r w:rsidRPr="003365A3">
        <w:rPr>
          <w:rFonts w:asciiTheme="minorHAnsi" w:hAnsiTheme="minorHAnsi" w:cstheme="minorHAnsi"/>
          <w:color w:val="EE0000"/>
          <w:sz w:val="21"/>
          <w:szCs w:val="21"/>
          <w:lang w:val="lt-LT"/>
        </w:rPr>
        <w:t>.</w:t>
      </w:r>
    </w:p>
    <w:p w14:paraId="293AABBD" w14:textId="1888E13E" w:rsidR="00063ABF" w:rsidRPr="00631E6C" w:rsidRDefault="00E4114C" w:rsidP="005E0055">
      <w:pPr>
        <w:pStyle w:val="Default"/>
        <w:numPr>
          <w:ilvl w:val="1"/>
          <w:numId w:val="9"/>
        </w:numPr>
        <w:tabs>
          <w:tab w:val="left" w:pos="993"/>
        </w:tabs>
        <w:ind w:left="0" w:firstLine="567"/>
        <w:jc w:val="both"/>
        <w:rPr>
          <w:rFonts w:ascii="Calibri" w:hAnsi="Calibri" w:cs="Calibri"/>
          <w:bCs/>
          <w:color w:val="auto"/>
          <w:sz w:val="21"/>
          <w:szCs w:val="21"/>
          <w:lang w:val="lt-LT"/>
        </w:rPr>
      </w:pPr>
      <w:r w:rsidRPr="00631E6C">
        <w:rPr>
          <w:rFonts w:ascii="Calibri" w:eastAsia="Times New Roman" w:hAnsi="Calibri" w:cs="Calibri"/>
          <w:bCs/>
          <w:color w:val="auto"/>
          <w:sz w:val="21"/>
          <w:szCs w:val="21"/>
          <w:lang w:val="lt-LT" w:eastAsia="lt-LT"/>
        </w:rPr>
        <w:t>Paslaugų tei</w:t>
      </w:r>
      <w:r w:rsidR="00063ABF" w:rsidRPr="00631E6C">
        <w:rPr>
          <w:rFonts w:ascii="Calibri" w:eastAsia="Times New Roman" w:hAnsi="Calibri" w:cs="Calibri"/>
          <w:bCs/>
          <w:color w:val="auto"/>
          <w:sz w:val="21"/>
          <w:szCs w:val="21"/>
          <w:lang w:val="lt-LT" w:eastAsia="lt-LT"/>
        </w:rPr>
        <w:t xml:space="preserve">kėjas įsipareigoja </w:t>
      </w:r>
      <w:r w:rsidR="00063ABF" w:rsidRPr="00631E6C">
        <w:rPr>
          <w:rFonts w:asciiTheme="minorHAnsi" w:hAnsiTheme="minorHAnsi" w:cstheme="minorHAnsi"/>
          <w:sz w:val="21"/>
          <w:szCs w:val="21"/>
          <w:lang w:val="lt-LT"/>
        </w:rPr>
        <w:t xml:space="preserve">Sutartyje numatytomis sąlygomis </w:t>
      </w:r>
      <w:r w:rsidRPr="00631E6C">
        <w:rPr>
          <w:rFonts w:ascii="Calibri" w:eastAsia="Times New Roman" w:hAnsi="Calibri" w:cs="Calibri"/>
          <w:bCs/>
          <w:color w:val="auto"/>
          <w:sz w:val="21"/>
          <w:szCs w:val="21"/>
          <w:lang w:val="lt-LT"/>
        </w:rPr>
        <w:t>suteikti</w:t>
      </w:r>
      <w:r w:rsidR="0087664D" w:rsidRPr="00631E6C">
        <w:rPr>
          <w:rFonts w:ascii="Calibri" w:eastAsia="Times New Roman" w:hAnsi="Calibri" w:cs="Calibri"/>
          <w:bCs/>
          <w:color w:val="auto"/>
          <w:sz w:val="21"/>
          <w:szCs w:val="21"/>
          <w:lang w:val="lt-LT"/>
        </w:rPr>
        <w:t xml:space="preserve"> </w:t>
      </w:r>
      <w:r w:rsidR="00063ABF" w:rsidRPr="00631E6C">
        <w:rPr>
          <w:rFonts w:ascii="Calibri" w:eastAsia="Times New Roman" w:hAnsi="Calibri" w:cs="Calibri"/>
          <w:bCs/>
          <w:color w:val="auto"/>
          <w:sz w:val="21"/>
          <w:szCs w:val="21"/>
          <w:lang w:val="lt-LT"/>
        </w:rPr>
        <w:t xml:space="preserve">Pirkėjui Sutarties </w:t>
      </w:r>
      <w:r w:rsidR="00891469" w:rsidRPr="00631E6C">
        <w:rPr>
          <w:rFonts w:ascii="Calibri" w:eastAsia="Times New Roman" w:hAnsi="Calibri" w:cs="Calibri"/>
          <w:bCs/>
          <w:color w:val="auto"/>
          <w:sz w:val="21"/>
          <w:szCs w:val="21"/>
          <w:lang w:val="lt-LT"/>
        </w:rPr>
        <w:t>__</w:t>
      </w:r>
      <w:r w:rsidR="00063ABF" w:rsidRPr="00631E6C">
        <w:rPr>
          <w:rFonts w:ascii="Calibri" w:eastAsia="Times New Roman" w:hAnsi="Calibri" w:cs="Calibri"/>
          <w:bCs/>
          <w:color w:val="auto"/>
          <w:sz w:val="21"/>
          <w:szCs w:val="21"/>
          <w:lang w:val="lt-LT"/>
        </w:rPr>
        <w:t xml:space="preserve"> priede „Tiekėjo pasiūlymas“ nurodyt</w:t>
      </w:r>
      <w:r w:rsidRPr="00631E6C">
        <w:rPr>
          <w:rFonts w:ascii="Calibri" w:eastAsia="Times New Roman" w:hAnsi="Calibri" w:cs="Calibri"/>
          <w:bCs/>
          <w:color w:val="auto"/>
          <w:sz w:val="21"/>
          <w:szCs w:val="21"/>
          <w:lang w:val="lt-LT"/>
        </w:rPr>
        <w:t xml:space="preserve">as </w:t>
      </w:r>
      <w:r w:rsidR="004C455D">
        <w:rPr>
          <w:rFonts w:ascii="Calibri" w:eastAsia="Times New Roman" w:hAnsi="Calibri" w:cs="Calibri"/>
          <w:b/>
          <w:color w:val="auto"/>
          <w:sz w:val="21"/>
          <w:szCs w:val="21"/>
          <w:lang w:val="lt-LT"/>
        </w:rPr>
        <w:t>Turto draudimo</w:t>
      </w:r>
      <w:r w:rsidRPr="00631E6C">
        <w:rPr>
          <w:rFonts w:ascii="Calibri" w:eastAsia="Times New Roman" w:hAnsi="Calibri" w:cs="Calibri"/>
          <w:b/>
          <w:color w:val="auto"/>
          <w:sz w:val="21"/>
          <w:szCs w:val="21"/>
          <w:lang w:val="lt-LT"/>
        </w:rPr>
        <w:t xml:space="preserve"> paslaugas</w:t>
      </w:r>
      <w:r w:rsidR="00E479A3" w:rsidRPr="00631E6C">
        <w:rPr>
          <w:rFonts w:ascii="Calibri" w:eastAsia="Times New Roman" w:hAnsi="Calibri" w:cs="Calibri"/>
          <w:bCs/>
          <w:color w:val="auto"/>
          <w:sz w:val="21"/>
          <w:szCs w:val="21"/>
          <w:lang w:val="lt-LT"/>
        </w:rPr>
        <w:t xml:space="preserve"> </w:t>
      </w:r>
      <w:r w:rsidR="00063ABF" w:rsidRPr="00631E6C">
        <w:rPr>
          <w:rFonts w:ascii="Calibri" w:eastAsia="Times New Roman" w:hAnsi="Calibri" w:cs="Calibri"/>
          <w:bCs/>
          <w:color w:val="auto"/>
          <w:sz w:val="21"/>
          <w:szCs w:val="21"/>
          <w:lang w:val="lt-LT"/>
        </w:rPr>
        <w:t>(toliau – P</w:t>
      </w:r>
      <w:r w:rsidRPr="00631E6C">
        <w:rPr>
          <w:rFonts w:ascii="Calibri" w:eastAsia="Times New Roman" w:hAnsi="Calibri" w:cs="Calibri"/>
          <w:bCs/>
          <w:color w:val="auto"/>
          <w:sz w:val="21"/>
          <w:szCs w:val="21"/>
          <w:lang w:val="lt-LT"/>
        </w:rPr>
        <w:t>aslaugos</w:t>
      </w:r>
      <w:r w:rsidR="00063ABF" w:rsidRPr="00631E6C">
        <w:rPr>
          <w:rFonts w:ascii="Calibri" w:eastAsia="Times New Roman" w:hAnsi="Calibri" w:cs="Calibri"/>
          <w:bCs/>
          <w:color w:val="auto"/>
          <w:sz w:val="21"/>
          <w:szCs w:val="21"/>
          <w:lang w:val="lt-LT"/>
        </w:rPr>
        <w:t>)</w:t>
      </w:r>
      <w:r w:rsidR="00063ABF" w:rsidRPr="00631E6C">
        <w:rPr>
          <w:rFonts w:ascii="Calibri" w:eastAsia="Times New Roman" w:hAnsi="Calibri" w:cs="Calibri"/>
          <w:bCs/>
          <w:color w:val="auto"/>
          <w:sz w:val="21"/>
          <w:szCs w:val="21"/>
          <w:lang w:val="lt-LT" w:eastAsia="lt-LT"/>
        </w:rPr>
        <w:t>, o Pirkėjas įsipareigoja priimti kokybiška</w:t>
      </w:r>
      <w:r w:rsidRPr="00631E6C">
        <w:rPr>
          <w:rFonts w:ascii="Calibri" w:eastAsia="Times New Roman" w:hAnsi="Calibri" w:cs="Calibri"/>
          <w:bCs/>
          <w:color w:val="auto"/>
          <w:sz w:val="21"/>
          <w:szCs w:val="21"/>
          <w:lang w:val="lt-LT" w:eastAsia="lt-LT"/>
        </w:rPr>
        <w:t>i suteiktas Paslaugas</w:t>
      </w:r>
      <w:r w:rsidR="00063ABF" w:rsidRPr="00631E6C">
        <w:rPr>
          <w:rFonts w:ascii="Calibri" w:eastAsia="Times New Roman" w:hAnsi="Calibri" w:cs="Calibri"/>
          <w:bCs/>
          <w:color w:val="auto"/>
          <w:sz w:val="21"/>
          <w:szCs w:val="21"/>
          <w:lang w:val="lt-LT" w:eastAsia="lt-LT"/>
        </w:rPr>
        <w:t xml:space="preserve"> ir sumokėti už jas </w:t>
      </w:r>
      <w:r w:rsidRPr="00631E6C">
        <w:rPr>
          <w:rFonts w:ascii="Calibri" w:eastAsia="Times New Roman" w:hAnsi="Calibri" w:cs="Calibri"/>
          <w:bCs/>
          <w:color w:val="auto"/>
          <w:sz w:val="21"/>
          <w:szCs w:val="21"/>
          <w:lang w:val="lt-LT"/>
        </w:rPr>
        <w:t>Paslaugų tei</w:t>
      </w:r>
      <w:r w:rsidR="00063ABF" w:rsidRPr="00631E6C">
        <w:rPr>
          <w:rFonts w:ascii="Calibri" w:eastAsia="Times New Roman" w:hAnsi="Calibri" w:cs="Calibri"/>
          <w:bCs/>
          <w:color w:val="auto"/>
          <w:sz w:val="21"/>
          <w:szCs w:val="21"/>
          <w:lang w:val="lt-LT"/>
        </w:rPr>
        <w:t>kėjui</w:t>
      </w:r>
      <w:r w:rsidR="00063ABF" w:rsidRPr="00631E6C">
        <w:rPr>
          <w:rFonts w:ascii="Calibri" w:eastAsia="Times New Roman" w:hAnsi="Calibri" w:cs="Calibri"/>
          <w:bCs/>
          <w:color w:val="auto"/>
          <w:sz w:val="21"/>
          <w:szCs w:val="21"/>
          <w:lang w:val="lt-LT" w:eastAsia="lt-LT"/>
        </w:rPr>
        <w:t xml:space="preserve"> Sutartyje nustatyta tvarka.</w:t>
      </w:r>
    </w:p>
    <w:p w14:paraId="76DE363D" w14:textId="1EA1B862" w:rsidR="00C43D96" w:rsidRPr="00631E6C" w:rsidRDefault="00C43D96" w:rsidP="005E0055">
      <w:pPr>
        <w:pStyle w:val="ListParagraph"/>
        <w:numPr>
          <w:ilvl w:val="1"/>
          <w:numId w:val="9"/>
        </w:numPr>
        <w:pBdr>
          <w:top w:val="nil"/>
          <w:left w:val="nil"/>
          <w:bottom w:val="nil"/>
          <w:right w:val="nil"/>
          <w:between w:val="nil"/>
          <w:bar w:val="nil"/>
        </w:pBdr>
        <w:tabs>
          <w:tab w:val="left" w:pos="567"/>
          <w:tab w:val="left" w:pos="993"/>
        </w:tabs>
        <w:ind w:left="0" w:firstLine="567"/>
        <w:contextualSpacing w:val="0"/>
        <w:jc w:val="both"/>
        <w:outlineLvl w:val="0"/>
        <w:rPr>
          <w:rFonts w:asciiTheme="minorHAnsi" w:hAnsiTheme="minorHAnsi"/>
          <w:color w:val="000000" w:themeColor="text1"/>
          <w:sz w:val="21"/>
          <w:szCs w:val="21"/>
          <w:lang w:val="lt-LT" w:eastAsia="lt-LT"/>
        </w:rPr>
      </w:pPr>
      <w:r w:rsidRPr="00631E6C">
        <w:rPr>
          <w:rFonts w:asciiTheme="minorHAnsi" w:hAnsiTheme="minorHAnsi"/>
          <w:color w:val="000000" w:themeColor="text1"/>
          <w:sz w:val="21"/>
          <w:szCs w:val="21"/>
          <w:lang w:val="lt-LT" w:eastAsia="lt-LT"/>
        </w:rPr>
        <w:t>Perkamos P</w:t>
      </w:r>
      <w:r w:rsidR="00E4114C" w:rsidRPr="00631E6C">
        <w:rPr>
          <w:rFonts w:asciiTheme="minorHAnsi" w:hAnsiTheme="minorHAnsi"/>
          <w:color w:val="000000" w:themeColor="text1"/>
          <w:sz w:val="21"/>
          <w:szCs w:val="21"/>
          <w:lang w:val="lt-LT" w:eastAsia="lt-LT"/>
        </w:rPr>
        <w:t>aslaugos</w:t>
      </w:r>
      <w:r w:rsidRPr="00631E6C">
        <w:rPr>
          <w:rFonts w:asciiTheme="minorHAnsi" w:hAnsiTheme="minorHAnsi"/>
          <w:color w:val="000000" w:themeColor="text1"/>
          <w:sz w:val="21"/>
          <w:szCs w:val="21"/>
          <w:lang w:val="lt-LT" w:eastAsia="lt-LT"/>
        </w:rPr>
        <w:t xml:space="preserve"> turi atitikti</w:t>
      </w:r>
      <w:r w:rsidR="005D0CF1" w:rsidRPr="00631E6C">
        <w:rPr>
          <w:rFonts w:asciiTheme="minorHAnsi" w:hAnsiTheme="minorHAnsi"/>
          <w:color w:val="000000" w:themeColor="text1"/>
          <w:sz w:val="21"/>
          <w:szCs w:val="21"/>
          <w:lang w:val="lt-LT" w:eastAsia="lt-LT"/>
        </w:rPr>
        <w:t xml:space="preserve"> </w:t>
      </w:r>
      <w:r w:rsidR="00B62BF9">
        <w:rPr>
          <w:rFonts w:asciiTheme="minorHAnsi" w:hAnsiTheme="minorHAnsi"/>
          <w:color w:val="000000" w:themeColor="text1"/>
          <w:sz w:val="21"/>
          <w:szCs w:val="21"/>
          <w:lang w:val="lt-LT" w:eastAsia="lt-LT"/>
        </w:rPr>
        <w:t>Sutarties ___ priede „T</w:t>
      </w:r>
      <w:r w:rsidR="005D0CF1" w:rsidRPr="00631E6C">
        <w:rPr>
          <w:rFonts w:asciiTheme="minorHAnsi" w:hAnsiTheme="minorHAnsi"/>
          <w:color w:val="000000" w:themeColor="text1"/>
          <w:sz w:val="21"/>
          <w:szCs w:val="21"/>
          <w:lang w:val="lt-LT" w:eastAsia="lt-LT"/>
        </w:rPr>
        <w:t>echninė specifikacij</w:t>
      </w:r>
      <w:r w:rsidR="00B62BF9">
        <w:rPr>
          <w:rFonts w:asciiTheme="minorHAnsi" w:hAnsiTheme="minorHAnsi"/>
          <w:color w:val="000000" w:themeColor="text1"/>
          <w:sz w:val="21"/>
          <w:szCs w:val="21"/>
          <w:lang w:val="lt-LT" w:eastAsia="lt-LT"/>
        </w:rPr>
        <w:t>a“</w:t>
      </w:r>
      <w:r w:rsidR="005D0CF1" w:rsidRPr="00631E6C">
        <w:rPr>
          <w:rFonts w:asciiTheme="minorHAnsi" w:hAnsiTheme="minorHAnsi"/>
          <w:color w:val="000000" w:themeColor="text1"/>
          <w:sz w:val="21"/>
          <w:szCs w:val="21"/>
          <w:lang w:val="lt-LT" w:eastAsia="lt-LT"/>
        </w:rPr>
        <w:t xml:space="preserve"> ir P</w:t>
      </w:r>
      <w:r w:rsidRPr="00631E6C">
        <w:rPr>
          <w:rFonts w:asciiTheme="minorHAnsi" w:hAnsiTheme="minorHAnsi"/>
          <w:color w:val="000000" w:themeColor="text1"/>
          <w:sz w:val="21"/>
          <w:szCs w:val="21"/>
          <w:lang w:val="lt-LT" w:eastAsia="lt-LT"/>
        </w:rPr>
        <w:t>irkimo sąlygose nustatytus reikalavimus.</w:t>
      </w:r>
      <w:bookmarkEnd w:id="0"/>
    </w:p>
    <w:p w14:paraId="18F088B2" w14:textId="41F99242" w:rsidR="00334077" w:rsidRPr="00631E6C" w:rsidRDefault="00E4114C" w:rsidP="005E0055">
      <w:pPr>
        <w:pStyle w:val="ListParagraph"/>
        <w:numPr>
          <w:ilvl w:val="1"/>
          <w:numId w:val="9"/>
        </w:numPr>
        <w:pBdr>
          <w:top w:val="nil"/>
          <w:left w:val="nil"/>
          <w:bottom w:val="nil"/>
          <w:right w:val="nil"/>
          <w:between w:val="nil"/>
          <w:bar w:val="nil"/>
        </w:pBdr>
        <w:tabs>
          <w:tab w:val="left" w:pos="567"/>
          <w:tab w:val="left" w:pos="993"/>
        </w:tabs>
        <w:ind w:left="0" w:firstLine="567"/>
        <w:contextualSpacing w:val="0"/>
        <w:jc w:val="both"/>
        <w:outlineLvl w:val="0"/>
        <w:rPr>
          <w:rFonts w:asciiTheme="minorHAnsi" w:hAnsiTheme="minorHAnsi" w:cstheme="minorHAnsi"/>
          <w:color w:val="000000" w:themeColor="text1"/>
          <w:sz w:val="21"/>
          <w:szCs w:val="21"/>
          <w:lang w:val="lt-LT" w:eastAsia="lt-LT"/>
        </w:rPr>
      </w:pPr>
      <w:r w:rsidRPr="00631E6C">
        <w:rPr>
          <w:rFonts w:asciiTheme="minorHAnsi" w:hAnsiTheme="minorHAnsi" w:cstheme="minorHAnsi"/>
          <w:bCs/>
          <w:sz w:val="21"/>
          <w:szCs w:val="21"/>
          <w:lang w:val="lt-LT"/>
        </w:rPr>
        <w:t>Paslaugų teikėjo</w:t>
      </w:r>
      <w:r w:rsidR="00334077" w:rsidRPr="00631E6C">
        <w:rPr>
          <w:rFonts w:asciiTheme="minorHAnsi" w:hAnsiTheme="minorHAnsi" w:cstheme="minorHAnsi"/>
          <w:bCs/>
          <w:sz w:val="21"/>
          <w:szCs w:val="21"/>
          <w:lang w:val="lt-LT"/>
        </w:rPr>
        <w:t xml:space="preserve"> Pirkimui pateiktas pasiūlymas, įskaitant pasiūlymo paaiškinimus (toliau </w:t>
      </w:r>
      <w:r w:rsidR="003D5DC1" w:rsidRPr="00631E6C">
        <w:rPr>
          <w:rFonts w:asciiTheme="minorHAnsi" w:hAnsiTheme="minorHAnsi" w:cstheme="minorHAnsi"/>
          <w:bCs/>
          <w:sz w:val="21"/>
          <w:szCs w:val="21"/>
          <w:lang w:val="lt-LT"/>
        </w:rPr>
        <w:t>–</w:t>
      </w:r>
      <w:r w:rsidR="00334077" w:rsidRPr="00631E6C">
        <w:rPr>
          <w:rFonts w:asciiTheme="minorHAnsi" w:hAnsiTheme="minorHAnsi" w:cstheme="minorHAnsi"/>
          <w:bCs/>
          <w:sz w:val="21"/>
          <w:szCs w:val="21"/>
          <w:lang w:val="lt-LT"/>
        </w:rPr>
        <w:t xml:space="preserve"> Pasiūlymas), ir Pirkimo sąlygos (įskaitant Pirkimo sąlygų paaiškinimus) laikomi neatskiriamomis Sutarties dalimis. </w:t>
      </w:r>
      <w:r w:rsidRPr="00631E6C">
        <w:rPr>
          <w:rFonts w:asciiTheme="minorHAnsi" w:hAnsiTheme="minorHAnsi" w:cstheme="minorHAnsi"/>
          <w:bCs/>
          <w:sz w:val="21"/>
          <w:szCs w:val="21"/>
          <w:lang w:val="lt-LT"/>
        </w:rPr>
        <w:t>Paslaugų teikėjo</w:t>
      </w:r>
      <w:r w:rsidR="00334077" w:rsidRPr="00631E6C">
        <w:rPr>
          <w:rFonts w:asciiTheme="minorHAnsi" w:hAnsiTheme="minorHAnsi" w:cstheme="minorHAnsi"/>
          <w:bCs/>
          <w:sz w:val="21"/>
          <w:szCs w:val="21"/>
          <w:lang w:val="lt-LT"/>
        </w:rPr>
        <w:t xml:space="preserve"> Pasiūlymas ir Pirkimo sąlygos (įskaitant Pirkimo sąlygų paaiškinimus) yra saugomi Centrinėje viešųjų pirkimų informacinėje sistemoje (https://pirkimai.eviesiejipirkimai.lt) (pirkimo Nr. ___________)</w:t>
      </w:r>
    </w:p>
    <w:p w14:paraId="7D7FA071" w14:textId="24445DE1" w:rsidR="003365A3" w:rsidRPr="003365A3" w:rsidRDefault="003365A3" w:rsidP="003365A3">
      <w:pPr>
        <w:pStyle w:val="pf0"/>
        <w:numPr>
          <w:ilvl w:val="1"/>
          <w:numId w:val="9"/>
        </w:numPr>
        <w:tabs>
          <w:tab w:val="left" w:pos="993"/>
        </w:tabs>
        <w:spacing w:before="0" w:beforeAutospacing="0" w:after="0" w:afterAutospacing="0"/>
        <w:ind w:firstLine="132"/>
        <w:jc w:val="both"/>
        <w:rPr>
          <w:rFonts w:asciiTheme="minorHAnsi" w:hAnsiTheme="minorHAnsi" w:cstheme="minorHAnsi"/>
          <w:color w:val="EE0000"/>
          <w:sz w:val="21"/>
          <w:szCs w:val="21"/>
          <w:u w:val="single"/>
        </w:rPr>
      </w:pPr>
      <w:r w:rsidRPr="003365A3">
        <w:rPr>
          <w:rFonts w:asciiTheme="minorHAnsi" w:hAnsiTheme="minorHAnsi" w:cstheme="minorHAnsi"/>
          <w:color w:val="EE0000"/>
          <w:sz w:val="21"/>
          <w:szCs w:val="21"/>
          <w:u w:val="single"/>
        </w:rPr>
        <w:t>Sutarties Specialiosios dalies 5.</w:t>
      </w:r>
      <w:r w:rsidRPr="003365A3">
        <w:rPr>
          <w:rFonts w:asciiTheme="minorHAnsi" w:hAnsiTheme="minorHAnsi" w:cstheme="minorHAnsi"/>
          <w:color w:val="EE0000"/>
          <w:sz w:val="21"/>
          <w:szCs w:val="21"/>
          <w:u w:val="single"/>
        </w:rPr>
        <w:t>2</w:t>
      </w:r>
      <w:r w:rsidRPr="003365A3">
        <w:rPr>
          <w:rFonts w:asciiTheme="minorHAnsi" w:hAnsiTheme="minorHAnsi" w:cstheme="minorHAnsi"/>
          <w:color w:val="EE0000"/>
          <w:sz w:val="21"/>
          <w:szCs w:val="21"/>
          <w:u w:val="single"/>
        </w:rPr>
        <w:t xml:space="preserve"> punktas:</w:t>
      </w:r>
    </w:p>
    <w:p w14:paraId="50FD8A71" w14:textId="40F35D47" w:rsidR="00454D2B" w:rsidRPr="00B1663E" w:rsidRDefault="00BE4765" w:rsidP="003365A3">
      <w:pPr>
        <w:pStyle w:val="ListParagraph"/>
        <w:tabs>
          <w:tab w:val="left" w:pos="993"/>
        </w:tabs>
        <w:ind w:left="0" w:firstLine="567"/>
        <w:contextualSpacing w:val="0"/>
        <w:jc w:val="both"/>
        <w:rPr>
          <w:rFonts w:asciiTheme="minorHAnsi" w:hAnsiTheme="minorHAnsi" w:cstheme="minorHAnsi"/>
          <w:b/>
          <w:bCs/>
          <w:sz w:val="21"/>
          <w:szCs w:val="21"/>
          <w:lang w:val="lt-LT" w:eastAsia="lt-LT"/>
        </w:rPr>
      </w:pPr>
      <w:r w:rsidRPr="00B1663E">
        <w:rPr>
          <w:rFonts w:ascii="Calibri" w:hAnsi="Calibri" w:cs="Calibri"/>
          <w:b/>
          <w:bCs/>
          <w:kern w:val="2"/>
          <w:sz w:val="22"/>
          <w:szCs w:val="22"/>
          <w:lang w:val="lt-LT"/>
        </w:rPr>
        <w:t xml:space="preserve">Pradinės Sutarties vertė yra </w:t>
      </w:r>
      <w:r w:rsidR="00B1663E">
        <w:rPr>
          <w:rFonts w:ascii="Calibri" w:hAnsi="Calibri" w:cs="Calibri"/>
          <w:b/>
          <w:bCs/>
          <w:kern w:val="2"/>
          <w:sz w:val="22"/>
          <w:szCs w:val="22"/>
          <w:lang w:val="lt-LT"/>
        </w:rPr>
        <w:t xml:space="preserve">70 000,00 </w:t>
      </w:r>
      <w:r w:rsidRPr="00B1663E">
        <w:rPr>
          <w:rFonts w:ascii="Calibri" w:hAnsi="Calibri" w:cs="Calibri"/>
          <w:b/>
          <w:bCs/>
          <w:kern w:val="2"/>
          <w:sz w:val="22"/>
          <w:szCs w:val="22"/>
          <w:lang w:val="lt-LT"/>
        </w:rPr>
        <w:t>(</w:t>
      </w:r>
      <w:r w:rsidR="00B1663E">
        <w:rPr>
          <w:rFonts w:ascii="Calibri" w:hAnsi="Calibri" w:cs="Calibri"/>
          <w:b/>
          <w:bCs/>
          <w:kern w:val="2"/>
          <w:sz w:val="22"/>
          <w:szCs w:val="22"/>
          <w:lang w:val="lt-LT"/>
        </w:rPr>
        <w:t>septyniasdešimt tūkstančių</w:t>
      </w:r>
      <w:r w:rsidRPr="00B1663E">
        <w:rPr>
          <w:rFonts w:ascii="Calibri" w:hAnsi="Calibri" w:cs="Calibri"/>
          <w:b/>
          <w:bCs/>
          <w:kern w:val="2"/>
          <w:sz w:val="22"/>
          <w:szCs w:val="22"/>
          <w:lang w:val="lt-LT"/>
        </w:rPr>
        <w:t xml:space="preserve">) Eur be PVM. PVM </w:t>
      </w:r>
      <w:r w:rsidR="00B1663E">
        <w:rPr>
          <w:rFonts w:ascii="Calibri" w:hAnsi="Calibri" w:cs="Calibri"/>
          <w:b/>
          <w:bCs/>
          <w:kern w:val="2"/>
          <w:sz w:val="22"/>
          <w:szCs w:val="22"/>
          <w:lang w:val="lt-LT"/>
        </w:rPr>
        <w:t>netaikomas</w:t>
      </w:r>
      <w:r w:rsidRPr="00B1663E">
        <w:rPr>
          <w:rFonts w:ascii="Calibri" w:hAnsi="Calibri" w:cs="Calibri"/>
          <w:b/>
          <w:bCs/>
          <w:kern w:val="2"/>
          <w:sz w:val="22"/>
          <w:szCs w:val="22"/>
          <w:lang w:val="lt-LT"/>
        </w:rPr>
        <w:t xml:space="preserve">. </w:t>
      </w:r>
      <w:r w:rsidR="00B1663E" w:rsidRPr="00B1663E">
        <w:rPr>
          <w:rFonts w:ascii="Calibri" w:hAnsi="Calibri" w:cs="Calibri"/>
          <w:b/>
          <w:bCs/>
          <w:sz w:val="22"/>
          <w:szCs w:val="22"/>
          <w:lang w:val="lt-LT"/>
        </w:rPr>
        <w:t>Draudimo apsaugos laikotarpio 12 mėnesių Draudimo įmoka iki Sutart</w:t>
      </w:r>
      <w:r w:rsidR="00B1663E">
        <w:rPr>
          <w:rFonts w:ascii="Calibri" w:hAnsi="Calibri" w:cs="Calibri"/>
          <w:b/>
          <w:bCs/>
          <w:sz w:val="22"/>
          <w:szCs w:val="22"/>
          <w:lang w:val="lt-LT"/>
        </w:rPr>
        <w:t xml:space="preserve">ies </w:t>
      </w:r>
      <w:r w:rsidR="00B1663E" w:rsidRPr="00B1663E">
        <w:rPr>
          <w:rFonts w:ascii="Calibri" w:hAnsi="Calibri" w:cs="Calibri"/>
          <w:b/>
          <w:bCs/>
          <w:sz w:val="22"/>
          <w:szCs w:val="22"/>
          <w:lang w:val="lt-LT"/>
        </w:rPr>
        <w:t>5.4 punkte ir jos 1 priedo 3.18 punkte numatyto perskaičiavimo – _____ eurų (________ eurų ___ ct) be PVM</w:t>
      </w:r>
      <w:r w:rsidR="00B1663E" w:rsidRPr="00B1663E">
        <w:rPr>
          <w:rFonts w:ascii="Calibri" w:hAnsi="Calibri" w:cs="Calibri"/>
          <w:bCs/>
          <w:sz w:val="22"/>
          <w:szCs w:val="22"/>
          <w:lang w:val="lt-LT"/>
        </w:rPr>
        <w:t>.</w:t>
      </w:r>
      <w:r w:rsidRPr="00B1663E">
        <w:rPr>
          <w:rFonts w:ascii="Calibri" w:hAnsi="Calibri" w:cs="Calibri"/>
          <w:kern w:val="2"/>
          <w:sz w:val="22"/>
          <w:szCs w:val="22"/>
          <w:lang w:val="lt-LT"/>
        </w:rPr>
        <w:t xml:space="preserve"> Šioje </w:t>
      </w:r>
      <w:r w:rsidR="00B1663E" w:rsidRPr="00B1663E">
        <w:rPr>
          <w:rFonts w:ascii="Calibri" w:hAnsi="Calibri" w:cs="Calibri"/>
          <w:color w:val="000000"/>
          <w:kern w:val="2"/>
          <w:sz w:val="22"/>
          <w:szCs w:val="22"/>
          <w:lang w:val="lt-LT"/>
        </w:rPr>
        <w:t xml:space="preserve">Sutartyje Pradinės Sutarties vertė yra lygi </w:t>
      </w:r>
      <w:r w:rsidR="00B1663E" w:rsidRPr="00B1663E">
        <w:rPr>
          <w:rFonts w:ascii="Calibri" w:hAnsi="Calibri" w:cs="Calibri"/>
          <w:b/>
          <w:color w:val="000000"/>
          <w:kern w:val="2"/>
          <w:sz w:val="22"/>
          <w:szCs w:val="22"/>
          <w:lang w:val="lt-LT"/>
        </w:rPr>
        <w:t xml:space="preserve">maksimaliai pirkimui skirtai lėšų sumai be PVM </w:t>
      </w:r>
      <w:r w:rsidR="00B1663E" w:rsidRPr="00B1663E">
        <w:rPr>
          <w:rFonts w:ascii="Calibri" w:hAnsi="Calibri" w:cs="Calibri"/>
          <w:color w:val="000000"/>
          <w:kern w:val="2"/>
          <w:sz w:val="22"/>
          <w:szCs w:val="22"/>
          <w:lang w:val="lt-LT"/>
        </w:rPr>
        <w:t xml:space="preserve">pirkimo dokumentuose ir Sutartyje nurodytų </w:t>
      </w:r>
      <w:r w:rsidR="00B1663E" w:rsidRPr="00B1663E">
        <w:rPr>
          <w:rFonts w:ascii="Calibri" w:hAnsi="Calibri" w:cs="Calibri"/>
          <w:color w:val="000000"/>
          <w:sz w:val="22"/>
          <w:szCs w:val="22"/>
          <w:lang w:val="lt-LT"/>
        </w:rPr>
        <w:t xml:space="preserve">Paslaugų </w:t>
      </w:r>
      <w:r w:rsidR="00B1663E" w:rsidRPr="00B1663E">
        <w:rPr>
          <w:rFonts w:ascii="Calibri" w:hAnsi="Calibri" w:cs="Calibri"/>
          <w:color w:val="000000"/>
          <w:kern w:val="2"/>
          <w:sz w:val="22"/>
          <w:szCs w:val="22"/>
          <w:lang w:val="lt-LT"/>
        </w:rPr>
        <w:t>įsigijimui Tiekėjo pasiūlyme nurodytais įkainiais be PVM.</w:t>
      </w:r>
      <w:r w:rsidRPr="00B1663E">
        <w:rPr>
          <w:rFonts w:ascii="Calibri" w:hAnsi="Calibri" w:cs="Calibri"/>
          <w:kern w:val="2"/>
          <w:sz w:val="22"/>
          <w:szCs w:val="22"/>
          <w:lang w:val="lt-LT"/>
        </w:rPr>
        <w:t xml:space="preserve"> </w:t>
      </w:r>
      <w:r w:rsidR="00E4114C" w:rsidRPr="00B1663E">
        <w:rPr>
          <w:rFonts w:asciiTheme="minorHAnsi" w:hAnsiTheme="minorHAnsi" w:cstheme="minorHAnsi"/>
          <w:bCs/>
          <w:sz w:val="22"/>
          <w:szCs w:val="22"/>
          <w:lang w:val="lt-LT"/>
        </w:rPr>
        <w:t>Paslaugų teikėjas</w:t>
      </w:r>
      <w:r w:rsidR="003E6DD7" w:rsidRPr="00BE4765">
        <w:rPr>
          <w:rFonts w:asciiTheme="minorHAnsi" w:hAnsiTheme="minorHAnsi" w:cstheme="minorHAnsi"/>
          <w:bCs/>
          <w:sz w:val="21"/>
          <w:szCs w:val="21"/>
          <w:lang w:val="lt-LT"/>
        </w:rPr>
        <w:t xml:space="preserve"> visas galimas išlaidas įskaičiuoja į P</w:t>
      </w:r>
      <w:r w:rsidR="00E4114C" w:rsidRPr="00BE4765">
        <w:rPr>
          <w:rFonts w:asciiTheme="minorHAnsi" w:hAnsiTheme="minorHAnsi" w:cstheme="minorHAnsi"/>
          <w:bCs/>
          <w:sz w:val="21"/>
          <w:szCs w:val="21"/>
          <w:lang w:val="lt-LT"/>
        </w:rPr>
        <w:t>aslaugų</w:t>
      </w:r>
      <w:r w:rsidR="003E6DD7" w:rsidRPr="00BE4765">
        <w:rPr>
          <w:rFonts w:asciiTheme="minorHAnsi" w:hAnsiTheme="minorHAnsi" w:cstheme="minorHAnsi"/>
          <w:bCs/>
          <w:sz w:val="21"/>
          <w:szCs w:val="21"/>
          <w:lang w:val="lt-LT"/>
        </w:rPr>
        <w:t xml:space="preserve"> kainą. </w:t>
      </w:r>
      <w:r w:rsidR="00583F19" w:rsidRPr="00BE4765">
        <w:rPr>
          <w:rFonts w:asciiTheme="minorHAnsi" w:hAnsiTheme="minorHAnsi" w:cstheme="minorHAnsi"/>
          <w:bCs/>
          <w:sz w:val="21"/>
          <w:szCs w:val="21"/>
          <w:lang w:val="lt-LT"/>
        </w:rPr>
        <w:t>Į s</w:t>
      </w:r>
      <w:r w:rsidR="003E6DD7" w:rsidRPr="00BE4765">
        <w:rPr>
          <w:rFonts w:asciiTheme="minorHAnsi" w:hAnsiTheme="minorHAnsi" w:cstheme="minorHAnsi"/>
          <w:bCs/>
          <w:sz w:val="21"/>
          <w:szCs w:val="21"/>
          <w:lang w:val="lt-LT"/>
        </w:rPr>
        <w:t>iūlom</w:t>
      </w:r>
      <w:r w:rsidR="00583F19" w:rsidRPr="00BE4765">
        <w:rPr>
          <w:rFonts w:asciiTheme="minorHAnsi" w:hAnsiTheme="minorHAnsi" w:cstheme="minorHAnsi"/>
          <w:bCs/>
          <w:sz w:val="21"/>
          <w:szCs w:val="21"/>
          <w:lang w:val="lt-LT"/>
        </w:rPr>
        <w:t>ą</w:t>
      </w:r>
      <w:r w:rsidR="003E6DD7" w:rsidRPr="00BE4765">
        <w:rPr>
          <w:rFonts w:asciiTheme="minorHAnsi" w:hAnsiTheme="minorHAnsi" w:cstheme="minorHAnsi"/>
          <w:bCs/>
          <w:sz w:val="21"/>
          <w:szCs w:val="21"/>
          <w:lang w:val="lt-LT"/>
        </w:rPr>
        <w:t xml:space="preserve"> kain</w:t>
      </w:r>
      <w:r w:rsidR="00583F19" w:rsidRPr="00BE4765">
        <w:rPr>
          <w:rFonts w:asciiTheme="minorHAnsi" w:hAnsiTheme="minorHAnsi" w:cstheme="minorHAnsi"/>
          <w:bCs/>
          <w:sz w:val="21"/>
          <w:szCs w:val="21"/>
          <w:lang w:val="lt-LT"/>
        </w:rPr>
        <w:t>ą</w:t>
      </w:r>
      <w:r w:rsidR="003E6DD7" w:rsidRPr="00BE4765">
        <w:rPr>
          <w:rFonts w:asciiTheme="minorHAnsi" w:hAnsiTheme="minorHAnsi" w:cstheme="minorHAnsi"/>
          <w:bCs/>
          <w:sz w:val="21"/>
          <w:szCs w:val="21"/>
          <w:lang w:val="lt-LT"/>
        </w:rPr>
        <w:t xml:space="preserve"> turi būti įskaičiuotos visos </w:t>
      </w:r>
      <w:r w:rsidR="00E4114C" w:rsidRPr="00BE4765">
        <w:rPr>
          <w:rFonts w:asciiTheme="minorHAnsi" w:hAnsiTheme="minorHAnsi" w:cstheme="minorHAnsi"/>
          <w:bCs/>
          <w:sz w:val="21"/>
          <w:szCs w:val="21"/>
          <w:lang w:val="lt-LT"/>
        </w:rPr>
        <w:t>Paslaugų teikėjo</w:t>
      </w:r>
      <w:r w:rsidR="003E6DD7" w:rsidRPr="00BE4765">
        <w:rPr>
          <w:rFonts w:asciiTheme="minorHAnsi" w:hAnsiTheme="minorHAnsi" w:cstheme="minorHAnsi"/>
          <w:bCs/>
          <w:sz w:val="21"/>
          <w:szCs w:val="21"/>
          <w:lang w:val="lt-LT"/>
        </w:rPr>
        <w:t xml:space="preserve"> išlaidos ir mokėtini mokesčiai, būtini tinkamam Sutarties įvykdymui. </w:t>
      </w:r>
      <w:r w:rsidRPr="00BE4765">
        <w:rPr>
          <w:rFonts w:ascii="Calibri" w:hAnsi="Calibri" w:cs="Calibri"/>
          <w:b/>
          <w:bCs/>
          <w:sz w:val="22"/>
          <w:szCs w:val="22"/>
          <w:lang w:val="lt-LT"/>
        </w:rPr>
        <w:t xml:space="preserve">Paslaugų teikėjo pasiūlyta draudiminė apsauga taikoma ir šios sutarties </w:t>
      </w:r>
      <w:r>
        <w:rPr>
          <w:rFonts w:ascii="Calibri" w:hAnsi="Calibri" w:cs="Calibri"/>
          <w:b/>
          <w:bCs/>
          <w:sz w:val="22"/>
          <w:szCs w:val="22"/>
        </w:rPr>
        <w:t>1</w:t>
      </w:r>
      <w:r w:rsidRPr="00BE4765">
        <w:rPr>
          <w:rFonts w:ascii="Calibri" w:hAnsi="Calibri" w:cs="Calibri"/>
          <w:b/>
          <w:bCs/>
          <w:sz w:val="22"/>
          <w:szCs w:val="22"/>
          <w:lang w:val="lt-LT"/>
        </w:rPr>
        <w:t xml:space="preserve"> priede nurodyto turto draudimo termino metu atsiradusiam naujam </w:t>
      </w:r>
      <w:r w:rsidR="002F0C15">
        <w:rPr>
          <w:rFonts w:ascii="Calibri" w:hAnsi="Calibri" w:cs="Calibri"/>
          <w:b/>
          <w:bCs/>
          <w:sz w:val="22"/>
          <w:szCs w:val="22"/>
          <w:lang w:val="lt-LT"/>
        </w:rPr>
        <w:t>Pirkėjo</w:t>
      </w:r>
      <w:r w:rsidRPr="00BE4765">
        <w:rPr>
          <w:rFonts w:ascii="Calibri" w:hAnsi="Calibri" w:cs="Calibri"/>
          <w:b/>
          <w:bCs/>
          <w:sz w:val="22"/>
          <w:szCs w:val="22"/>
          <w:lang w:val="lt-LT"/>
        </w:rPr>
        <w:t xml:space="preserve"> nusipirktam ar </w:t>
      </w:r>
      <w:r w:rsidRPr="00AB71BE">
        <w:rPr>
          <w:rFonts w:ascii="Calibri" w:hAnsi="Calibri" w:cs="Calibri"/>
          <w:b/>
          <w:bCs/>
          <w:sz w:val="22"/>
          <w:szCs w:val="22"/>
          <w:lang w:val="lt-LT"/>
        </w:rPr>
        <w:t>kitais pagrindais įsigytam turtui nuo faktinės jo įsigijimo dienos.</w:t>
      </w:r>
      <w:r w:rsidRPr="00AB71BE">
        <w:rPr>
          <w:b/>
          <w:bCs/>
          <w:lang w:val="lt-LT"/>
        </w:rPr>
        <w:t xml:space="preserve"> </w:t>
      </w:r>
      <w:r w:rsidRPr="00AB71BE">
        <w:rPr>
          <w:rFonts w:ascii="Calibri" w:hAnsi="Calibri" w:cs="Calibri"/>
          <w:b/>
          <w:bCs/>
          <w:sz w:val="22"/>
          <w:szCs w:val="22"/>
          <w:lang w:val="lt-LT"/>
        </w:rPr>
        <w:t xml:space="preserve">(Draudimo įmoka atitinkamai perskaičiuojama </w:t>
      </w:r>
      <w:r w:rsidR="00AB71BE" w:rsidRPr="00AB71BE">
        <w:rPr>
          <w:rFonts w:ascii="Calibri" w:hAnsi="Calibri" w:cs="Calibri"/>
          <w:b/>
          <w:bCs/>
          <w:sz w:val="22"/>
          <w:szCs w:val="22"/>
          <w:lang w:val="lt-LT"/>
        </w:rPr>
        <w:t xml:space="preserve">Sutarties 5.4 punkte ir jos </w:t>
      </w:r>
      <w:r w:rsidRPr="00AB71BE">
        <w:rPr>
          <w:rFonts w:ascii="Calibri" w:hAnsi="Calibri" w:cs="Calibri"/>
          <w:b/>
          <w:bCs/>
          <w:sz w:val="22"/>
          <w:szCs w:val="22"/>
          <w:lang w:val="lt-LT"/>
        </w:rPr>
        <w:t>1 priedo (</w:t>
      </w:r>
      <w:r w:rsidRPr="00BE4765">
        <w:rPr>
          <w:rFonts w:ascii="Calibri" w:hAnsi="Calibri" w:cs="Calibri"/>
          <w:b/>
          <w:bCs/>
          <w:sz w:val="22"/>
          <w:szCs w:val="22"/>
          <w:lang w:val="lt-LT"/>
        </w:rPr>
        <w:t>Techninės specifikacijos) 3.18 punkte numatyta tvarka.</w:t>
      </w:r>
    </w:p>
    <w:p w14:paraId="1D2DE8F1" w14:textId="439A7C91" w:rsidR="00B1663E" w:rsidRPr="00B1663E" w:rsidRDefault="00B1663E" w:rsidP="00BE4765">
      <w:pPr>
        <w:pStyle w:val="ListParagraph"/>
        <w:numPr>
          <w:ilvl w:val="1"/>
          <w:numId w:val="9"/>
        </w:numPr>
        <w:tabs>
          <w:tab w:val="left" w:pos="993"/>
        </w:tabs>
        <w:ind w:left="0" w:firstLine="567"/>
        <w:contextualSpacing w:val="0"/>
        <w:jc w:val="both"/>
        <w:rPr>
          <w:rFonts w:asciiTheme="minorHAnsi" w:hAnsiTheme="minorHAnsi" w:cstheme="minorHAnsi"/>
          <w:b/>
          <w:bCs/>
          <w:sz w:val="21"/>
          <w:szCs w:val="21"/>
          <w:lang w:val="lt-LT" w:eastAsia="lt-LT"/>
        </w:rPr>
      </w:pPr>
      <w:r w:rsidRPr="00B1663E">
        <w:rPr>
          <w:rFonts w:ascii="Calibri" w:hAnsi="Calibri" w:cs="Calibri"/>
          <w:color w:val="000000"/>
          <w:sz w:val="22"/>
          <w:szCs w:val="22"/>
          <w:lang w:val="lt-LT"/>
        </w:rPr>
        <w:t>Besąlyginės išskaitos (Franšizės) taikymo ir kitos sąlygos nurodytos Sutarties 1 priede</w:t>
      </w:r>
      <w:r>
        <w:rPr>
          <w:rFonts w:ascii="Calibri" w:hAnsi="Calibri" w:cs="Calibri"/>
          <w:color w:val="000000"/>
          <w:sz w:val="22"/>
          <w:szCs w:val="22"/>
          <w:lang w:val="lt-LT"/>
        </w:rPr>
        <w:t>.</w:t>
      </w:r>
    </w:p>
    <w:p w14:paraId="0D831C27" w14:textId="104076B2" w:rsidR="00156C5A" w:rsidRPr="00631E6C" w:rsidRDefault="00063ABF" w:rsidP="00156C5A">
      <w:pPr>
        <w:pStyle w:val="pf0"/>
        <w:numPr>
          <w:ilvl w:val="1"/>
          <w:numId w:val="9"/>
        </w:numPr>
        <w:tabs>
          <w:tab w:val="left" w:pos="993"/>
        </w:tabs>
        <w:spacing w:before="0" w:beforeAutospacing="0" w:after="0" w:afterAutospacing="0"/>
        <w:ind w:left="0" w:firstLine="567"/>
        <w:jc w:val="both"/>
        <w:rPr>
          <w:rStyle w:val="cf11"/>
          <w:rFonts w:asciiTheme="minorHAnsi" w:hAnsiTheme="minorHAnsi" w:cstheme="minorHAnsi"/>
          <w:i w:val="0"/>
          <w:iCs w:val="0"/>
          <w:sz w:val="21"/>
          <w:szCs w:val="21"/>
        </w:rPr>
      </w:pPr>
      <w:r w:rsidRPr="00631E6C">
        <w:rPr>
          <w:rFonts w:asciiTheme="minorHAnsi" w:hAnsiTheme="minorHAnsi" w:cstheme="minorHAnsi"/>
          <w:sz w:val="21"/>
          <w:szCs w:val="21"/>
        </w:rPr>
        <w:t>Vadovaujantis Kainodaros metodika, taikomas kainos apskaičiavimo būdas – fiksuota</w:t>
      </w:r>
      <w:r w:rsidR="00B1663E">
        <w:rPr>
          <w:rFonts w:asciiTheme="minorHAnsi" w:hAnsiTheme="minorHAnsi" w:cstheme="minorHAnsi"/>
          <w:sz w:val="21"/>
          <w:szCs w:val="21"/>
        </w:rPr>
        <w:t>s</w:t>
      </w:r>
      <w:r w:rsidRPr="00631E6C">
        <w:rPr>
          <w:rFonts w:asciiTheme="minorHAnsi" w:hAnsiTheme="minorHAnsi" w:cstheme="minorHAnsi"/>
          <w:sz w:val="21"/>
          <w:szCs w:val="21"/>
        </w:rPr>
        <w:t xml:space="preserve"> </w:t>
      </w:r>
      <w:r w:rsidR="00B1663E">
        <w:rPr>
          <w:rFonts w:asciiTheme="minorHAnsi" w:hAnsiTheme="minorHAnsi" w:cstheme="minorHAnsi"/>
          <w:sz w:val="21"/>
          <w:szCs w:val="21"/>
        </w:rPr>
        <w:t>į</w:t>
      </w:r>
      <w:r w:rsidRPr="00631E6C">
        <w:rPr>
          <w:rFonts w:asciiTheme="minorHAnsi" w:hAnsiTheme="minorHAnsi" w:cstheme="minorHAnsi"/>
          <w:sz w:val="21"/>
          <w:szCs w:val="21"/>
        </w:rPr>
        <w:t>kain</w:t>
      </w:r>
      <w:r w:rsidR="00B1663E">
        <w:rPr>
          <w:rFonts w:asciiTheme="minorHAnsi" w:hAnsiTheme="minorHAnsi" w:cstheme="minorHAnsi"/>
          <w:sz w:val="21"/>
          <w:szCs w:val="21"/>
        </w:rPr>
        <w:t>is</w:t>
      </w:r>
      <w:r w:rsidRPr="00631E6C">
        <w:rPr>
          <w:rFonts w:asciiTheme="minorHAnsi" w:hAnsiTheme="minorHAnsi" w:cstheme="minorHAnsi"/>
          <w:sz w:val="21"/>
          <w:szCs w:val="21"/>
        </w:rPr>
        <w:t xml:space="preserve">. Visos </w:t>
      </w:r>
      <w:r w:rsidR="008D3EE5" w:rsidRPr="00631E6C">
        <w:rPr>
          <w:rFonts w:asciiTheme="minorHAnsi" w:hAnsiTheme="minorHAnsi" w:cstheme="minorHAnsi"/>
          <w:sz w:val="21"/>
          <w:szCs w:val="21"/>
        </w:rPr>
        <w:t>Paslaugų teikėjo</w:t>
      </w:r>
      <w:r w:rsidRPr="00631E6C">
        <w:rPr>
          <w:rFonts w:asciiTheme="minorHAnsi" w:hAnsiTheme="minorHAnsi" w:cstheme="minorHAnsi"/>
          <w:sz w:val="21"/>
          <w:szCs w:val="21"/>
        </w:rPr>
        <w:t xml:space="preserve"> išlaidos, susijusios su </w:t>
      </w:r>
      <w:r w:rsidR="00BF52F8">
        <w:rPr>
          <w:rFonts w:asciiTheme="minorHAnsi" w:hAnsiTheme="minorHAnsi" w:cstheme="minorHAnsi"/>
          <w:sz w:val="21"/>
          <w:szCs w:val="21"/>
        </w:rPr>
        <w:t>S</w:t>
      </w:r>
      <w:r w:rsidRPr="00631E6C">
        <w:rPr>
          <w:rFonts w:asciiTheme="minorHAnsi" w:hAnsiTheme="minorHAnsi" w:cstheme="minorHAnsi"/>
          <w:sz w:val="21"/>
          <w:szCs w:val="21"/>
        </w:rPr>
        <w:t xml:space="preserve">utarties vykdymu, turi būti įskaičiuotos į kainą. Taip pat </w:t>
      </w:r>
      <w:r w:rsidR="00156C5A" w:rsidRPr="00631E6C">
        <w:rPr>
          <w:rStyle w:val="cf01"/>
          <w:rFonts w:asciiTheme="minorHAnsi" w:hAnsiTheme="minorHAnsi" w:cstheme="minorHAnsi"/>
          <w:i w:val="0"/>
          <w:iCs w:val="0"/>
          <w:sz w:val="21"/>
          <w:szCs w:val="21"/>
        </w:rPr>
        <w:t xml:space="preserve">turi būti įskaičiuoti sąskaitų teikimo VPĮ </w:t>
      </w:r>
      <w:r w:rsidR="00156C5A" w:rsidRPr="00631E6C">
        <w:rPr>
          <w:rStyle w:val="cf11"/>
          <w:rFonts w:asciiTheme="minorHAnsi" w:hAnsiTheme="minorHAnsi" w:cstheme="minorHAnsi"/>
          <w:i w:val="0"/>
          <w:iCs w:val="0"/>
          <w:sz w:val="21"/>
          <w:szCs w:val="21"/>
        </w:rPr>
        <w:t>22 str. 3 dalyje nustatyta tvarka kaštai.</w:t>
      </w:r>
    </w:p>
    <w:p w14:paraId="7AA8A102" w14:textId="130EF7B6" w:rsidR="00773EF4" w:rsidRDefault="00063ABF" w:rsidP="00E969D2">
      <w:pPr>
        <w:pStyle w:val="pf0"/>
        <w:numPr>
          <w:ilvl w:val="1"/>
          <w:numId w:val="9"/>
        </w:numPr>
        <w:tabs>
          <w:tab w:val="left" w:pos="993"/>
        </w:tabs>
        <w:spacing w:before="0" w:beforeAutospacing="0" w:after="0" w:afterAutospacing="0"/>
        <w:ind w:left="0" w:firstLine="567"/>
        <w:jc w:val="both"/>
        <w:rPr>
          <w:rFonts w:asciiTheme="minorHAnsi" w:hAnsiTheme="minorHAnsi" w:cstheme="minorHAnsi"/>
          <w:sz w:val="21"/>
          <w:szCs w:val="21"/>
        </w:rPr>
      </w:pPr>
      <w:r w:rsidRPr="00631E6C">
        <w:rPr>
          <w:rFonts w:asciiTheme="minorHAnsi" w:hAnsiTheme="minorHAnsi" w:cstheme="minorHAnsi"/>
          <w:sz w:val="21"/>
          <w:szCs w:val="21"/>
        </w:rPr>
        <w:t xml:space="preserve">Sutarties </w:t>
      </w:r>
      <w:r w:rsidR="001D04F3">
        <w:rPr>
          <w:rFonts w:asciiTheme="minorHAnsi" w:hAnsiTheme="minorHAnsi" w:cstheme="minorHAnsi"/>
          <w:sz w:val="21"/>
          <w:szCs w:val="21"/>
        </w:rPr>
        <w:t>į</w:t>
      </w:r>
      <w:r w:rsidRPr="00631E6C">
        <w:rPr>
          <w:rFonts w:asciiTheme="minorHAnsi" w:hAnsiTheme="minorHAnsi" w:cstheme="minorHAnsi"/>
          <w:sz w:val="21"/>
          <w:szCs w:val="21"/>
        </w:rPr>
        <w:t>kain</w:t>
      </w:r>
      <w:r w:rsidR="001D04F3">
        <w:rPr>
          <w:rFonts w:asciiTheme="minorHAnsi" w:hAnsiTheme="minorHAnsi" w:cstheme="minorHAnsi"/>
          <w:sz w:val="21"/>
          <w:szCs w:val="21"/>
        </w:rPr>
        <w:t>i</w:t>
      </w:r>
      <w:r w:rsidR="00BE4765">
        <w:rPr>
          <w:rFonts w:asciiTheme="minorHAnsi" w:hAnsiTheme="minorHAnsi" w:cstheme="minorHAnsi"/>
          <w:sz w:val="21"/>
          <w:szCs w:val="21"/>
        </w:rPr>
        <w:t>a</w:t>
      </w:r>
      <w:r w:rsidR="001D04F3">
        <w:rPr>
          <w:rFonts w:asciiTheme="minorHAnsi" w:hAnsiTheme="minorHAnsi" w:cstheme="minorHAnsi"/>
          <w:sz w:val="21"/>
          <w:szCs w:val="21"/>
        </w:rPr>
        <w:t>i</w:t>
      </w:r>
      <w:r w:rsidRPr="00631E6C">
        <w:rPr>
          <w:rFonts w:asciiTheme="minorHAnsi" w:hAnsiTheme="minorHAnsi" w:cstheme="minorHAnsi"/>
          <w:sz w:val="21"/>
          <w:szCs w:val="21"/>
        </w:rPr>
        <w:t xml:space="preserve"> yra fiksuot</w:t>
      </w:r>
      <w:r w:rsidR="001D04F3">
        <w:rPr>
          <w:rFonts w:asciiTheme="minorHAnsi" w:hAnsiTheme="minorHAnsi" w:cstheme="minorHAnsi"/>
          <w:sz w:val="21"/>
          <w:szCs w:val="21"/>
        </w:rPr>
        <w:t>i</w:t>
      </w:r>
      <w:r w:rsidRPr="00631E6C">
        <w:rPr>
          <w:rFonts w:asciiTheme="minorHAnsi" w:hAnsiTheme="minorHAnsi" w:cstheme="minorHAnsi"/>
          <w:sz w:val="21"/>
          <w:szCs w:val="21"/>
        </w:rPr>
        <w:t xml:space="preserve"> ir nekeičiam</w:t>
      </w:r>
      <w:r w:rsidR="001D04F3">
        <w:rPr>
          <w:rFonts w:asciiTheme="minorHAnsi" w:hAnsiTheme="minorHAnsi" w:cstheme="minorHAnsi"/>
          <w:sz w:val="21"/>
          <w:szCs w:val="21"/>
        </w:rPr>
        <w:t>i</w:t>
      </w:r>
      <w:r w:rsidRPr="00631E6C">
        <w:rPr>
          <w:rFonts w:asciiTheme="minorHAnsi" w:hAnsiTheme="minorHAnsi" w:cstheme="minorHAnsi"/>
          <w:sz w:val="21"/>
          <w:szCs w:val="21"/>
        </w:rPr>
        <w:t xml:space="preserve"> visą sutarties galiojimo laikotarpį, išskyrus atvejus, kai</w:t>
      </w:r>
      <w:r w:rsidR="00D3786F" w:rsidRPr="00631E6C">
        <w:rPr>
          <w:rFonts w:asciiTheme="minorHAnsi" w:hAnsiTheme="minorHAnsi" w:cstheme="minorHAnsi"/>
          <w:sz w:val="21"/>
          <w:szCs w:val="21"/>
        </w:rPr>
        <w:t xml:space="preserve">: a) </w:t>
      </w:r>
      <w:r w:rsidRPr="00631E6C">
        <w:rPr>
          <w:rFonts w:asciiTheme="minorHAnsi" w:hAnsiTheme="minorHAnsi" w:cstheme="minorHAnsi"/>
          <w:sz w:val="21"/>
          <w:szCs w:val="21"/>
        </w:rPr>
        <w:t xml:space="preserve"> po Sutarties pasirašymo keičiasi P</w:t>
      </w:r>
      <w:r w:rsidR="00773EF4">
        <w:rPr>
          <w:rFonts w:asciiTheme="minorHAnsi" w:hAnsiTheme="minorHAnsi" w:cstheme="minorHAnsi"/>
          <w:sz w:val="21"/>
          <w:szCs w:val="21"/>
        </w:rPr>
        <w:t>aslaugoms</w:t>
      </w:r>
      <w:r w:rsidRPr="00631E6C">
        <w:rPr>
          <w:rFonts w:asciiTheme="minorHAnsi" w:hAnsiTheme="minorHAnsi" w:cstheme="minorHAnsi"/>
          <w:sz w:val="21"/>
          <w:szCs w:val="21"/>
        </w:rPr>
        <w:t xml:space="preserve"> taikomas PVM</w:t>
      </w:r>
      <w:r w:rsidR="00D3786F" w:rsidRPr="00631E6C">
        <w:rPr>
          <w:rFonts w:asciiTheme="minorHAnsi" w:hAnsiTheme="minorHAnsi" w:cstheme="minorHAnsi"/>
          <w:sz w:val="21"/>
          <w:szCs w:val="21"/>
        </w:rPr>
        <w:t xml:space="preserve"> </w:t>
      </w:r>
      <w:r w:rsidR="00D3786F" w:rsidRPr="0058627C">
        <w:rPr>
          <w:rFonts w:asciiTheme="minorHAnsi" w:hAnsiTheme="minorHAnsi" w:cstheme="minorHAnsi"/>
          <w:sz w:val="21"/>
          <w:szCs w:val="21"/>
        </w:rPr>
        <w:t>tarifas; b) kain</w:t>
      </w:r>
      <w:r w:rsidR="00BE4765">
        <w:rPr>
          <w:rFonts w:asciiTheme="minorHAnsi" w:hAnsiTheme="minorHAnsi" w:cstheme="minorHAnsi"/>
          <w:sz w:val="21"/>
          <w:szCs w:val="21"/>
        </w:rPr>
        <w:t>a</w:t>
      </w:r>
      <w:r w:rsidR="00D3786F" w:rsidRPr="0058627C">
        <w:rPr>
          <w:rFonts w:asciiTheme="minorHAnsi" w:hAnsiTheme="minorHAnsi" w:cstheme="minorHAnsi"/>
          <w:sz w:val="21"/>
          <w:szCs w:val="21"/>
        </w:rPr>
        <w:t xml:space="preserve"> gali būti perskaičiuojam</w:t>
      </w:r>
      <w:r w:rsidR="00BE4765">
        <w:rPr>
          <w:rFonts w:asciiTheme="minorHAnsi" w:hAnsiTheme="minorHAnsi" w:cstheme="minorHAnsi"/>
          <w:sz w:val="21"/>
          <w:szCs w:val="21"/>
        </w:rPr>
        <w:t>a</w:t>
      </w:r>
      <w:r w:rsidR="00D3786F" w:rsidRPr="0058627C">
        <w:rPr>
          <w:rFonts w:asciiTheme="minorHAnsi" w:hAnsiTheme="minorHAnsi" w:cstheme="minorHAnsi"/>
          <w:sz w:val="21"/>
          <w:szCs w:val="21"/>
        </w:rPr>
        <w:t xml:space="preserve"> </w:t>
      </w:r>
      <w:r w:rsidR="00D3786F" w:rsidRPr="0058627C">
        <w:rPr>
          <w:rFonts w:asciiTheme="minorHAnsi" w:hAnsiTheme="minorHAnsi" w:cstheme="minorHAnsi"/>
          <w:kern w:val="2"/>
          <w:sz w:val="21"/>
          <w:szCs w:val="21"/>
        </w:rPr>
        <w:t>dėl kainų lygio pokyčio</w:t>
      </w:r>
      <w:r w:rsidR="001D04F3">
        <w:rPr>
          <w:rFonts w:asciiTheme="minorHAnsi" w:hAnsiTheme="minorHAnsi" w:cstheme="minorHAnsi"/>
          <w:kern w:val="2"/>
          <w:sz w:val="21"/>
          <w:szCs w:val="21"/>
        </w:rPr>
        <w:t xml:space="preserve">; c) </w:t>
      </w:r>
      <w:r w:rsidR="002F0C15">
        <w:rPr>
          <w:rFonts w:asciiTheme="minorHAnsi" w:hAnsiTheme="minorHAnsi" w:cstheme="minorHAnsi"/>
          <w:kern w:val="2"/>
          <w:sz w:val="21"/>
          <w:szCs w:val="21"/>
        </w:rPr>
        <w:t>pri</w:t>
      </w:r>
      <w:r w:rsidR="001D04F3">
        <w:rPr>
          <w:rFonts w:asciiTheme="minorHAnsi" w:hAnsiTheme="minorHAnsi" w:cstheme="minorHAnsi"/>
          <w:kern w:val="2"/>
          <w:sz w:val="21"/>
          <w:szCs w:val="21"/>
        </w:rPr>
        <w:t>taik</w:t>
      </w:r>
      <w:r w:rsidR="002F0C15">
        <w:rPr>
          <w:rFonts w:asciiTheme="minorHAnsi" w:hAnsiTheme="minorHAnsi" w:cstheme="minorHAnsi"/>
          <w:kern w:val="2"/>
          <w:sz w:val="21"/>
          <w:szCs w:val="21"/>
        </w:rPr>
        <w:t>omos</w:t>
      </w:r>
      <w:r w:rsidR="001D04F3">
        <w:rPr>
          <w:rFonts w:asciiTheme="minorHAnsi" w:hAnsiTheme="minorHAnsi" w:cstheme="minorHAnsi"/>
          <w:kern w:val="2"/>
          <w:sz w:val="21"/>
          <w:szCs w:val="21"/>
        </w:rPr>
        <w:t xml:space="preserve"> </w:t>
      </w:r>
      <w:r w:rsidR="001D04F3" w:rsidRPr="001D04F3">
        <w:rPr>
          <w:rFonts w:asciiTheme="minorHAnsi" w:hAnsiTheme="minorHAnsi" w:cstheme="minorHAnsi"/>
          <w:kern w:val="2"/>
          <w:sz w:val="22"/>
          <w:szCs w:val="22"/>
        </w:rPr>
        <w:t>Sutarties įkainių apskaičiavim</w:t>
      </w:r>
      <w:r w:rsidR="001D04F3">
        <w:rPr>
          <w:rFonts w:asciiTheme="minorHAnsi" w:hAnsiTheme="minorHAnsi" w:cstheme="minorHAnsi"/>
          <w:kern w:val="2"/>
          <w:sz w:val="22"/>
          <w:szCs w:val="22"/>
        </w:rPr>
        <w:t>o</w:t>
      </w:r>
      <w:r w:rsidR="001D04F3" w:rsidRPr="001D04F3">
        <w:rPr>
          <w:rFonts w:asciiTheme="minorHAnsi" w:hAnsiTheme="minorHAnsi" w:cstheme="minorHAnsi"/>
          <w:kern w:val="2"/>
          <w:sz w:val="22"/>
          <w:szCs w:val="22"/>
        </w:rPr>
        <w:t xml:space="preserve"> </w:t>
      </w:r>
      <w:r w:rsidR="001D04F3" w:rsidRPr="001D04F3">
        <w:rPr>
          <w:rFonts w:asciiTheme="minorHAnsi" w:hAnsiTheme="minorHAnsi" w:cstheme="minorHAnsi"/>
          <w:kern w:val="2"/>
          <w:sz w:val="22"/>
          <w:szCs w:val="22"/>
          <w:u w:val="single"/>
        </w:rPr>
        <w:t>kiekio (apimties)</w:t>
      </w:r>
      <w:r w:rsidR="001D04F3" w:rsidRPr="001D04F3">
        <w:rPr>
          <w:rFonts w:asciiTheme="minorHAnsi" w:hAnsiTheme="minorHAnsi" w:cstheme="minorHAnsi"/>
          <w:kern w:val="2"/>
          <w:sz w:val="22"/>
          <w:szCs w:val="22"/>
        </w:rPr>
        <w:t xml:space="preserve"> keitimo taisykl</w:t>
      </w:r>
      <w:r w:rsidR="002F0C15">
        <w:rPr>
          <w:rFonts w:asciiTheme="minorHAnsi" w:hAnsiTheme="minorHAnsi" w:cstheme="minorHAnsi"/>
          <w:kern w:val="2"/>
          <w:sz w:val="22"/>
          <w:szCs w:val="22"/>
        </w:rPr>
        <w:t>ė</w:t>
      </w:r>
      <w:r w:rsidR="001D04F3" w:rsidRPr="001D04F3">
        <w:rPr>
          <w:rFonts w:asciiTheme="minorHAnsi" w:hAnsiTheme="minorHAnsi" w:cstheme="minorHAnsi"/>
          <w:kern w:val="2"/>
          <w:sz w:val="22"/>
          <w:szCs w:val="22"/>
        </w:rPr>
        <w:t>s</w:t>
      </w:r>
      <w:r w:rsidR="00F228AD" w:rsidRPr="0058627C">
        <w:rPr>
          <w:rFonts w:asciiTheme="minorHAnsi" w:hAnsiTheme="minorHAnsi" w:cstheme="minorHAnsi"/>
          <w:sz w:val="21"/>
          <w:szCs w:val="21"/>
        </w:rPr>
        <w:t>.</w:t>
      </w:r>
      <w:r w:rsidRPr="0058627C">
        <w:rPr>
          <w:rFonts w:asciiTheme="minorHAnsi" w:hAnsiTheme="minorHAnsi" w:cstheme="minorHAnsi"/>
          <w:sz w:val="21"/>
          <w:szCs w:val="21"/>
        </w:rPr>
        <w:t xml:space="preserve"> </w:t>
      </w:r>
      <w:r w:rsidR="00D3786F" w:rsidRPr="0058627C">
        <w:rPr>
          <w:rFonts w:asciiTheme="minorHAnsi" w:hAnsiTheme="minorHAnsi" w:cstheme="minorHAnsi"/>
          <w:sz w:val="21"/>
          <w:szCs w:val="21"/>
        </w:rPr>
        <w:t>Sutarties kain</w:t>
      </w:r>
      <w:r w:rsidR="001D04F3">
        <w:rPr>
          <w:rFonts w:asciiTheme="minorHAnsi" w:hAnsiTheme="minorHAnsi" w:cstheme="minorHAnsi"/>
          <w:sz w:val="21"/>
          <w:szCs w:val="21"/>
        </w:rPr>
        <w:t>os/įkainių</w:t>
      </w:r>
      <w:r w:rsidR="00D3786F" w:rsidRPr="0058627C">
        <w:rPr>
          <w:rFonts w:asciiTheme="minorHAnsi" w:hAnsiTheme="minorHAnsi" w:cstheme="minorHAnsi"/>
          <w:sz w:val="21"/>
          <w:szCs w:val="21"/>
        </w:rPr>
        <w:t xml:space="preserve"> perskaičiavimo peržiūros taisyklės nustatytos viešojo pirkimo</w:t>
      </w:r>
      <w:r w:rsidR="00D3786F" w:rsidRPr="0058627C">
        <w:rPr>
          <w:rFonts w:asciiTheme="minorHAnsi" w:eastAsia="Arial" w:hAnsiTheme="minorHAnsi" w:cstheme="minorHAnsi"/>
          <w:sz w:val="21"/>
          <w:szCs w:val="21"/>
        </w:rPr>
        <w:t>–</w:t>
      </w:r>
      <w:r w:rsidR="00D3786F" w:rsidRPr="0058627C">
        <w:rPr>
          <w:rFonts w:asciiTheme="minorHAnsi" w:hAnsiTheme="minorHAnsi" w:cstheme="minorHAnsi"/>
          <w:sz w:val="21"/>
          <w:szCs w:val="21"/>
        </w:rPr>
        <w:t>pardavimo sutarties tipinių sąlygų Specialiosios dalies 5.3.1</w:t>
      </w:r>
      <w:r w:rsidR="00BE4765">
        <w:rPr>
          <w:rFonts w:asciiTheme="minorHAnsi" w:hAnsiTheme="minorHAnsi" w:cstheme="minorHAnsi"/>
          <w:sz w:val="21"/>
          <w:szCs w:val="21"/>
        </w:rPr>
        <w:t>,</w:t>
      </w:r>
      <w:r w:rsidR="00D3786F" w:rsidRPr="0058627C">
        <w:rPr>
          <w:rFonts w:asciiTheme="minorHAnsi" w:hAnsiTheme="minorHAnsi" w:cstheme="minorHAnsi"/>
          <w:sz w:val="21"/>
          <w:szCs w:val="21"/>
        </w:rPr>
        <w:t xml:space="preserve"> 5.3.3 </w:t>
      </w:r>
      <w:r w:rsidR="00BE4765">
        <w:rPr>
          <w:rFonts w:asciiTheme="minorHAnsi" w:hAnsiTheme="minorHAnsi" w:cstheme="minorHAnsi"/>
          <w:sz w:val="21"/>
          <w:szCs w:val="21"/>
        </w:rPr>
        <w:t xml:space="preserve">ir 5.4 </w:t>
      </w:r>
      <w:r w:rsidR="00D3786F" w:rsidRPr="0058627C">
        <w:rPr>
          <w:rFonts w:asciiTheme="minorHAnsi" w:hAnsiTheme="minorHAnsi" w:cstheme="minorHAnsi"/>
          <w:sz w:val="21"/>
          <w:szCs w:val="21"/>
        </w:rPr>
        <w:t>punktuose</w:t>
      </w:r>
      <w:r w:rsidR="00773EF4">
        <w:rPr>
          <w:rFonts w:asciiTheme="minorHAnsi" w:hAnsiTheme="minorHAnsi" w:cstheme="minorHAnsi"/>
          <w:sz w:val="21"/>
          <w:szCs w:val="21"/>
        </w:rPr>
        <w:t>:</w:t>
      </w:r>
    </w:p>
    <w:p w14:paraId="15828142" w14:textId="6F4267C6" w:rsidR="00773EF4" w:rsidRPr="00773EF4" w:rsidRDefault="00773EF4" w:rsidP="00773EF4">
      <w:pPr>
        <w:pStyle w:val="pf0"/>
        <w:tabs>
          <w:tab w:val="left" w:pos="993"/>
        </w:tabs>
        <w:spacing w:before="0" w:beforeAutospacing="0" w:after="0" w:afterAutospacing="0"/>
        <w:ind w:left="567"/>
        <w:jc w:val="both"/>
        <w:rPr>
          <w:rFonts w:asciiTheme="minorHAnsi" w:hAnsiTheme="minorHAnsi" w:cstheme="minorHAnsi"/>
          <w:sz w:val="21"/>
          <w:szCs w:val="21"/>
          <w:u w:val="single"/>
        </w:rPr>
      </w:pPr>
      <w:r w:rsidRPr="00773EF4">
        <w:rPr>
          <w:rFonts w:asciiTheme="minorHAnsi" w:hAnsiTheme="minorHAnsi" w:cstheme="minorHAnsi"/>
          <w:sz w:val="21"/>
          <w:szCs w:val="21"/>
          <w:u w:val="single"/>
        </w:rPr>
        <w:t>Sutarties Specialiosios dalies 5.3.1 punktas:</w:t>
      </w:r>
    </w:p>
    <w:p w14:paraId="7223A58F" w14:textId="36E27B05" w:rsidR="00773EF4" w:rsidRPr="00773EF4" w:rsidRDefault="00773EF4" w:rsidP="00773EF4">
      <w:pPr>
        <w:ind w:left="567"/>
        <w:jc w:val="both"/>
        <w:rPr>
          <w:i/>
          <w:iCs/>
          <w:kern w:val="2"/>
          <w:szCs w:val="24"/>
          <w:lang w:val="lt-LT"/>
        </w:rPr>
      </w:pPr>
      <w:r w:rsidRPr="00773EF4">
        <w:rPr>
          <w:i/>
          <w:iCs/>
          <w:kern w:val="2"/>
          <w:szCs w:val="24"/>
          <w:lang w:val="lt-LT"/>
        </w:rPr>
        <w:t>Jeigu Sutarties vykdymo metu pasikeičia PVM mokėjimą reglamentuojantys teisės aktai, darantys tiesioginę įtaką Tiekėjo t</w:t>
      </w:r>
      <w:r w:rsidRPr="00773EF4">
        <w:rPr>
          <w:i/>
          <w:iCs/>
          <w:szCs w:val="24"/>
          <w:lang w:val="lt-LT"/>
        </w:rPr>
        <w:t>ei</w:t>
      </w:r>
      <w:r w:rsidRPr="00773EF4">
        <w:rPr>
          <w:i/>
          <w:iCs/>
          <w:kern w:val="2"/>
          <w:szCs w:val="24"/>
          <w:lang w:val="lt-LT"/>
        </w:rPr>
        <w:t>kiamų P</w:t>
      </w:r>
      <w:r w:rsidRPr="00773EF4">
        <w:rPr>
          <w:i/>
          <w:iCs/>
          <w:szCs w:val="24"/>
          <w:lang w:val="lt-LT"/>
        </w:rPr>
        <w:t>aslaugų</w:t>
      </w:r>
      <w:r w:rsidRPr="00773EF4">
        <w:rPr>
          <w:i/>
          <w:iCs/>
          <w:kern w:val="2"/>
          <w:szCs w:val="24"/>
          <w:lang w:val="lt-LT"/>
        </w:rPr>
        <w:t xml:space="preserve"> Sutartyje nurodytiems įkainiams, Sutarties įkainiai perskaičiuojami nekeičiant P</w:t>
      </w:r>
      <w:r w:rsidRPr="00773EF4">
        <w:rPr>
          <w:i/>
          <w:iCs/>
          <w:szCs w:val="24"/>
          <w:lang w:val="lt-LT"/>
        </w:rPr>
        <w:t>aslaugų</w:t>
      </w:r>
      <w:r w:rsidRPr="00773EF4">
        <w:rPr>
          <w:i/>
          <w:iCs/>
          <w:kern w:val="2"/>
          <w:szCs w:val="24"/>
          <w:lang w:val="lt-LT"/>
        </w:rPr>
        <w:t xml:space="preserve"> įkainio be PVM. Perskaičiavimas įforminamas Susitarimu ne vėliau kaip per 10 (dešimt) darbo dienų nuo PVM mokėjimą reglamentuojančių teisės aktų pasikeitimo, kuris tampa neatskiriama Sutarties dalimi. Perskaičiuoti Sutarties įkainiai taikomi už tą P</w:t>
      </w:r>
      <w:r w:rsidRPr="00773EF4">
        <w:rPr>
          <w:i/>
          <w:iCs/>
          <w:szCs w:val="24"/>
          <w:lang w:val="lt-LT"/>
        </w:rPr>
        <w:t>aslaugų</w:t>
      </w:r>
      <w:r w:rsidRPr="00773EF4">
        <w:rPr>
          <w:i/>
          <w:iCs/>
          <w:kern w:val="2"/>
          <w:szCs w:val="24"/>
          <w:lang w:val="lt-LT"/>
        </w:rPr>
        <w:t xml:space="preserve"> dalį, kurios bus teikiamos nuo Šalių pasirašyto Susitarimo įsigaliojimo dienos.</w:t>
      </w:r>
    </w:p>
    <w:p w14:paraId="022F6C15" w14:textId="18315C49" w:rsidR="00773EF4" w:rsidRPr="0028632F" w:rsidRDefault="00773EF4" w:rsidP="00773EF4">
      <w:pPr>
        <w:pStyle w:val="pf0"/>
        <w:tabs>
          <w:tab w:val="left" w:pos="993"/>
        </w:tabs>
        <w:spacing w:before="0" w:beforeAutospacing="0" w:after="0" w:afterAutospacing="0"/>
        <w:ind w:left="567"/>
        <w:jc w:val="both"/>
        <w:rPr>
          <w:rFonts w:asciiTheme="minorHAnsi" w:hAnsiTheme="minorHAnsi" w:cstheme="minorHAnsi"/>
          <w:sz w:val="21"/>
          <w:szCs w:val="21"/>
          <w:u w:val="single"/>
        </w:rPr>
      </w:pPr>
      <w:r w:rsidRPr="0028632F">
        <w:rPr>
          <w:rFonts w:asciiTheme="minorHAnsi" w:hAnsiTheme="minorHAnsi" w:cstheme="minorHAnsi"/>
          <w:sz w:val="21"/>
          <w:szCs w:val="21"/>
          <w:u w:val="single"/>
        </w:rPr>
        <w:t>Sutarties Specialiosios dalies 5.3.3 punktas:</w:t>
      </w:r>
    </w:p>
    <w:p w14:paraId="17BEF0C5" w14:textId="40519680" w:rsidR="00773EF4" w:rsidRPr="0028632F" w:rsidRDefault="00773EF4" w:rsidP="00550001">
      <w:pPr>
        <w:spacing w:after="0" w:line="240" w:lineRule="auto"/>
        <w:ind w:left="567"/>
        <w:jc w:val="both"/>
        <w:rPr>
          <w:i/>
          <w:iCs/>
          <w:szCs w:val="24"/>
          <w:lang w:val="lt-LT"/>
        </w:rPr>
      </w:pPr>
      <w:r w:rsidRPr="0028632F">
        <w:rPr>
          <w:i/>
          <w:iCs/>
          <w:szCs w:val="24"/>
          <w:lang w:val="lt-LT"/>
        </w:rPr>
        <w:t xml:space="preserve">5.3.3.1. Bet kuri Sutarties Šalis Sutarties galiojimo metu turi teisę inicijuoti Sutarties </w:t>
      </w:r>
      <w:r w:rsidR="00D236A7" w:rsidRPr="0028632F">
        <w:rPr>
          <w:i/>
          <w:iCs/>
          <w:szCs w:val="24"/>
          <w:lang w:val="lt-LT"/>
        </w:rPr>
        <w:t>į</w:t>
      </w:r>
      <w:r w:rsidRPr="0028632F">
        <w:rPr>
          <w:i/>
          <w:iCs/>
          <w:szCs w:val="24"/>
          <w:lang w:val="lt-LT"/>
        </w:rPr>
        <w:t>kain</w:t>
      </w:r>
      <w:r w:rsidR="00D236A7" w:rsidRPr="0028632F">
        <w:rPr>
          <w:i/>
          <w:iCs/>
          <w:szCs w:val="24"/>
          <w:lang w:val="lt-LT"/>
        </w:rPr>
        <w:t>ių</w:t>
      </w:r>
      <w:r w:rsidRPr="0028632F">
        <w:rPr>
          <w:i/>
          <w:iCs/>
          <w:szCs w:val="24"/>
          <w:lang w:val="lt-LT"/>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D236A7" w:rsidRPr="0028632F">
        <w:rPr>
          <w:i/>
          <w:iCs/>
          <w:szCs w:val="24"/>
          <w:lang w:val="lt-LT"/>
        </w:rPr>
        <w:t>į</w:t>
      </w:r>
      <w:r w:rsidRPr="0028632F">
        <w:rPr>
          <w:i/>
          <w:iCs/>
          <w:szCs w:val="24"/>
          <w:lang w:val="lt-LT"/>
        </w:rPr>
        <w:t>kain</w:t>
      </w:r>
      <w:r w:rsidR="00D236A7" w:rsidRPr="0028632F">
        <w:rPr>
          <w:i/>
          <w:iCs/>
          <w:szCs w:val="24"/>
          <w:lang w:val="lt-LT"/>
        </w:rPr>
        <w:t>ių</w:t>
      </w:r>
      <w:r w:rsidRPr="0028632F">
        <w:rPr>
          <w:i/>
          <w:iCs/>
          <w:szCs w:val="24"/>
          <w:lang w:val="lt-LT"/>
        </w:rPr>
        <w:t xml:space="preserve"> peržiūra atliekama ne rečiau kaip kas 6 (šeši) mėnesiai.</w:t>
      </w:r>
    </w:p>
    <w:p w14:paraId="132786F1" w14:textId="4E546D14" w:rsidR="00773EF4" w:rsidRPr="0028632F" w:rsidRDefault="00773EF4" w:rsidP="00550001">
      <w:pPr>
        <w:spacing w:after="0" w:line="240" w:lineRule="auto"/>
        <w:ind w:left="567"/>
        <w:jc w:val="both"/>
        <w:rPr>
          <w:i/>
          <w:iCs/>
          <w:kern w:val="2"/>
          <w:szCs w:val="24"/>
          <w:shd w:val="clear" w:color="auto" w:fill="FFFFFF"/>
          <w:lang w:val="lt-LT"/>
        </w:rPr>
      </w:pPr>
      <w:r w:rsidRPr="0028632F">
        <w:rPr>
          <w:i/>
          <w:iCs/>
          <w:kern w:val="2"/>
          <w:szCs w:val="24"/>
          <w:lang w:val="lt-LT"/>
        </w:rPr>
        <w:t xml:space="preserve">5.3.3.2. Sutarties </w:t>
      </w:r>
      <w:r w:rsidR="00D236A7" w:rsidRPr="0028632F">
        <w:rPr>
          <w:i/>
          <w:iCs/>
          <w:kern w:val="2"/>
          <w:szCs w:val="24"/>
          <w:lang w:val="lt-LT"/>
        </w:rPr>
        <w:t>į</w:t>
      </w:r>
      <w:r w:rsidRPr="0028632F">
        <w:rPr>
          <w:i/>
          <w:iCs/>
          <w:kern w:val="2"/>
          <w:szCs w:val="24"/>
          <w:shd w:val="clear" w:color="auto" w:fill="FFFFFF"/>
          <w:lang w:val="lt-LT"/>
        </w:rPr>
        <w:t>kain</w:t>
      </w:r>
      <w:r w:rsidR="00D236A7" w:rsidRPr="0028632F">
        <w:rPr>
          <w:i/>
          <w:iCs/>
          <w:kern w:val="2"/>
          <w:szCs w:val="24"/>
          <w:shd w:val="clear" w:color="auto" w:fill="FFFFFF"/>
          <w:lang w:val="lt-LT"/>
        </w:rPr>
        <w:t>iai</w:t>
      </w:r>
      <w:r w:rsidRPr="0028632F">
        <w:rPr>
          <w:i/>
          <w:iCs/>
          <w:kern w:val="2"/>
          <w:szCs w:val="24"/>
          <w:shd w:val="clear" w:color="auto" w:fill="FFFFFF"/>
          <w:lang w:val="lt-LT"/>
        </w:rPr>
        <w:t xml:space="preserve"> peržiūrim</w:t>
      </w:r>
      <w:r w:rsidR="00D236A7" w:rsidRPr="0028632F">
        <w:rPr>
          <w:i/>
          <w:iCs/>
          <w:kern w:val="2"/>
          <w:szCs w:val="24"/>
          <w:shd w:val="clear" w:color="auto" w:fill="FFFFFF"/>
          <w:lang w:val="lt-LT"/>
        </w:rPr>
        <w:t>i</w:t>
      </w:r>
      <w:r w:rsidRPr="0028632F">
        <w:rPr>
          <w:i/>
          <w:iCs/>
          <w:kern w:val="2"/>
          <w:szCs w:val="24"/>
          <w:shd w:val="clear" w:color="auto" w:fill="FFFFFF"/>
          <w:lang w:val="lt-LT"/>
        </w:rPr>
        <w:t xml:space="preserve"> tik tai Sutarties daliai, kuri nėra išpirkta, t. y. Paslaugoms, kurios nėra priimtos ir apmokėtos. Vėlesnė Sutarties </w:t>
      </w:r>
      <w:r w:rsidR="00D236A7" w:rsidRPr="0028632F">
        <w:rPr>
          <w:i/>
          <w:iCs/>
          <w:kern w:val="2"/>
          <w:szCs w:val="24"/>
          <w:shd w:val="clear" w:color="auto" w:fill="FFFFFF"/>
          <w:lang w:val="lt-LT"/>
        </w:rPr>
        <w:t>į</w:t>
      </w:r>
      <w:r w:rsidRPr="0028632F">
        <w:rPr>
          <w:i/>
          <w:iCs/>
          <w:kern w:val="2"/>
          <w:szCs w:val="24"/>
          <w:shd w:val="clear" w:color="auto" w:fill="FFFFFF"/>
          <w:lang w:val="lt-LT"/>
        </w:rPr>
        <w:t>kain</w:t>
      </w:r>
      <w:r w:rsidR="00D236A7" w:rsidRPr="0028632F">
        <w:rPr>
          <w:i/>
          <w:iCs/>
          <w:kern w:val="2"/>
          <w:szCs w:val="24"/>
          <w:shd w:val="clear" w:color="auto" w:fill="FFFFFF"/>
          <w:lang w:val="lt-LT"/>
        </w:rPr>
        <w:t>ių</w:t>
      </w:r>
      <w:r w:rsidRPr="0028632F">
        <w:rPr>
          <w:i/>
          <w:iCs/>
          <w:kern w:val="2"/>
          <w:szCs w:val="24"/>
          <w:shd w:val="clear" w:color="auto" w:fill="FFFFFF"/>
          <w:lang w:val="lt-LT"/>
        </w:rPr>
        <w:t xml:space="preserve"> peržiūra negali apimti laikotarpio, už kurį jau buvo atlikta peržiūra.</w:t>
      </w:r>
    </w:p>
    <w:p w14:paraId="6E708910" w14:textId="091FCA01" w:rsidR="00773EF4" w:rsidRPr="0028632F" w:rsidRDefault="00773EF4" w:rsidP="00550001">
      <w:pPr>
        <w:spacing w:after="0" w:line="240" w:lineRule="auto"/>
        <w:ind w:left="567"/>
        <w:jc w:val="both"/>
        <w:rPr>
          <w:i/>
          <w:iCs/>
          <w:kern w:val="2"/>
          <w:szCs w:val="24"/>
          <w:shd w:val="clear" w:color="auto" w:fill="FFFFFF"/>
          <w:lang w:val="lt-LT"/>
        </w:rPr>
      </w:pPr>
      <w:r w:rsidRPr="0028632F">
        <w:rPr>
          <w:i/>
          <w:iCs/>
          <w:kern w:val="2"/>
          <w:szCs w:val="24"/>
          <w:lang w:val="lt-LT"/>
        </w:rPr>
        <w:t xml:space="preserve">5.3.3.3. </w:t>
      </w:r>
      <w:r w:rsidRPr="0028632F">
        <w:rPr>
          <w:i/>
          <w:iCs/>
          <w:kern w:val="2"/>
          <w:szCs w:val="24"/>
          <w:shd w:val="clear" w:color="auto" w:fill="FFFFFF"/>
          <w:lang w:val="lt-LT"/>
        </w:rPr>
        <w:t>Jeigu P</w:t>
      </w:r>
      <w:r w:rsidRPr="0028632F">
        <w:rPr>
          <w:i/>
          <w:iCs/>
          <w:szCs w:val="24"/>
          <w:lang w:val="lt-LT"/>
        </w:rPr>
        <w:t>aslaugų teikimas</w:t>
      </w:r>
      <w:r w:rsidRPr="0028632F">
        <w:rPr>
          <w:i/>
          <w:iCs/>
          <w:kern w:val="2"/>
          <w:szCs w:val="24"/>
          <w:shd w:val="clear" w:color="auto" w:fill="FFFFFF"/>
          <w:lang w:val="lt-LT"/>
        </w:rPr>
        <w:t xml:space="preserve"> vėluoja dėl Tiekėjo kaltės, uždelstų suteikti P</w:t>
      </w:r>
      <w:r w:rsidRPr="0028632F">
        <w:rPr>
          <w:i/>
          <w:iCs/>
          <w:szCs w:val="24"/>
          <w:lang w:val="lt-LT"/>
        </w:rPr>
        <w:t>aslaugų</w:t>
      </w:r>
      <w:r w:rsidRPr="0028632F">
        <w:rPr>
          <w:i/>
          <w:iCs/>
          <w:kern w:val="2"/>
          <w:szCs w:val="24"/>
          <w:shd w:val="clear" w:color="auto" w:fill="FFFFFF"/>
          <w:lang w:val="lt-LT"/>
        </w:rPr>
        <w:t xml:space="preserve"> </w:t>
      </w:r>
      <w:r w:rsidR="00D236A7" w:rsidRPr="0028632F">
        <w:rPr>
          <w:i/>
          <w:iCs/>
          <w:kern w:val="2"/>
          <w:szCs w:val="24"/>
          <w:shd w:val="clear" w:color="auto" w:fill="FFFFFF"/>
          <w:lang w:val="lt-LT"/>
        </w:rPr>
        <w:t>į</w:t>
      </w:r>
      <w:r w:rsidRPr="0028632F">
        <w:rPr>
          <w:i/>
          <w:iCs/>
          <w:kern w:val="2"/>
          <w:szCs w:val="24"/>
          <w:shd w:val="clear" w:color="auto" w:fill="FFFFFF"/>
          <w:lang w:val="lt-LT"/>
        </w:rPr>
        <w:t>kain</w:t>
      </w:r>
      <w:r w:rsidR="00D236A7" w:rsidRPr="0028632F">
        <w:rPr>
          <w:i/>
          <w:iCs/>
          <w:kern w:val="2"/>
          <w:szCs w:val="24"/>
          <w:shd w:val="clear" w:color="auto" w:fill="FFFFFF"/>
          <w:lang w:val="lt-LT"/>
        </w:rPr>
        <w:t>iai</w:t>
      </w:r>
      <w:r w:rsidRPr="0028632F">
        <w:rPr>
          <w:i/>
          <w:iCs/>
          <w:kern w:val="2"/>
          <w:szCs w:val="24"/>
          <w:shd w:val="clear" w:color="auto" w:fill="FFFFFF"/>
          <w:lang w:val="lt-LT"/>
        </w:rPr>
        <w:t xml:space="preserve"> nėra perskaičiuojam</w:t>
      </w:r>
      <w:r w:rsidR="00D236A7" w:rsidRPr="0028632F">
        <w:rPr>
          <w:i/>
          <w:iCs/>
          <w:kern w:val="2"/>
          <w:szCs w:val="24"/>
          <w:shd w:val="clear" w:color="auto" w:fill="FFFFFF"/>
          <w:lang w:val="lt-LT"/>
        </w:rPr>
        <w:t>i</w:t>
      </w:r>
      <w:r w:rsidRPr="0028632F">
        <w:rPr>
          <w:i/>
          <w:iCs/>
          <w:kern w:val="2"/>
          <w:szCs w:val="24"/>
          <w:shd w:val="clear" w:color="auto" w:fill="FFFFFF"/>
          <w:lang w:val="lt-LT"/>
        </w:rPr>
        <w:t xml:space="preserve"> dėl kainų lygio kilimo (gali būti mažinam</w:t>
      </w:r>
      <w:r w:rsidR="00BE4765" w:rsidRPr="0028632F">
        <w:rPr>
          <w:i/>
          <w:iCs/>
          <w:kern w:val="2"/>
          <w:szCs w:val="24"/>
          <w:shd w:val="clear" w:color="auto" w:fill="FFFFFF"/>
          <w:lang w:val="lt-LT"/>
        </w:rPr>
        <w:t>a</w:t>
      </w:r>
      <w:r w:rsidRPr="0028632F">
        <w:rPr>
          <w:i/>
          <w:iCs/>
          <w:kern w:val="2"/>
          <w:szCs w:val="24"/>
          <w:shd w:val="clear" w:color="auto" w:fill="FFFFFF"/>
          <w:lang w:val="lt-LT"/>
        </w:rPr>
        <w:t>, tačiau negali būti didinam</w:t>
      </w:r>
      <w:r w:rsidR="00BE4765" w:rsidRPr="0028632F">
        <w:rPr>
          <w:i/>
          <w:iCs/>
          <w:kern w:val="2"/>
          <w:szCs w:val="24"/>
          <w:shd w:val="clear" w:color="auto" w:fill="FFFFFF"/>
          <w:lang w:val="lt-LT"/>
        </w:rPr>
        <w:t>a</w:t>
      </w:r>
      <w:r w:rsidRPr="0028632F">
        <w:rPr>
          <w:i/>
          <w:iCs/>
          <w:kern w:val="2"/>
          <w:szCs w:val="24"/>
          <w:shd w:val="clear" w:color="auto" w:fill="FFFFFF"/>
          <w:lang w:val="lt-LT"/>
        </w:rPr>
        <w:t>).</w:t>
      </w:r>
    </w:p>
    <w:p w14:paraId="6E472FE2" w14:textId="340D8666" w:rsidR="00773EF4" w:rsidRPr="0028632F" w:rsidRDefault="00773EF4" w:rsidP="00550001">
      <w:pPr>
        <w:spacing w:after="0" w:line="240" w:lineRule="auto"/>
        <w:ind w:left="567"/>
        <w:jc w:val="both"/>
        <w:rPr>
          <w:i/>
          <w:iCs/>
          <w:kern w:val="2"/>
          <w:szCs w:val="24"/>
          <w:shd w:val="clear" w:color="auto" w:fill="FFFFFF"/>
          <w:lang w:val="lt-LT"/>
        </w:rPr>
      </w:pPr>
      <w:r w:rsidRPr="0028632F">
        <w:rPr>
          <w:i/>
          <w:iCs/>
          <w:kern w:val="2"/>
          <w:szCs w:val="24"/>
          <w:lang w:val="lt-LT"/>
        </w:rPr>
        <w:t xml:space="preserve">5.3.3.4. Atlikdamos Sutarties </w:t>
      </w:r>
      <w:r w:rsidR="00D236A7" w:rsidRPr="0028632F">
        <w:rPr>
          <w:i/>
          <w:iCs/>
          <w:kern w:val="2"/>
          <w:szCs w:val="24"/>
          <w:lang w:val="lt-LT"/>
        </w:rPr>
        <w:t>į</w:t>
      </w:r>
      <w:r w:rsidRPr="0028632F">
        <w:rPr>
          <w:i/>
          <w:iCs/>
          <w:kern w:val="2"/>
          <w:szCs w:val="24"/>
          <w:lang w:val="lt-LT"/>
        </w:rPr>
        <w:t>kain</w:t>
      </w:r>
      <w:r w:rsidR="00D236A7" w:rsidRPr="0028632F">
        <w:rPr>
          <w:i/>
          <w:iCs/>
          <w:kern w:val="2"/>
          <w:szCs w:val="24"/>
          <w:lang w:val="lt-LT"/>
        </w:rPr>
        <w:t>ių</w:t>
      </w:r>
      <w:r w:rsidRPr="0028632F">
        <w:rPr>
          <w:i/>
          <w:iCs/>
          <w:kern w:val="2"/>
          <w:szCs w:val="24"/>
          <w:lang w:val="lt-LT"/>
        </w:rPr>
        <w:t xml:space="preserve"> peržiūrą </w:t>
      </w:r>
      <w:r w:rsidRPr="0028632F">
        <w:rPr>
          <w:i/>
          <w:iCs/>
          <w:kern w:val="2"/>
          <w:szCs w:val="24"/>
          <w:shd w:val="clear" w:color="auto" w:fill="FFFFFF"/>
          <w:lang w:val="lt-LT"/>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C04E1B8" w14:textId="30BD4E33" w:rsidR="00773EF4" w:rsidRPr="0028632F" w:rsidRDefault="00773EF4" w:rsidP="00550001">
      <w:pPr>
        <w:spacing w:after="0" w:line="240" w:lineRule="auto"/>
        <w:ind w:left="567"/>
        <w:jc w:val="both"/>
        <w:rPr>
          <w:i/>
          <w:iCs/>
          <w:kern w:val="2"/>
          <w:szCs w:val="24"/>
          <w:shd w:val="clear" w:color="auto" w:fill="FFFFFF"/>
          <w:lang w:val="lt-LT"/>
        </w:rPr>
      </w:pPr>
      <w:r w:rsidRPr="0028632F">
        <w:rPr>
          <w:i/>
          <w:iCs/>
          <w:kern w:val="2"/>
          <w:szCs w:val="24"/>
          <w:shd w:val="clear" w:color="auto" w:fill="FFFFFF"/>
          <w:lang w:val="lt-LT"/>
        </w:rPr>
        <w:lastRenderedPageBreak/>
        <w:t>5.3.3.5. Šalys privalo Susitarime nurodyti vartojimo prekių ir paslaugų indekso reikšmę laikotarpio pradžioje ir jo nustatymo datą, indekso reikšmę laikotarpio pabaigoje ir jo nustatymo datą, kainų pokytį (k), perskaičiuot</w:t>
      </w:r>
      <w:r w:rsidR="00A40E43" w:rsidRPr="0028632F">
        <w:rPr>
          <w:i/>
          <w:iCs/>
          <w:kern w:val="2"/>
          <w:szCs w:val="24"/>
          <w:shd w:val="clear" w:color="auto" w:fill="FFFFFF"/>
          <w:lang w:val="lt-LT"/>
        </w:rPr>
        <w:t>us</w:t>
      </w:r>
      <w:r w:rsidRPr="0028632F">
        <w:rPr>
          <w:i/>
          <w:iCs/>
          <w:kern w:val="2"/>
          <w:szCs w:val="24"/>
          <w:shd w:val="clear" w:color="auto" w:fill="FFFFFF"/>
          <w:lang w:val="lt-LT"/>
        </w:rPr>
        <w:t xml:space="preserve"> Sutarties </w:t>
      </w:r>
      <w:r w:rsidR="00A40E43" w:rsidRPr="0028632F">
        <w:rPr>
          <w:i/>
          <w:iCs/>
          <w:kern w:val="2"/>
          <w:szCs w:val="24"/>
          <w:shd w:val="clear" w:color="auto" w:fill="FFFFFF"/>
          <w:lang w:val="lt-LT"/>
        </w:rPr>
        <w:t>į</w:t>
      </w:r>
      <w:r w:rsidRPr="0028632F">
        <w:rPr>
          <w:i/>
          <w:iCs/>
          <w:kern w:val="2"/>
          <w:szCs w:val="24"/>
          <w:shd w:val="clear" w:color="auto" w:fill="FFFFFF"/>
          <w:lang w:val="lt-LT"/>
        </w:rPr>
        <w:t>kain</w:t>
      </w:r>
      <w:r w:rsidR="00A40E43" w:rsidRPr="0028632F">
        <w:rPr>
          <w:i/>
          <w:iCs/>
          <w:kern w:val="2"/>
          <w:szCs w:val="24"/>
          <w:shd w:val="clear" w:color="auto" w:fill="FFFFFF"/>
          <w:lang w:val="lt-LT"/>
        </w:rPr>
        <w:t>ius,</w:t>
      </w:r>
      <w:r w:rsidRPr="0028632F">
        <w:rPr>
          <w:i/>
          <w:iCs/>
          <w:kern w:val="2"/>
          <w:szCs w:val="24"/>
          <w:shd w:val="clear" w:color="auto" w:fill="FFFFFF"/>
          <w:lang w:val="lt-LT"/>
        </w:rPr>
        <w:t xml:space="preserve"> perskaičiuotą Pradinės Sutarties vertę.</w:t>
      </w:r>
    </w:p>
    <w:p w14:paraId="225429FC" w14:textId="7E496967" w:rsidR="00773EF4" w:rsidRPr="0028632F" w:rsidRDefault="00773EF4" w:rsidP="00550001">
      <w:pPr>
        <w:spacing w:after="0" w:line="240" w:lineRule="auto"/>
        <w:ind w:left="567"/>
        <w:jc w:val="both"/>
        <w:rPr>
          <w:i/>
          <w:iCs/>
          <w:szCs w:val="24"/>
          <w:lang w:val="lt-LT"/>
        </w:rPr>
      </w:pPr>
      <w:r w:rsidRPr="0028632F">
        <w:rPr>
          <w:i/>
          <w:iCs/>
          <w:kern w:val="2"/>
          <w:szCs w:val="24"/>
          <w:shd w:val="clear" w:color="auto" w:fill="FFFFFF"/>
          <w:lang w:val="lt-LT"/>
        </w:rPr>
        <w:t>5.3.3.6. Nauj</w:t>
      </w:r>
      <w:r w:rsidR="00C63235" w:rsidRPr="0028632F">
        <w:rPr>
          <w:i/>
          <w:iCs/>
          <w:kern w:val="2"/>
          <w:szCs w:val="24"/>
          <w:shd w:val="clear" w:color="auto" w:fill="FFFFFF"/>
          <w:lang w:val="lt-LT"/>
        </w:rPr>
        <w:t>a</w:t>
      </w:r>
      <w:r w:rsidRPr="0028632F">
        <w:rPr>
          <w:i/>
          <w:iCs/>
          <w:kern w:val="2"/>
          <w:szCs w:val="24"/>
          <w:shd w:val="clear" w:color="auto" w:fill="FFFFFF"/>
          <w:lang w:val="lt-LT"/>
        </w:rPr>
        <w:t xml:space="preserve"> Sutarties kain</w:t>
      </w:r>
      <w:r w:rsidR="00C63235" w:rsidRPr="0028632F">
        <w:rPr>
          <w:i/>
          <w:iCs/>
          <w:kern w:val="2"/>
          <w:szCs w:val="24"/>
          <w:shd w:val="clear" w:color="auto" w:fill="FFFFFF"/>
          <w:lang w:val="lt-LT"/>
        </w:rPr>
        <w:t>a</w:t>
      </w:r>
      <w:r w:rsidRPr="0028632F">
        <w:rPr>
          <w:i/>
          <w:iCs/>
          <w:kern w:val="2"/>
          <w:szCs w:val="24"/>
          <w:shd w:val="clear" w:color="auto" w:fill="FFFFFF"/>
          <w:lang w:val="lt-LT"/>
        </w:rPr>
        <w:t xml:space="preserve"> apskaičiuojam</w:t>
      </w:r>
      <w:r w:rsidR="00C63235" w:rsidRPr="0028632F">
        <w:rPr>
          <w:i/>
          <w:iCs/>
          <w:kern w:val="2"/>
          <w:szCs w:val="24"/>
          <w:shd w:val="clear" w:color="auto" w:fill="FFFFFF"/>
          <w:lang w:val="lt-LT"/>
        </w:rPr>
        <w:t>a</w:t>
      </w:r>
      <w:r w:rsidRPr="0028632F">
        <w:rPr>
          <w:i/>
          <w:iCs/>
          <w:kern w:val="2"/>
          <w:szCs w:val="24"/>
          <w:shd w:val="clear" w:color="auto" w:fill="FFFFFF"/>
          <w:lang w:val="lt-LT"/>
        </w:rPr>
        <w:t xml:space="preserve"> pagal žemiau pateiktą formulę:</w:t>
      </w:r>
    </w:p>
    <w:p w14:paraId="2A5A21D7" w14:textId="38390CDC" w:rsidR="00773EF4" w:rsidRPr="0028632F" w:rsidRDefault="005962FD" w:rsidP="00550001">
      <w:pPr>
        <w:spacing w:after="0" w:line="240" w:lineRule="auto"/>
        <w:ind w:left="567"/>
        <w:jc w:val="both"/>
        <w:textAlignment w:val="baseline"/>
        <w:rPr>
          <w:i/>
          <w:iCs/>
          <w:kern w:val="2"/>
          <w:szCs w:val="24"/>
          <w:lang w:val="lt-LT"/>
        </w:rPr>
      </w:pPr>
      <m:oMath>
        <m:sSub>
          <m:sSubPr>
            <m:ctrlPr>
              <w:rPr>
                <w:rFonts w:ascii="Cambria Math" w:hAnsi="Cambria Math"/>
                <w:i/>
                <w:iCs/>
                <w:szCs w:val="24"/>
                <w:lang w:val="lt-LT"/>
              </w:rPr>
            </m:ctrlPr>
          </m:sSubPr>
          <m:e>
            <m:r>
              <w:rPr>
                <w:rFonts w:ascii="Cambria Math" w:hAnsi="Cambria Math"/>
                <w:szCs w:val="24"/>
                <w:lang w:val="lt-LT"/>
              </w:rPr>
              <m:t>a</m:t>
            </m:r>
          </m:e>
          <m:sub>
            <m:r>
              <w:rPr>
                <w:rFonts w:ascii="Cambria Math" w:hAnsi="Cambria Math"/>
                <w:szCs w:val="24"/>
                <w:lang w:val="lt-LT"/>
              </w:rPr>
              <m:t>1</m:t>
            </m:r>
          </m:sub>
        </m:sSub>
        <m:r>
          <w:rPr>
            <w:rFonts w:ascii="Cambria Math" w:hAnsi="Cambria Math"/>
            <w:szCs w:val="24"/>
            <w:lang w:val="lt-LT"/>
          </w:rPr>
          <m:t>=</m:t>
        </m:r>
        <m:r>
          <w:rPr>
            <w:rFonts w:ascii="Cambria Math" w:eastAsiaTheme="minorEastAsia" w:hAnsi="Cambria Math"/>
            <w:szCs w:val="24"/>
            <w:lang w:val="lt-LT"/>
          </w:rPr>
          <m:t>a+</m:t>
        </m:r>
        <m:d>
          <m:dPr>
            <m:ctrlPr>
              <w:rPr>
                <w:rFonts w:ascii="Cambria Math" w:eastAsiaTheme="minorEastAsia" w:hAnsi="Cambria Math"/>
                <w:i/>
                <w:iCs/>
                <w:szCs w:val="24"/>
                <w:lang w:val="lt-LT"/>
              </w:rPr>
            </m:ctrlPr>
          </m:dPr>
          <m:e>
            <m:f>
              <m:fPr>
                <m:ctrlPr>
                  <w:rPr>
                    <w:rFonts w:ascii="Cambria Math" w:eastAsiaTheme="minorEastAsia" w:hAnsi="Cambria Math"/>
                    <w:i/>
                    <w:iCs/>
                    <w:szCs w:val="24"/>
                    <w:lang w:val="lt-LT"/>
                  </w:rPr>
                </m:ctrlPr>
              </m:fPr>
              <m:num>
                <m:r>
                  <w:rPr>
                    <w:rFonts w:ascii="Cambria Math" w:eastAsiaTheme="minorEastAsia" w:hAnsi="Cambria Math"/>
                    <w:szCs w:val="24"/>
                    <w:lang w:val="lt-LT"/>
                  </w:rPr>
                  <m:t>k</m:t>
                </m:r>
              </m:num>
              <m:den>
                <m:r>
                  <w:rPr>
                    <w:rFonts w:ascii="Cambria Math" w:eastAsiaTheme="minorEastAsia" w:hAnsi="Cambria Math"/>
                    <w:szCs w:val="24"/>
                    <w:lang w:val="lt-LT"/>
                  </w:rPr>
                  <m:t>100</m:t>
                </m:r>
              </m:den>
            </m:f>
            <m:r>
              <w:rPr>
                <w:rFonts w:ascii="Cambria Math" w:eastAsiaTheme="minorEastAsia" w:hAnsi="Cambria Math"/>
                <w:szCs w:val="24"/>
                <w:lang w:val="lt-LT"/>
              </w:rPr>
              <m:t>×a</m:t>
            </m:r>
          </m:e>
        </m:d>
      </m:oMath>
      <w:r w:rsidR="00773EF4" w:rsidRPr="0028632F">
        <w:rPr>
          <w:i/>
          <w:iCs/>
          <w:kern w:val="2"/>
          <w:szCs w:val="24"/>
          <w:lang w:val="lt-LT"/>
        </w:rPr>
        <w:t>, kur a –</w:t>
      </w:r>
      <w:r w:rsidR="00D236A7" w:rsidRPr="0028632F">
        <w:rPr>
          <w:i/>
          <w:iCs/>
          <w:kern w:val="2"/>
          <w:szCs w:val="24"/>
          <w:lang w:val="lt-LT"/>
        </w:rPr>
        <w:t xml:space="preserve"> į</w:t>
      </w:r>
      <w:r w:rsidR="00773EF4" w:rsidRPr="0028632F">
        <w:rPr>
          <w:i/>
          <w:iCs/>
          <w:kern w:val="2"/>
          <w:szCs w:val="24"/>
          <w:lang w:val="lt-LT"/>
        </w:rPr>
        <w:t>kain</w:t>
      </w:r>
      <w:r w:rsidR="00D236A7" w:rsidRPr="0028632F">
        <w:rPr>
          <w:i/>
          <w:iCs/>
          <w:kern w:val="2"/>
          <w:szCs w:val="24"/>
          <w:lang w:val="lt-LT"/>
        </w:rPr>
        <w:t>is</w:t>
      </w:r>
      <w:r w:rsidR="00773EF4" w:rsidRPr="0028632F">
        <w:rPr>
          <w:i/>
          <w:iCs/>
          <w:kern w:val="2"/>
          <w:szCs w:val="24"/>
          <w:lang w:val="lt-LT"/>
        </w:rPr>
        <w:t xml:space="preserve"> (Eur be PVM) (jei peržiūra jau buvo atlikta, tai po paskutinio perskaičiavimo)</w:t>
      </w:r>
    </w:p>
    <w:p w14:paraId="5ED104D4" w14:textId="66763C92" w:rsidR="00773EF4" w:rsidRPr="0028632F" w:rsidRDefault="00773EF4" w:rsidP="00550001">
      <w:pPr>
        <w:spacing w:after="0" w:line="240" w:lineRule="auto"/>
        <w:ind w:left="567"/>
        <w:jc w:val="both"/>
        <w:textAlignment w:val="baseline"/>
        <w:rPr>
          <w:i/>
          <w:iCs/>
          <w:szCs w:val="24"/>
          <w:lang w:val="lt-LT"/>
        </w:rPr>
      </w:pPr>
      <w:r w:rsidRPr="0028632F">
        <w:rPr>
          <w:i/>
          <w:iCs/>
          <w:kern w:val="2"/>
          <w:szCs w:val="24"/>
          <w:lang w:val="lt-LT"/>
        </w:rPr>
        <w:t>a</w:t>
      </w:r>
      <w:r w:rsidRPr="0028632F">
        <w:rPr>
          <w:i/>
          <w:iCs/>
          <w:kern w:val="2"/>
          <w:szCs w:val="24"/>
          <w:vertAlign w:val="subscript"/>
          <w:lang w:val="lt-LT"/>
        </w:rPr>
        <w:t>1</w:t>
      </w:r>
      <w:r w:rsidRPr="0028632F">
        <w:rPr>
          <w:i/>
          <w:iCs/>
          <w:kern w:val="2"/>
          <w:szCs w:val="24"/>
          <w:lang w:val="lt-LT"/>
        </w:rPr>
        <w:t xml:space="preserve"> – perskaičiuota</w:t>
      </w:r>
      <w:r w:rsidR="00D236A7" w:rsidRPr="0028632F">
        <w:rPr>
          <w:i/>
          <w:iCs/>
          <w:kern w:val="2"/>
          <w:szCs w:val="24"/>
          <w:lang w:val="lt-LT"/>
        </w:rPr>
        <w:t>s</w:t>
      </w:r>
      <w:r w:rsidRPr="0028632F">
        <w:rPr>
          <w:i/>
          <w:iCs/>
          <w:kern w:val="2"/>
          <w:szCs w:val="24"/>
          <w:lang w:val="lt-LT"/>
        </w:rPr>
        <w:t xml:space="preserve"> (pakeista</w:t>
      </w:r>
      <w:r w:rsidR="00D236A7" w:rsidRPr="0028632F">
        <w:rPr>
          <w:i/>
          <w:iCs/>
          <w:kern w:val="2"/>
          <w:szCs w:val="24"/>
          <w:lang w:val="lt-LT"/>
        </w:rPr>
        <w:t>s</w:t>
      </w:r>
      <w:r w:rsidRPr="0028632F">
        <w:rPr>
          <w:i/>
          <w:iCs/>
          <w:kern w:val="2"/>
          <w:szCs w:val="24"/>
          <w:lang w:val="lt-LT"/>
        </w:rPr>
        <w:t xml:space="preserve">) </w:t>
      </w:r>
      <w:r w:rsidR="00D236A7" w:rsidRPr="0028632F">
        <w:rPr>
          <w:i/>
          <w:iCs/>
          <w:kern w:val="2"/>
          <w:szCs w:val="24"/>
          <w:lang w:val="lt-LT"/>
        </w:rPr>
        <w:t>į</w:t>
      </w:r>
      <w:r w:rsidRPr="0028632F">
        <w:rPr>
          <w:i/>
          <w:iCs/>
          <w:kern w:val="2"/>
          <w:szCs w:val="24"/>
          <w:lang w:val="lt-LT"/>
        </w:rPr>
        <w:t>kain</w:t>
      </w:r>
      <w:r w:rsidR="00D236A7" w:rsidRPr="0028632F">
        <w:rPr>
          <w:i/>
          <w:iCs/>
          <w:kern w:val="2"/>
          <w:szCs w:val="24"/>
          <w:lang w:val="lt-LT"/>
        </w:rPr>
        <w:t>is</w:t>
      </w:r>
      <w:r w:rsidRPr="0028632F">
        <w:rPr>
          <w:i/>
          <w:iCs/>
          <w:kern w:val="2"/>
          <w:szCs w:val="24"/>
          <w:lang w:val="lt-LT"/>
        </w:rPr>
        <w:t xml:space="preserve"> (Eur be PVM)</w:t>
      </w:r>
    </w:p>
    <w:p w14:paraId="13B31D0C" w14:textId="1FA2A5EE" w:rsidR="00773EF4" w:rsidRPr="0028632F" w:rsidRDefault="00773EF4" w:rsidP="00550001">
      <w:pPr>
        <w:spacing w:after="0" w:line="240" w:lineRule="auto"/>
        <w:ind w:left="567"/>
        <w:jc w:val="both"/>
        <w:textAlignment w:val="baseline"/>
        <w:rPr>
          <w:i/>
          <w:iCs/>
          <w:szCs w:val="24"/>
          <w:lang w:val="lt-LT"/>
        </w:rPr>
      </w:pPr>
      <w:r w:rsidRPr="0028632F">
        <w:rPr>
          <w:i/>
          <w:iCs/>
          <w:kern w:val="2"/>
          <w:szCs w:val="24"/>
          <w:lang w:val="lt-LT"/>
        </w:rPr>
        <w:t xml:space="preserve">k – pagal vartotojų kainų indeksą (bendrą „Vartojimo prekių ir paslaugų“) </w:t>
      </w:r>
      <w:r w:rsidRPr="0028632F">
        <w:rPr>
          <w:i/>
          <w:iCs/>
          <w:kern w:val="2"/>
          <w:szCs w:val="24"/>
          <w:shd w:val="clear" w:color="auto" w:fill="FFFFFF"/>
          <w:lang w:val="lt-LT"/>
        </w:rPr>
        <w:t>Valstybės duomenų agentūros viešai Oficialiosios statistikos portale paskelbtais Rodiklių duomenų bazės duomenimis</w:t>
      </w:r>
      <w:r w:rsidRPr="0028632F">
        <w:rPr>
          <w:i/>
          <w:iCs/>
          <w:kern w:val="2"/>
          <w:szCs w:val="24"/>
          <w:lang w:val="lt-LT"/>
        </w:rPr>
        <w:t xml:space="preserve"> apskaičiuotas Vartojimo prekių ir paslaugų kainų pokytis (padidėjimas arba sumažėjimas) (%). „k“ reikšmė skaičiuojama pagal formulę:</w:t>
      </w:r>
    </w:p>
    <w:p w14:paraId="596E1BA4" w14:textId="00716ABB" w:rsidR="00773EF4" w:rsidRPr="0028632F" w:rsidRDefault="00550001" w:rsidP="00550001">
      <w:pPr>
        <w:spacing w:after="0" w:line="240" w:lineRule="auto"/>
        <w:ind w:left="567"/>
        <w:jc w:val="both"/>
        <w:textAlignment w:val="baseline"/>
        <w:rPr>
          <w:i/>
          <w:iCs/>
          <w:kern w:val="2"/>
          <w:szCs w:val="24"/>
          <w:lang w:val="lt-LT"/>
        </w:rPr>
      </w:pPr>
      <m:oMath>
        <m:r>
          <w:rPr>
            <w:rFonts w:ascii="Cambria Math" w:hAnsi="Cambria Math"/>
            <w:szCs w:val="24"/>
            <w:lang w:val="lt-LT"/>
          </w:rPr>
          <m:t>k =</m:t>
        </m:r>
        <m:f>
          <m:fPr>
            <m:ctrlPr>
              <w:rPr>
                <w:rFonts w:ascii="Cambria Math" w:eastAsiaTheme="minorEastAsia" w:hAnsi="Cambria Math"/>
                <w:i/>
                <w:iCs/>
                <w:szCs w:val="24"/>
                <w:lang w:val="lt-LT"/>
              </w:rPr>
            </m:ctrlPr>
          </m:fPr>
          <m:num>
            <m:sSub>
              <m:sSubPr>
                <m:ctrlPr>
                  <w:rPr>
                    <w:rFonts w:ascii="Cambria Math" w:eastAsiaTheme="minorEastAsia" w:hAnsi="Cambria Math"/>
                    <w:i/>
                    <w:iCs/>
                    <w:szCs w:val="24"/>
                    <w:lang w:val="lt-LT"/>
                  </w:rPr>
                </m:ctrlPr>
              </m:sSubPr>
              <m:e>
                <m:r>
                  <w:rPr>
                    <w:rFonts w:ascii="Cambria Math" w:eastAsiaTheme="minorEastAsia" w:hAnsi="Cambria Math"/>
                    <w:szCs w:val="24"/>
                    <w:lang w:val="lt-LT"/>
                  </w:rPr>
                  <m:t>Ind</m:t>
                </m:r>
              </m:e>
              <m:sub>
                <m:r>
                  <w:rPr>
                    <w:rFonts w:ascii="Cambria Math" w:eastAsiaTheme="minorEastAsia" w:hAnsi="Cambria Math"/>
                    <w:szCs w:val="24"/>
                    <w:lang w:val="lt-LT"/>
                  </w:rPr>
                  <m:t>naujausias</m:t>
                </m:r>
              </m:sub>
            </m:sSub>
          </m:num>
          <m:den>
            <m:sSub>
              <m:sSubPr>
                <m:ctrlPr>
                  <w:rPr>
                    <w:rFonts w:ascii="Cambria Math" w:eastAsiaTheme="minorEastAsia" w:hAnsi="Cambria Math"/>
                    <w:i/>
                    <w:iCs/>
                    <w:szCs w:val="24"/>
                    <w:lang w:val="lt-LT"/>
                  </w:rPr>
                </m:ctrlPr>
              </m:sSubPr>
              <m:e>
                <m:r>
                  <w:rPr>
                    <w:rFonts w:ascii="Cambria Math" w:eastAsiaTheme="minorEastAsia" w:hAnsi="Cambria Math"/>
                    <w:szCs w:val="24"/>
                    <w:lang w:val="lt-LT"/>
                  </w:rPr>
                  <m:t>Ind</m:t>
                </m:r>
              </m:e>
              <m:sub>
                <m:r>
                  <w:rPr>
                    <w:rFonts w:ascii="Cambria Math" w:eastAsiaTheme="minorEastAsia" w:hAnsi="Cambria Math"/>
                    <w:szCs w:val="24"/>
                    <w:lang w:val="lt-LT"/>
                  </w:rPr>
                  <m:t>pradžia</m:t>
                </m:r>
              </m:sub>
            </m:sSub>
          </m:den>
        </m:f>
        <m:r>
          <w:rPr>
            <w:rFonts w:ascii="Cambria Math" w:eastAsiaTheme="minorEastAsia" w:hAnsi="Cambria Math"/>
            <w:szCs w:val="24"/>
            <w:lang w:val="lt-LT"/>
          </w:rPr>
          <m:t>×100-100</m:t>
        </m:r>
      </m:oMath>
      <w:r w:rsidR="00773EF4" w:rsidRPr="0028632F">
        <w:rPr>
          <w:i/>
          <w:iCs/>
          <w:kern w:val="2"/>
          <w:szCs w:val="24"/>
          <w:lang w:val="lt-LT"/>
        </w:rPr>
        <w:t>, (proc.) kur</w:t>
      </w:r>
    </w:p>
    <w:p w14:paraId="70274AF3" w14:textId="0F83B123" w:rsidR="00773EF4" w:rsidRPr="0028632F" w:rsidRDefault="00773EF4" w:rsidP="00550001">
      <w:pPr>
        <w:spacing w:after="0" w:line="240" w:lineRule="auto"/>
        <w:ind w:left="567"/>
        <w:jc w:val="both"/>
        <w:textAlignment w:val="baseline"/>
        <w:rPr>
          <w:i/>
          <w:iCs/>
          <w:lang w:val="lt-LT"/>
        </w:rPr>
      </w:pPr>
      <w:proofErr w:type="spellStart"/>
      <w:r w:rsidRPr="0028632F">
        <w:rPr>
          <w:i/>
          <w:iCs/>
          <w:kern w:val="2"/>
          <w:lang w:val="lt-LT"/>
        </w:rPr>
        <w:t>Ind</w:t>
      </w:r>
      <w:r w:rsidRPr="0028632F">
        <w:rPr>
          <w:i/>
          <w:iCs/>
          <w:kern w:val="2"/>
          <w:vertAlign w:val="subscript"/>
          <w:lang w:val="lt-LT"/>
        </w:rPr>
        <w:t>naujausias</w:t>
      </w:r>
      <w:proofErr w:type="spellEnd"/>
      <w:r w:rsidRPr="0028632F">
        <w:rPr>
          <w:i/>
          <w:iCs/>
          <w:kern w:val="2"/>
          <w:lang w:val="lt-LT"/>
        </w:rPr>
        <w:t xml:space="preserve"> – kreipimosi dėl </w:t>
      </w:r>
      <w:r w:rsidR="00C63235" w:rsidRPr="0028632F">
        <w:rPr>
          <w:i/>
          <w:iCs/>
          <w:kern w:val="2"/>
          <w:lang w:val="lt-LT"/>
        </w:rPr>
        <w:t>į</w:t>
      </w:r>
      <w:r w:rsidRPr="0028632F">
        <w:rPr>
          <w:i/>
          <w:iCs/>
          <w:kern w:val="2"/>
          <w:lang w:val="lt-LT"/>
        </w:rPr>
        <w:t>kain</w:t>
      </w:r>
      <w:r w:rsidR="00C63235" w:rsidRPr="0028632F">
        <w:rPr>
          <w:i/>
          <w:iCs/>
          <w:kern w:val="2"/>
          <w:lang w:val="lt-LT"/>
        </w:rPr>
        <w:t>ių</w:t>
      </w:r>
      <w:r w:rsidRPr="0028632F">
        <w:rPr>
          <w:i/>
          <w:iCs/>
          <w:kern w:val="2"/>
          <w:lang w:val="lt-LT"/>
        </w:rPr>
        <w:t xml:space="preserve"> peržiūros išsiuntimo kitai Šaliai dieną paskelbtas naujausias vartojimo prekių ir paslaugų indeksas (bendr</w:t>
      </w:r>
      <w:r w:rsidR="00550001" w:rsidRPr="0028632F">
        <w:rPr>
          <w:i/>
          <w:iCs/>
          <w:kern w:val="2"/>
          <w:lang w:val="lt-LT"/>
        </w:rPr>
        <w:t>as</w:t>
      </w:r>
      <w:r w:rsidRPr="0028632F">
        <w:rPr>
          <w:i/>
          <w:iCs/>
          <w:kern w:val="2"/>
          <w:lang w:val="lt-LT"/>
        </w:rPr>
        <w:t xml:space="preserve"> „Vartojimo prekių ir paslaugų“).</w:t>
      </w:r>
    </w:p>
    <w:p w14:paraId="2E734D75" w14:textId="739984CF" w:rsidR="00773EF4" w:rsidRPr="0028632F" w:rsidRDefault="00773EF4" w:rsidP="00550001">
      <w:pPr>
        <w:spacing w:after="0" w:line="240" w:lineRule="auto"/>
        <w:ind w:left="567"/>
        <w:jc w:val="both"/>
        <w:rPr>
          <w:i/>
          <w:iCs/>
          <w:lang w:val="lt-LT"/>
        </w:rPr>
      </w:pPr>
      <w:proofErr w:type="spellStart"/>
      <w:r w:rsidRPr="0028632F">
        <w:rPr>
          <w:i/>
          <w:iCs/>
          <w:kern w:val="2"/>
          <w:lang w:val="lt-LT"/>
        </w:rPr>
        <w:t>Ind</w:t>
      </w:r>
      <w:r w:rsidRPr="0028632F">
        <w:rPr>
          <w:i/>
          <w:iCs/>
          <w:kern w:val="2"/>
          <w:vertAlign w:val="subscript"/>
          <w:lang w:val="lt-LT"/>
        </w:rPr>
        <w:t>pradžia</w:t>
      </w:r>
      <w:proofErr w:type="spellEnd"/>
      <w:r w:rsidRPr="0028632F">
        <w:rPr>
          <w:i/>
          <w:iCs/>
          <w:kern w:val="2"/>
          <w:lang w:val="lt-LT"/>
        </w:rPr>
        <w:t xml:space="preserve"> – laikotarpio pradžios datos (mėnesio) vartojimo prekių ir paslaugų indeksas (bendr</w:t>
      </w:r>
      <w:r w:rsidR="00550001" w:rsidRPr="0028632F">
        <w:rPr>
          <w:i/>
          <w:iCs/>
          <w:kern w:val="2"/>
          <w:lang w:val="lt-LT"/>
        </w:rPr>
        <w:t>as</w:t>
      </w:r>
      <w:r w:rsidRPr="0028632F">
        <w:rPr>
          <w:i/>
          <w:iCs/>
          <w:kern w:val="2"/>
          <w:lang w:val="lt-LT"/>
        </w:rPr>
        <w:t xml:space="preserve"> „Vartojimo prekių ir paslaugų“). Pirmojo perskaičiavimo atveju laikotarpio pradžia (mėnuo) yra</w:t>
      </w:r>
      <w:r w:rsidRPr="0028632F">
        <w:rPr>
          <w:i/>
          <w:iCs/>
          <w:lang w:val="lt-LT"/>
        </w:rPr>
        <w:t xml:space="preserve"> Sutarties įsigaliojimo dienos mėnuo</w:t>
      </w:r>
      <w:r w:rsidRPr="0028632F">
        <w:rPr>
          <w:i/>
          <w:iCs/>
          <w:kern w:val="2"/>
          <w:szCs w:val="24"/>
          <w:shd w:val="clear" w:color="auto" w:fill="FFFFFF"/>
          <w:lang w:val="lt-LT"/>
        </w:rPr>
        <w:t>.</w:t>
      </w:r>
      <w:r w:rsidRPr="0028632F">
        <w:rPr>
          <w:i/>
          <w:iCs/>
          <w:kern w:val="2"/>
          <w:lang w:val="lt-LT"/>
        </w:rPr>
        <w:t xml:space="preserve"> Antrojo ir vėlesnių perskaičiavimų atveju laikotarpio pradžia (mėnuo) yra paskutinio perskaičiavimo metu naudotos paskelbto atitinkamo indekso reikšmės mėnuo.</w:t>
      </w:r>
    </w:p>
    <w:p w14:paraId="186F3AAD" w14:textId="380034B4" w:rsidR="00773EF4" w:rsidRPr="0028632F" w:rsidRDefault="00773EF4" w:rsidP="00550001">
      <w:pPr>
        <w:spacing w:after="0" w:line="240" w:lineRule="auto"/>
        <w:ind w:left="567"/>
        <w:jc w:val="both"/>
        <w:rPr>
          <w:i/>
          <w:iCs/>
          <w:kern w:val="2"/>
          <w:szCs w:val="24"/>
          <w:shd w:val="clear" w:color="auto" w:fill="FFFFFF"/>
          <w:lang w:val="lt-LT"/>
        </w:rPr>
      </w:pPr>
      <w:r w:rsidRPr="0028632F">
        <w:rPr>
          <w:i/>
          <w:iCs/>
          <w:kern w:val="2"/>
          <w:szCs w:val="24"/>
          <w:lang w:val="lt-LT"/>
        </w:rPr>
        <w:t xml:space="preserve">5.3.3.7. </w:t>
      </w:r>
      <w:r w:rsidRPr="0028632F">
        <w:rPr>
          <w:i/>
          <w:iCs/>
          <w:kern w:val="2"/>
          <w:szCs w:val="24"/>
          <w:shd w:val="clear" w:color="auto" w:fill="FFFFFF"/>
          <w:lang w:val="lt-LT"/>
        </w:rPr>
        <w:t xml:space="preserve">Skaičiavimams indeksų reikšmės imamos </w:t>
      </w:r>
      <w:r w:rsidRPr="0028632F">
        <w:rPr>
          <w:b/>
          <w:i/>
          <w:iCs/>
          <w:kern w:val="2"/>
          <w:szCs w:val="24"/>
          <w:shd w:val="clear" w:color="auto" w:fill="FFFFFF"/>
          <w:lang w:val="lt-LT"/>
        </w:rPr>
        <w:t>keturių</w:t>
      </w:r>
      <w:r w:rsidRPr="0028632F">
        <w:rPr>
          <w:i/>
          <w:iCs/>
          <w:kern w:val="2"/>
          <w:szCs w:val="24"/>
          <w:shd w:val="clear" w:color="auto" w:fill="FFFFFF"/>
          <w:lang w:val="lt-LT"/>
        </w:rPr>
        <w:t xml:space="preserve"> skaitmenų po kablelio tikslumu. Apskaičiuotas pokytis (k) tolimesniems skaičiavimams naudojamas suapvalinus iki </w:t>
      </w:r>
      <w:r w:rsidRPr="0028632F">
        <w:rPr>
          <w:b/>
          <w:i/>
          <w:iCs/>
          <w:kern w:val="2"/>
          <w:szCs w:val="24"/>
          <w:shd w:val="clear" w:color="auto" w:fill="FFFFFF"/>
          <w:lang w:val="lt-LT"/>
        </w:rPr>
        <w:t>vieno</w:t>
      </w:r>
      <w:r w:rsidRPr="0028632F">
        <w:rPr>
          <w:i/>
          <w:iCs/>
          <w:kern w:val="2"/>
          <w:szCs w:val="24"/>
          <w:shd w:val="clear" w:color="auto" w:fill="FFFFFF"/>
          <w:lang w:val="lt-LT"/>
        </w:rPr>
        <w:t xml:space="preserve"> skaitmens po kablelio, o apskaičiuota </w:t>
      </w:r>
      <w:proofErr w:type="spellStart"/>
      <w:r w:rsidR="00C63235" w:rsidRPr="0028632F">
        <w:rPr>
          <w:i/>
          <w:iCs/>
          <w:kern w:val="2"/>
          <w:szCs w:val="24"/>
          <w:shd w:val="clear" w:color="auto" w:fill="FFFFFF"/>
          <w:lang w:val="lt-LT"/>
        </w:rPr>
        <w:t>į</w:t>
      </w:r>
      <w:r w:rsidRPr="0028632F">
        <w:rPr>
          <w:i/>
          <w:iCs/>
          <w:kern w:val="2"/>
          <w:szCs w:val="24"/>
          <w:shd w:val="clear" w:color="auto" w:fill="FFFFFF"/>
          <w:lang w:val="lt-LT"/>
        </w:rPr>
        <w:t>kain</w:t>
      </w:r>
      <w:r w:rsidR="00C63235" w:rsidRPr="0028632F">
        <w:rPr>
          <w:i/>
          <w:iCs/>
          <w:kern w:val="2"/>
          <w:szCs w:val="24"/>
          <w:shd w:val="clear" w:color="auto" w:fill="FFFFFF"/>
          <w:lang w:val="lt-LT"/>
        </w:rPr>
        <w:t>ai</w:t>
      </w:r>
      <w:proofErr w:type="spellEnd"/>
      <w:r w:rsidRPr="0028632F">
        <w:rPr>
          <w:i/>
          <w:iCs/>
          <w:kern w:val="2"/>
          <w:szCs w:val="24"/>
          <w:shd w:val="clear" w:color="auto" w:fill="FFFFFF"/>
          <w:lang w:val="lt-LT"/>
        </w:rPr>
        <w:t xml:space="preserve"> „a</w:t>
      </w:r>
      <w:r w:rsidRPr="0028632F">
        <w:rPr>
          <w:i/>
          <w:iCs/>
          <w:kern w:val="2"/>
          <w:szCs w:val="24"/>
          <w:shd w:val="clear" w:color="auto" w:fill="FFFFFF"/>
          <w:vertAlign w:val="subscript"/>
          <w:lang w:val="lt-LT"/>
        </w:rPr>
        <w:t>1</w:t>
      </w:r>
      <w:r w:rsidRPr="0028632F">
        <w:rPr>
          <w:i/>
          <w:iCs/>
          <w:kern w:val="2"/>
          <w:szCs w:val="24"/>
          <w:shd w:val="clear" w:color="auto" w:fill="FFFFFF"/>
          <w:lang w:val="lt-LT"/>
        </w:rPr>
        <w:t xml:space="preserve">“ suapvalinamas iki </w:t>
      </w:r>
      <w:r w:rsidR="00E25046" w:rsidRPr="0028632F">
        <w:rPr>
          <w:b/>
          <w:i/>
          <w:iCs/>
          <w:kern w:val="2"/>
          <w:szCs w:val="24"/>
          <w:shd w:val="clear" w:color="auto" w:fill="FFFFFF"/>
          <w:lang w:val="lt-LT"/>
        </w:rPr>
        <w:t>penkių</w:t>
      </w:r>
      <w:r w:rsidRPr="0028632F">
        <w:rPr>
          <w:i/>
          <w:iCs/>
          <w:kern w:val="2"/>
          <w:szCs w:val="24"/>
          <w:shd w:val="clear" w:color="auto" w:fill="FFFFFF"/>
          <w:lang w:val="lt-LT"/>
        </w:rPr>
        <w:t xml:space="preserve"> skaitmenų po kablelio.</w:t>
      </w:r>
    </w:p>
    <w:p w14:paraId="7E2AC906" w14:textId="12F23261" w:rsidR="00773EF4" w:rsidRPr="0028632F" w:rsidRDefault="00773EF4" w:rsidP="00550001">
      <w:pPr>
        <w:spacing w:after="0" w:line="240" w:lineRule="auto"/>
        <w:ind w:left="567"/>
        <w:jc w:val="both"/>
        <w:rPr>
          <w:i/>
          <w:iCs/>
          <w:kern w:val="2"/>
          <w:szCs w:val="24"/>
          <w:shd w:val="clear" w:color="auto" w:fill="FFFFFF"/>
          <w:lang w:val="lt-LT"/>
        </w:rPr>
      </w:pPr>
      <w:r w:rsidRPr="0028632F">
        <w:rPr>
          <w:i/>
          <w:iCs/>
          <w:kern w:val="2"/>
          <w:szCs w:val="24"/>
          <w:shd w:val="clear" w:color="auto" w:fill="FFFFFF"/>
          <w:lang w:val="lt-LT"/>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A6EE4A3" w14:textId="2ADB628D" w:rsidR="00773EF4" w:rsidRPr="0028632F" w:rsidRDefault="00773EF4" w:rsidP="00550001">
      <w:pPr>
        <w:spacing w:after="0" w:line="240" w:lineRule="auto"/>
        <w:ind w:left="567"/>
        <w:jc w:val="both"/>
        <w:rPr>
          <w:i/>
          <w:iCs/>
          <w:kern w:val="2"/>
          <w:szCs w:val="24"/>
          <w:shd w:val="clear" w:color="auto" w:fill="FFFFFF"/>
          <w:lang w:val="lt-LT"/>
        </w:rPr>
      </w:pPr>
      <w:r w:rsidRPr="0028632F">
        <w:rPr>
          <w:i/>
          <w:iCs/>
          <w:kern w:val="2"/>
          <w:szCs w:val="24"/>
          <w:shd w:val="clear" w:color="auto" w:fill="FFFFFF"/>
          <w:lang w:val="lt-LT"/>
        </w:rPr>
        <w:t>5</w:t>
      </w:r>
      <w:r w:rsidRPr="0028632F">
        <w:rPr>
          <w:i/>
          <w:iCs/>
          <w:kern w:val="2"/>
          <w:szCs w:val="24"/>
          <w:lang w:val="lt-LT"/>
        </w:rPr>
        <w:t xml:space="preserve">.3.3.9. </w:t>
      </w:r>
      <w:r w:rsidRPr="0028632F">
        <w:rPr>
          <w:i/>
          <w:iCs/>
          <w:kern w:val="2"/>
          <w:szCs w:val="24"/>
          <w:shd w:val="clear" w:color="auto" w:fill="FFFFFF"/>
          <w:lang w:val="lt-LT"/>
        </w:rPr>
        <w:t>Susitarimas turi būti sudarytas per</w:t>
      </w:r>
      <w:r w:rsidR="00550001" w:rsidRPr="0028632F">
        <w:rPr>
          <w:i/>
          <w:iCs/>
          <w:kern w:val="2"/>
          <w:szCs w:val="24"/>
          <w:shd w:val="clear" w:color="auto" w:fill="FFFFFF"/>
          <w:lang w:val="lt-LT"/>
        </w:rPr>
        <w:t xml:space="preserve"> 10 (dešimt) darbo dienų</w:t>
      </w:r>
      <w:r w:rsidRPr="0028632F">
        <w:rPr>
          <w:i/>
          <w:iCs/>
          <w:kern w:val="2"/>
          <w:szCs w:val="24"/>
          <w:shd w:val="clear" w:color="auto" w:fill="FFFFFF"/>
          <w:lang w:val="lt-LT"/>
        </w:rPr>
        <w:t xml:space="preserve"> nuo Šalies pateikto tinkamo prašymo perskaičiuoti S</w:t>
      </w:r>
      <w:r w:rsidRPr="0028632F">
        <w:rPr>
          <w:i/>
          <w:iCs/>
          <w:kern w:val="2"/>
          <w:szCs w:val="24"/>
          <w:lang w:val="lt-LT"/>
        </w:rPr>
        <w:t xml:space="preserve">utarties </w:t>
      </w:r>
      <w:r w:rsidR="00D236A7" w:rsidRPr="0028632F">
        <w:rPr>
          <w:i/>
          <w:iCs/>
          <w:kern w:val="2"/>
          <w:szCs w:val="24"/>
          <w:lang w:val="lt-LT"/>
        </w:rPr>
        <w:t>į</w:t>
      </w:r>
      <w:r w:rsidRPr="0028632F">
        <w:rPr>
          <w:i/>
          <w:iCs/>
          <w:kern w:val="2"/>
          <w:szCs w:val="24"/>
          <w:shd w:val="clear" w:color="auto" w:fill="FFFFFF"/>
          <w:lang w:val="lt-LT"/>
        </w:rPr>
        <w:t>kain</w:t>
      </w:r>
      <w:r w:rsidR="00D236A7" w:rsidRPr="0028632F">
        <w:rPr>
          <w:i/>
          <w:iCs/>
          <w:kern w:val="2"/>
          <w:szCs w:val="24"/>
          <w:shd w:val="clear" w:color="auto" w:fill="FFFFFF"/>
          <w:lang w:val="lt-LT"/>
        </w:rPr>
        <w:t>ius</w:t>
      </w:r>
      <w:r w:rsidRPr="0028632F">
        <w:rPr>
          <w:i/>
          <w:iCs/>
          <w:kern w:val="2"/>
          <w:szCs w:val="24"/>
          <w:shd w:val="clear" w:color="auto" w:fill="FFFFFF"/>
          <w:lang w:val="lt-LT"/>
        </w:rPr>
        <w:t xml:space="preserve"> gavimo dienos.</w:t>
      </w:r>
    </w:p>
    <w:p w14:paraId="1B462BFD" w14:textId="77777777" w:rsidR="00773EF4" w:rsidRDefault="00773EF4" w:rsidP="00550001">
      <w:pPr>
        <w:spacing w:after="0" w:line="240" w:lineRule="auto"/>
        <w:ind w:left="567"/>
        <w:jc w:val="both"/>
        <w:rPr>
          <w:i/>
          <w:iCs/>
          <w:kern w:val="2"/>
          <w:szCs w:val="24"/>
          <w:bdr w:val="none" w:sz="0" w:space="0" w:color="auto" w:frame="1"/>
          <w:lang w:val="lt-LT"/>
        </w:rPr>
      </w:pPr>
      <w:r w:rsidRPr="0028632F">
        <w:rPr>
          <w:i/>
          <w:iCs/>
          <w:kern w:val="2"/>
          <w:szCs w:val="24"/>
          <w:shd w:val="clear" w:color="auto" w:fill="FFFFFF"/>
          <w:lang w:val="lt-LT"/>
        </w:rPr>
        <w:t xml:space="preserve">5.3.3.10. </w:t>
      </w:r>
      <w:r w:rsidRPr="0028632F">
        <w:rPr>
          <w:i/>
          <w:iCs/>
          <w:kern w:val="2"/>
          <w:szCs w:val="24"/>
          <w:bdr w:val="none" w:sz="0" w:space="0" w:color="auto" w:frame="1"/>
          <w:lang w:val="lt-LT"/>
        </w:rPr>
        <w:t>Susitarimu Šalys neturi teisės keisti procedūroje nurodytos tvarkos ar kitų Sutarties nuostatų, išskyrus, jei keitimas atliekamas pagal VPĮ nuostatas.</w:t>
      </w:r>
    </w:p>
    <w:p w14:paraId="38944F82" w14:textId="77777777" w:rsidR="00746C82" w:rsidRPr="00550001" w:rsidRDefault="00746C82" w:rsidP="00550001">
      <w:pPr>
        <w:spacing w:after="0" w:line="240" w:lineRule="auto"/>
        <w:ind w:left="567"/>
        <w:jc w:val="both"/>
        <w:rPr>
          <w:i/>
          <w:iCs/>
          <w:kern w:val="2"/>
          <w:szCs w:val="24"/>
          <w:bdr w:val="none" w:sz="0" w:space="0" w:color="auto" w:frame="1"/>
          <w:lang w:val="lt-LT"/>
        </w:rPr>
      </w:pPr>
    </w:p>
    <w:p w14:paraId="1B95AC8D" w14:textId="7E9079E5" w:rsidR="00BE4765" w:rsidRPr="00773EF4" w:rsidRDefault="00BE4765" w:rsidP="00BE4765">
      <w:pPr>
        <w:pStyle w:val="pf0"/>
        <w:tabs>
          <w:tab w:val="left" w:pos="993"/>
        </w:tabs>
        <w:spacing w:before="0" w:beforeAutospacing="0" w:after="0" w:afterAutospacing="0"/>
        <w:ind w:left="567"/>
        <w:jc w:val="both"/>
        <w:rPr>
          <w:rFonts w:asciiTheme="minorHAnsi" w:hAnsiTheme="minorHAnsi" w:cstheme="minorHAnsi"/>
          <w:sz w:val="21"/>
          <w:szCs w:val="21"/>
          <w:u w:val="single"/>
        </w:rPr>
      </w:pPr>
      <w:r w:rsidRPr="00773EF4">
        <w:rPr>
          <w:rFonts w:asciiTheme="minorHAnsi" w:hAnsiTheme="minorHAnsi" w:cstheme="minorHAnsi"/>
          <w:sz w:val="21"/>
          <w:szCs w:val="21"/>
          <w:u w:val="single"/>
        </w:rPr>
        <w:t>Sutarties Specialiosios dalies 5.</w:t>
      </w:r>
      <w:r>
        <w:rPr>
          <w:rFonts w:asciiTheme="minorHAnsi" w:hAnsiTheme="minorHAnsi" w:cstheme="minorHAnsi"/>
          <w:sz w:val="21"/>
          <w:szCs w:val="21"/>
          <w:u w:val="single"/>
        </w:rPr>
        <w:t>4</w:t>
      </w:r>
      <w:r w:rsidRPr="00773EF4">
        <w:rPr>
          <w:rFonts w:asciiTheme="minorHAnsi" w:hAnsiTheme="minorHAnsi" w:cstheme="minorHAnsi"/>
          <w:sz w:val="21"/>
          <w:szCs w:val="21"/>
          <w:u w:val="single"/>
        </w:rPr>
        <w:t xml:space="preserve"> punktas:</w:t>
      </w:r>
    </w:p>
    <w:p w14:paraId="349C84EF" w14:textId="77777777" w:rsidR="001A15D3" w:rsidRPr="001A15D3" w:rsidRDefault="001A15D3" w:rsidP="001A15D3">
      <w:pPr>
        <w:spacing w:after="0" w:line="240" w:lineRule="auto"/>
        <w:ind w:left="567"/>
        <w:jc w:val="both"/>
        <w:rPr>
          <w:rFonts w:cstheme="minorHAnsi"/>
          <w:i/>
          <w:iCs/>
          <w:lang w:val="lt-LT" w:eastAsia="lt-LT"/>
        </w:rPr>
      </w:pPr>
      <w:r w:rsidRPr="001A15D3">
        <w:rPr>
          <w:rFonts w:cstheme="minorHAnsi"/>
          <w:i/>
          <w:iCs/>
          <w:lang w:val="lt-LT" w:eastAsia="lt-LT"/>
        </w:rPr>
        <w:t>Draudimo įmoka už Investicijų draudimą yra mokama tokia tvarka:</w:t>
      </w:r>
    </w:p>
    <w:p w14:paraId="73A483C3" w14:textId="77777777" w:rsidR="001A15D3" w:rsidRPr="001A15D3" w:rsidRDefault="001A15D3" w:rsidP="001A15D3">
      <w:pPr>
        <w:spacing w:after="0" w:line="240" w:lineRule="auto"/>
        <w:ind w:left="567"/>
        <w:jc w:val="both"/>
        <w:rPr>
          <w:rFonts w:cstheme="minorHAnsi"/>
          <w:i/>
          <w:iCs/>
          <w:lang w:val="lt-LT" w:eastAsia="lt-LT"/>
        </w:rPr>
      </w:pPr>
      <w:r w:rsidRPr="001A15D3">
        <w:rPr>
          <w:rFonts w:cstheme="minorHAnsi"/>
          <w:i/>
          <w:iCs/>
          <w:lang w:val="lt-LT" w:eastAsia="lt-LT"/>
        </w:rPr>
        <w:t>Draudimo liudijime yra įskaičiuota metinė Investicijų draudimo įmoka.......... EUR (ne daugiau 50%), nuo Investicijų draudimo sumos.</w:t>
      </w:r>
    </w:p>
    <w:p w14:paraId="095FBFDC" w14:textId="5929AF5F" w:rsidR="001A15D3" w:rsidRPr="001A15D3" w:rsidRDefault="001A15D3" w:rsidP="001A15D3">
      <w:pPr>
        <w:spacing w:after="0" w:line="240" w:lineRule="auto"/>
        <w:ind w:left="567"/>
        <w:jc w:val="both"/>
        <w:rPr>
          <w:rFonts w:cstheme="minorHAnsi"/>
          <w:i/>
          <w:iCs/>
          <w:lang w:val="lt-LT" w:eastAsia="lt-LT"/>
        </w:rPr>
      </w:pPr>
      <w:r w:rsidRPr="001A15D3">
        <w:rPr>
          <w:rFonts w:cstheme="minorHAnsi"/>
          <w:i/>
          <w:iCs/>
          <w:lang w:val="lt-LT" w:eastAsia="lt-LT"/>
        </w:rPr>
        <w:t xml:space="preserve">Šalių susitarimu, draudimo įmoka už Investicijų draudimą bus perskaičiuota draudimo sutarties pabaigoje. Tam tikslui, </w:t>
      </w:r>
      <w:r>
        <w:rPr>
          <w:rFonts w:cstheme="minorHAnsi"/>
          <w:i/>
          <w:iCs/>
          <w:lang w:val="lt-LT" w:eastAsia="lt-LT"/>
        </w:rPr>
        <w:t>Pirkėjas</w:t>
      </w:r>
      <w:r w:rsidRPr="001A15D3">
        <w:rPr>
          <w:rFonts w:cstheme="minorHAnsi"/>
          <w:i/>
          <w:iCs/>
          <w:lang w:val="lt-LT" w:eastAsia="lt-LT"/>
        </w:rPr>
        <w:t xml:space="preserve"> ne vėliau kaip 30 dienų po draudimo sutarties pasibaigimo, raštu deklaruoja per draudimo laikotarpį įsisavintų Investicijų faktinę vertę. </w:t>
      </w:r>
      <w:r>
        <w:rPr>
          <w:rFonts w:cstheme="minorHAnsi"/>
          <w:i/>
          <w:iCs/>
          <w:lang w:val="lt-LT" w:eastAsia="lt-LT"/>
        </w:rPr>
        <w:t>Paslaugų teikėjas</w:t>
      </w:r>
      <w:r w:rsidRPr="001A15D3">
        <w:rPr>
          <w:rFonts w:cstheme="minorHAnsi"/>
          <w:i/>
          <w:iCs/>
          <w:lang w:val="lt-LT" w:eastAsia="lt-LT"/>
        </w:rPr>
        <w:t xml:space="preserve"> perskaičiuoja metinę Investicijų draudimo įmoką pagal faktinę vertę šia tvarka:</w:t>
      </w:r>
    </w:p>
    <w:p w14:paraId="395023AE" w14:textId="77777777" w:rsidR="001A15D3" w:rsidRPr="001A15D3" w:rsidRDefault="001A15D3" w:rsidP="001A15D3">
      <w:pPr>
        <w:spacing w:after="0" w:line="240" w:lineRule="auto"/>
        <w:ind w:left="567"/>
        <w:jc w:val="both"/>
        <w:rPr>
          <w:rFonts w:cstheme="minorHAnsi"/>
          <w:i/>
          <w:iCs/>
          <w:lang w:val="lt-LT" w:eastAsia="lt-LT"/>
        </w:rPr>
      </w:pPr>
      <w:r w:rsidRPr="001A15D3">
        <w:rPr>
          <w:rFonts w:cstheme="minorHAnsi"/>
          <w:i/>
          <w:iCs/>
          <w:lang w:val="lt-LT" w:eastAsia="lt-LT"/>
        </w:rPr>
        <w:t>- suskaičiuojama faktinės Investicijų vertės draudimo įmoka padauginus per draudimo laikotarpį faktiškai įsisavintų investicijų vertė iš Investicijų draudimo įmokos tarifo........ %;</w:t>
      </w:r>
    </w:p>
    <w:p w14:paraId="52758BFF" w14:textId="77777777" w:rsidR="001A15D3" w:rsidRPr="001A15D3" w:rsidRDefault="001A15D3" w:rsidP="001A15D3">
      <w:pPr>
        <w:spacing w:after="0" w:line="240" w:lineRule="auto"/>
        <w:ind w:left="567"/>
        <w:jc w:val="both"/>
        <w:rPr>
          <w:rFonts w:cstheme="minorHAnsi"/>
          <w:i/>
          <w:iCs/>
          <w:lang w:val="lt-LT" w:eastAsia="lt-LT"/>
        </w:rPr>
      </w:pPr>
      <w:r w:rsidRPr="001A15D3">
        <w:rPr>
          <w:rFonts w:cstheme="minorHAnsi"/>
          <w:i/>
          <w:iCs/>
          <w:lang w:val="lt-LT" w:eastAsia="lt-LT"/>
        </w:rPr>
        <w:t>- jeigu faktinės Investicijų vertės draudimo įmoka yra mažesnė nei draudimo liudijime įskaičiuota Investicijų draudimo įmoka (...........EUR), skirtumas tarp faktinės ir jau sumokėtos draudimo įmokos už Investicijų draudimą negrąžinamas, nes tai yra minimali įmoka;</w:t>
      </w:r>
    </w:p>
    <w:p w14:paraId="0288A1EA" w14:textId="41E2FEC4" w:rsidR="001A15D3" w:rsidRPr="001A15D3" w:rsidRDefault="001A15D3" w:rsidP="001A15D3">
      <w:pPr>
        <w:spacing w:after="0" w:line="240" w:lineRule="auto"/>
        <w:ind w:left="567"/>
        <w:jc w:val="both"/>
        <w:rPr>
          <w:rFonts w:cstheme="minorHAnsi"/>
          <w:i/>
          <w:iCs/>
          <w:lang w:val="lt-LT" w:eastAsia="lt-LT"/>
        </w:rPr>
      </w:pPr>
      <w:r w:rsidRPr="001A15D3">
        <w:rPr>
          <w:rFonts w:cstheme="minorHAnsi"/>
          <w:i/>
          <w:iCs/>
          <w:lang w:val="lt-LT" w:eastAsia="lt-LT"/>
        </w:rPr>
        <w:t xml:space="preserve">- jeigu faktinės Investicijų vertės draudimo įmoka yra didesnė nei draudimo liudijime įskaičiuota Investicijų draudimo įmoka (...........EUR), tai skirtumą tarp faktinės ir jau sumokėtos draudimo įmokos už Investicijų draudimą </w:t>
      </w:r>
      <w:r>
        <w:rPr>
          <w:rFonts w:cstheme="minorHAnsi"/>
          <w:i/>
          <w:iCs/>
          <w:lang w:val="lt-LT" w:eastAsia="lt-LT"/>
        </w:rPr>
        <w:t>Pirkėjas</w:t>
      </w:r>
      <w:r w:rsidRPr="001A15D3">
        <w:rPr>
          <w:rFonts w:cstheme="minorHAnsi"/>
          <w:i/>
          <w:iCs/>
          <w:lang w:val="lt-LT" w:eastAsia="lt-LT"/>
        </w:rPr>
        <w:t xml:space="preserve"> sumoka </w:t>
      </w:r>
      <w:r>
        <w:rPr>
          <w:rFonts w:cstheme="minorHAnsi"/>
          <w:i/>
          <w:iCs/>
          <w:lang w:val="lt-LT" w:eastAsia="lt-LT"/>
        </w:rPr>
        <w:t>Paslaugų teikėjui</w:t>
      </w:r>
      <w:r w:rsidRPr="001A15D3">
        <w:rPr>
          <w:rFonts w:cstheme="minorHAnsi"/>
          <w:i/>
          <w:iCs/>
          <w:lang w:val="lt-LT" w:eastAsia="lt-LT"/>
        </w:rPr>
        <w:t xml:space="preserve"> pagal </w:t>
      </w:r>
      <w:r>
        <w:rPr>
          <w:rFonts w:cstheme="minorHAnsi"/>
          <w:i/>
          <w:iCs/>
          <w:lang w:val="lt-LT" w:eastAsia="lt-LT"/>
        </w:rPr>
        <w:t>Paslaugų teikėjo</w:t>
      </w:r>
      <w:r w:rsidRPr="001A15D3">
        <w:rPr>
          <w:rFonts w:cstheme="minorHAnsi"/>
          <w:i/>
          <w:iCs/>
          <w:lang w:val="lt-LT" w:eastAsia="lt-LT"/>
        </w:rPr>
        <w:t xml:space="preserve"> sąskaitą ne vėliau kaip 30 dienų nuo sąskaitos gavimo. </w:t>
      </w:r>
    </w:p>
    <w:p w14:paraId="58C1A40A" w14:textId="77777777" w:rsidR="00773EF4" w:rsidRPr="00773EF4" w:rsidRDefault="00773EF4" w:rsidP="00773EF4">
      <w:pPr>
        <w:pStyle w:val="pf0"/>
        <w:tabs>
          <w:tab w:val="left" w:pos="993"/>
        </w:tabs>
        <w:spacing w:before="0" w:beforeAutospacing="0" w:after="0" w:afterAutospacing="0"/>
        <w:ind w:left="567"/>
        <w:jc w:val="both"/>
        <w:rPr>
          <w:rFonts w:asciiTheme="minorHAnsi" w:hAnsiTheme="minorHAnsi" w:cstheme="minorHAnsi"/>
          <w:sz w:val="21"/>
          <w:szCs w:val="21"/>
          <w:u w:val="single"/>
        </w:rPr>
      </w:pPr>
    </w:p>
    <w:p w14:paraId="6F8D01F9" w14:textId="091BE95D" w:rsidR="003813DC" w:rsidRPr="0058627C" w:rsidRDefault="00063ABF" w:rsidP="00E969D2">
      <w:pPr>
        <w:pStyle w:val="pf0"/>
        <w:numPr>
          <w:ilvl w:val="1"/>
          <w:numId w:val="9"/>
        </w:numPr>
        <w:tabs>
          <w:tab w:val="left" w:pos="993"/>
        </w:tabs>
        <w:spacing w:before="0" w:beforeAutospacing="0" w:after="0" w:afterAutospacing="0"/>
        <w:ind w:left="0" w:firstLine="567"/>
        <w:jc w:val="both"/>
        <w:rPr>
          <w:rFonts w:asciiTheme="minorHAnsi" w:hAnsiTheme="minorHAnsi" w:cstheme="minorHAnsi"/>
          <w:sz w:val="21"/>
          <w:szCs w:val="21"/>
        </w:rPr>
      </w:pPr>
      <w:r w:rsidRPr="0058627C">
        <w:rPr>
          <w:rFonts w:ascii="Calibri" w:hAnsi="Calibri"/>
          <w:sz w:val="21"/>
          <w:szCs w:val="21"/>
        </w:rPr>
        <w:t xml:space="preserve">Pirkėjas sumoka </w:t>
      </w:r>
      <w:r w:rsidR="008D3EE5" w:rsidRPr="0058627C">
        <w:rPr>
          <w:rFonts w:ascii="Calibri" w:hAnsi="Calibri"/>
          <w:sz w:val="21"/>
          <w:szCs w:val="21"/>
        </w:rPr>
        <w:t>Paslaugų teikėjui</w:t>
      </w:r>
      <w:r w:rsidR="00152122" w:rsidRPr="0058627C">
        <w:rPr>
          <w:rFonts w:ascii="Calibri" w:hAnsi="Calibri"/>
          <w:sz w:val="21"/>
          <w:szCs w:val="21"/>
        </w:rPr>
        <w:t xml:space="preserve"> </w:t>
      </w:r>
      <w:r w:rsidRPr="0058627C">
        <w:rPr>
          <w:rFonts w:ascii="Calibri" w:hAnsi="Calibri"/>
          <w:sz w:val="21"/>
          <w:szCs w:val="21"/>
        </w:rPr>
        <w:t xml:space="preserve">ne vėliau kaip per 30 dienų nuo </w:t>
      </w:r>
      <w:r w:rsidR="008D3EE5" w:rsidRPr="0058627C">
        <w:rPr>
          <w:rFonts w:asciiTheme="minorHAnsi" w:hAnsiTheme="minorHAnsi" w:cstheme="minorHAnsi"/>
          <w:sz w:val="21"/>
          <w:szCs w:val="21"/>
        </w:rPr>
        <w:t>Paslaugų teikėjo</w:t>
      </w:r>
      <w:r w:rsidRPr="0058627C">
        <w:rPr>
          <w:rFonts w:asciiTheme="minorHAnsi" w:hAnsiTheme="minorHAnsi" w:cstheme="minorHAnsi"/>
          <w:sz w:val="21"/>
          <w:szCs w:val="21"/>
        </w:rPr>
        <w:t xml:space="preserve"> sąskaitos faktūros </w:t>
      </w:r>
      <w:r w:rsidR="00BE4765">
        <w:rPr>
          <w:rFonts w:asciiTheme="minorHAnsi" w:hAnsiTheme="minorHAnsi" w:cstheme="minorHAnsi"/>
          <w:sz w:val="21"/>
          <w:szCs w:val="21"/>
        </w:rPr>
        <w:t xml:space="preserve">ir draudimo poliso </w:t>
      </w:r>
      <w:r w:rsidRPr="0058627C">
        <w:rPr>
          <w:rFonts w:asciiTheme="minorHAnsi" w:hAnsiTheme="minorHAnsi" w:cstheme="minorHAnsi"/>
          <w:sz w:val="21"/>
          <w:szCs w:val="21"/>
        </w:rPr>
        <w:t xml:space="preserve">gavimo datos. </w:t>
      </w:r>
      <w:bookmarkStart w:id="1" w:name="_Toc11397273"/>
    </w:p>
    <w:p w14:paraId="7B3AAE51" w14:textId="014CB77B" w:rsidR="00E36816" w:rsidRPr="00B1663E" w:rsidRDefault="00B1663E" w:rsidP="00E969D2">
      <w:pPr>
        <w:pStyle w:val="ListParagraph"/>
        <w:numPr>
          <w:ilvl w:val="1"/>
          <w:numId w:val="9"/>
        </w:numPr>
        <w:tabs>
          <w:tab w:val="left" w:pos="993"/>
        </w:tabs>
        <w:ind w:left="0" w:firstLine="567"/>
        <w:contextualSpacing w:val="0"/>
        <w:jc w:val="both"/>
        <w:rPr>
          <w:rFonts w:asciiTheme="minorHAnsi" w:hAnsiTheme="minorHAnsi" w:cstheme="minorHAnsi"/>
          <w:bCs/>
          <w:sz w:val="21"/>
          <w:szCs w:val="21"/>
          <w:lang w:val="lt-LT"/>
        </w:rPr>
      </w:pPr>
      <w:r w:rsidRPr="00B1663E">
        <w:rPr>
          <w:rFonts w:ascii="Calibri" w:hAnsi="Calibri" w:cs="Calibri"/>
          <w:color w:val="000000"/>
          <w:sz w:val="22"/>
          <w:szCs w:val="22"/>
          <w:lang w:val="lt-LT"/>
        </w:rPr>
        <w:t>Draudimo polisas 12 mėn. laikotarpiui išduodamas ne vėliau kaip per 5 darbo dienas nuo Sutarties įsigaliojimo</w:t>
      </w:r>
      <w:r w:rsidR="00745715" w:rsidRPr="00B1663E">
        <w:rPr>
          <w:rFonts w:asciiTheme="minorHAnsi" w:hAnsiTheme="minorHAnsi" w:cstheme="minorHAnsi"/>
          <w:sz w:val="21"/>
          <w:szCs w:val="21"/>
          <w:lang w:val="lt-LT"/>
        </w:rPr>
        <w:t>.</w:t>
      </w:r>
    </w:p>
    <w:p w14:paraId="153E5942" w14:textId="4466ABE1" w:rsidR="00E36816" w:rsidRDefault="008D3EE5" w:rsidP="00E969D2">
      <w:pPr>
        <w:pStyle w:val="ListParagraph"/>
        <w:numPr>
          <w:ilvl w:val="1"/>
          <w:numId w:val="9"/>
        </w:numPr>
        <w:tabs>
          <w:tab w:val="left" w:pos="993"/>
        </w:tabs>
        <w:ind w:left="0" w:firstLine="567"/>
        <w:jc w:val="both"/>
        <w:rPr>
          <w:rFonts w:asciiTheme="minorHAnsi" w:hAnsiTheme="minorHAnsi" w:cstheme="minorHAnsi"/>
          <w:sz w:val="21"/>
          <w:szCs w:val="21"/>
          <w:lang w:val="lt-LT"/>
        </w:rPr>
      </w:pPr>
      <w:r w:rsidRPr="0058627C">
        <w:rPr>
          <w:rFonts w:asciiTheme="minorHAnsi" w:hAnsiTheme="minorHAnsi" w:cstheme="minorHAnsi"/>
          <w:bCs/>
          <w:sz w:val="21"/>
          <w:szCs w:val="21"/>
          <w:lang w:val="lt-LT"/>
        </w:rPr>
        <w:t>Paslaugų suteikimo vieta</w:t>
      </w:r>
      <w:r w:rsidR="00E36816" w:rsidRPr="0058627C">
        <w:rPr>
          <w:rFonts w:asciiTheme="minorHAnsi" w:hAnsiTheme="minorHAnsi" w:cstheme="minorHAnsi"/>
          <w:bCs/>
          <w:sz w:val="21"/>
          <w:szCs w:val="21"/>
          <w:lang w:val="lt-LT"/>
        </w:rPr>
        <w:t xml:space="preserve"> – </w:t>
      </w:r>
      <w:r w:rsidR="00260344">
        <w:rPr>
          <w:rFonts w:asciiTheme="minorHAnsi" w:hAnsiTheme="minorHAnsi" w:cstheme="minorHAnsi"/>
          <w:bCs/>
          <w:sz w:val="21"/>
          <w:szCs w:val="21"/>
          <w:lang w:val="lt-LT"/>
        </w:rPr>
        <w:t xml:space="preserve">Balio Karvelio g. </w:t>
      </w:r>
      <w:r w:rsidR="00260344">
        <w:rPr>
          <w:rFonts w:asciiTheme="minorHAnsi" w:hAnsiTheme="minorHAnsi" w:cstheme="minorHAnsi"/>
          <w:bCs/>
          <w:sz w:val="21"/>
          <w:szCs w:val="21"/>
        </w:rPr>
        <w:t xml:space="preserve">25, LT-02184 </w:t>
      </w:r>
      <w:r w:rsidRPr="0058627C">
        <w:rPr>
          <w:rFonts w:asciiTheme="minorHAnsi" w:hAnsiTheme="minorHAnsi" w:cstheme="minorHAnsi"/>
          <w:bCs/>
          <w:sz w:val="21"/>
          <w:szCs w:val="21"/>
          <w:lang w:val="lt-LT"/>
        </w:rPr>
        <w:t>V</w:t>
      </w:r>
      <w:r w:rsidR="00863EE9" w:rsidRPr="0058627C">
        <w:rPr>
          <w:rFonts w:asciiTheme="minorHAnsi" w:hAnsiTheme="minorHAnsi" w:cstheme="minorHAnsi"/>
          <w:bCs/>
          <w:iCs/>
          <w:sz w:val="21"/>
          <w:szCs w:val="21"/>
          <w:lang w:val="lt-LT"/>
        </w:rPr>
        <w:t>ilnius</w:t>
      </w:r>
      <w:r w:rsidR="00260344">
        <w:rPr>
          <w:rFonts w:asciiTheme="minorHAnsi" w:hAnsiTheme="minorHAnsi" w:cstheme="minorHAnsi"/>
          <w:bCs/>
          <w:iCs/>
          <w:sz w:val="21"/>
          <w:szCs w:val="21"/>
          <w:lang w:val="lt-LT"/>
        </w:rPr>
        <w:t xml:space="preserve"> arba kita Šalių sutarta vieta Lietuvos Respublikos teritorijoje, taip pat nuotoliniu būdu</w:t>
      </w:r>
      <w:r w:rsidR="000F543F" w:rsidRPr="0058627C">
        <w:rPr>
          <w:rFonts w:asciiTheme="minorHAnsi" w:hAnsiTheme="minorHAnsi" w:cstheme="minorHAnsi"/>
          <w:sz w:val="21"/>
          <w:szCs w:val="21"/>
          <w:lang w:val="lt-LT"/>
        </w:rPr>
        <w:t>.</w:t>
      </w:r>
    </w:p>
    <w:p w14:paraId="6DA5A9B4" w14:textId="508B9F1C" w:rsidR="00B1663E" w:rsidRPr="00B1663E" w:rsidRDefault="00B1663E" w:rsidP="00E969D2">
      <w:pPr>
        <w:pStyle w:val="ListParagraph"/>
        <w:numPr>
          <w:ilvl w:val="1"/>
          <w:numId w:val="9"/>
        </w:numPr>
        <w:tabs>
          <w:tab w:val="left" w:pos="993"/>
        </w:tabs>
        <w:ind w:left="0" w:firstLine="567"/>
        <w:jc w:val="both"/>
        <w:rPr>
          <w:rFonts w:asciiTheme="minorHAnsi" w:hAnsiTheme="minorHAnsi" w:cstheme="minorHAnsi"/>
          <w:sz w:val="21"/>
          <w:szCs w:val="21"/>
          <w:lang w:val="lt-LT"/>
        </w:rPr>
      </w:pPr>
      <w:r w:rsidRPr="00B1663E">
        <w:rPr>
          <w:rFonts w:ascii="Calibri" w:hAnsi="Calibri" w:cs="Calibri"/>
          <w:iCs/>
          <w:sz w:val="22"/>
          <w:szCs w:val="22"/>
          <w:lang w:val="lt-LT"/>
        </w:rPr>
        <w:t>Paslaugų teikėjas įsipareigoja</w:t>
      </w:r>
      <w:r w:rsidRPr="00B1663E">
        <w:rPr>
          <w:rFonts w:ascii="Calibri" w:hAnsi="Calibri" w:cs="Calibri"/>
          <w:sz w:val="22"/>
          <w:szCs w:val="22"/>
          <w:lang w:val="lt-LT"/>
        </w:rPr>
        <w:t xml:space="preserve"> draudžiamojo įvykio atveju Draudimo išmoką išmokėti per 30 (trisdešimt) kalendorinių dienų nuo draudžiamojo įvykio aplinkybių ir pasekmių bei nuostolių ir išlaidų, susijusių su reikalavimo nagrinėjimu ir atsikirtimu, sumos nustatymo.</w:t>
      </w:r>
    </w:p>
    <w:p w14:paraId="0039B0D2" w14:textId="5222F302" w:rsidR="003E6DD7" w:rsidRPr="00B1663E" w:rsidRDefault="008D3EE5" w:rsidP="00E969D2">
      <w:pPr>
        <w:pStyle w:val="ListParagraph"/>
        <w:numPr>
          <w:ilvl w:val="1"/>
          <w:numId w:val="9"/>
        </w:numPr>
        <w:tabs>
          <w:tab w:val="left" w:pos="993"/>
        </w:tabs>
        <w:ind w:left="0" w:firstLine="567"/>
        <w:jc w:val="both"/>
        <w:rPr>
          <w:rFonts w:asciiTheme="minorHAnsi" w:hAnsiTheme="minorHAnsi" w:cstheme="minorHAnsi"/>
          <w:sz w:val="21"/>
          <w:szCs w:val="21"/>
          <w:lang w:val="lt-LT"/>
        </w:rPr>
      </w:pPr>
      <w:r w:rsidRPr="0058627C">
        <w:rPr>
          <w:rFonts w:asciiTheme="minorHAnsi" w:eastAsia="Calibri" w:hAnsiTheme="minorHAnsi" w:cstheme="minorHAnsi"/>
          <w:bCs/>
          <w:iCs/>
          <w:sz w:val="21"/>
          <w:szCs w:val="21"/>
          <w:lang w:val="lt-LT"/>
        </w:rPr>
        <w:lastRenderedPageBreak/>
        <w:t>Paslaugų</w:t>
      </w:r>
      <w:r w:rsidR="003E6DD7" w:rsidRPr="0058627C">
        <w:rPr>
          <w:rFonts w:asciiTheme="minorHAnsi" w:eastAsia="Calibri" w:hAnsiTheme="minorHAnsi" w:cstheme="minorHAnsi"/>
          <w:bCs/>
          <w:iCs/>
          <w:sz w:val="21"/>
          <w:szCs w:val="21"/>
          <w:lang w:val="lt-LT"/>
        </w:rPr>
        <w:t xml:space="preserve"> kokybė ir trūkumų </w:t>
      </w:r>
      <w:r w:rsidR="003E6DD7" w:rsidRPr="00B1663E">
        <w:rPr>
          <w:rFonts w:asciiTheme="minorHAnsi" w:eastAsia="Calibri" w:hAnsiTheme="minorHAnsi" w:cstheme="minorHAnsi"/>
          <w:bCs/>
          <w:iCs/>
          <w:sz w:val="21"/>
          <w:szCs w:val="21"/>
          <w:lang w:val="lt-LT"/>
        </w:rPr>
        <w:t xml:space="preserve">šalinimas: ne vėliau kaip </w:t>
      </w:r>
      <w:r w:rsidR="00863EE9" w:rsidRPr="00B1663E">
        <w:rPr>
          <w:rFonts w:asciiTheme="minorHAnsi" w:eastAsia="Calibri" w:hAnsiTheme="minorHAnsi" w:cstheme="minorHAnsi"/>
          <w:bCs/>
          <w:iCs/>
          <w:sz w:val="21"/>
          <w:szCs w:val="21"/>
          <w:lang w:val="lt-LT"/>
        </w:rPr>
        <w:t xml:space="preserve">per </w:t>
      </w:r>
      <w:r w:rsidR="00B1663E" w:rsidRPr="00B1663E">
        <w:rPr>
          <w:rFonts w:ascii="Calibri" w:hAnsi="Calibri" w:cs="Calibri"/>
          <w:color w:val="000000"/>
          <w:sz w:val="22"/>
          <w:szCs w:val="22"/>
          <w:lang w:val="lt-LT"/>
        </w:rPr>
        <w:t>3 darbo dienas nuo Pirkėjo rašytinio pranešimo gavimo bei kompensuoti Pirkėjo patirtus tiesioginius nuostolius (jeigu tokių buvo)</w:t>
      </w:r>
      <w:r w:rsidR="003E6DD7" w:rsidRPr="00B1663E">
        <w:rPr>
          <w:rFonts w:asciiTheme="minorHAnsi" w:eastAsia="Calibri" w:hAnsiTheme="minorHAnsi" w:cstheme="minorHAnsi"/>
          <w:bCs/>
          <w:iCs/>
          <w:sz w:val="21"/>
          <w:szCs w:val="21"/>
          <w:lang w:val="lt-LT"/>
        </w:rPr>
        <w:t>.</w:t>
      </w:r>
    </w:p>
    <w:p w14:paraId="36C8160D" w14:textId="329C5BDC" w:rsidR="00B1663E" w:rsidRPr="00B1663E" w:rsidRDefault="00B1663E" w:rsidP="00E969D2">
      <w:pPr>
        <w:pStyle w:val="ListParagraph"/>
        <w:numPr>
          <w:ilvl w:val="1"/>
          <w:numId w:val="9"/>
        </w:numPr>
        <w:tabs>
          <w:tab w:val="left" w:pos="993"/>
        </w:tabs>
        <w:ind w:left="0" w:firstLine="567"/>
        <w:jc w:val="both"/>
        <w:rPr>
          <w:rFonts w:asciiTheme="minorHAnsi" w:hAnsiTheme="minorHAnsi" w:cstheme="minorHAnsi"/>
          <w:sz w:val="21"/>
          <w:szCs w:val="21"/>
          <w:lang w:val="lt-LT"/>
        </w:rPr>
      </w:pPr>
      <w:r w:rsidRPr="00B1663E">
        <w:rPr>
          <w:rFonts w:ascii="Calibri" w:hAnsi="Calibri" w:cs="Calibri"/>
          <w:color w:val="000000"/>
          <w:sz w:val="22"/>
          <w:szCs w:val="22"/>
          <w:lang w:val="lt-LT"/>
        </w:rPr>
        <w:t>Pirkėjas turi pranešti apie Paslaugų trūkumus Paslaugų teikėjui per 2 darbo dienas Paslaugų teikėjo nur</w:t>
      </w:r>
      <w:r w:rsidR="00EC0A2E">
        <w:rPr>
          <w:rFonts w:ascii="Calibri" w:hAnsi="Calibri" w:cs="Calibri"/>
          <w:color w:val="000000"/>
          <w:sz w:val="22"/>
          <w:szCs w:val="22"/>
          <w:lang w:val="lt-LT"/>
        </w:rPr>
        <w:t>o</w:t>
      </w:r>
      <w:r w:rsidRPr="00B1663E">
        <w:rPr>
          <w:rFonts w:ascii="Calibri" w:hAnsi="Calibri" w:cs="Calibri"/>
          <w:color w:val="000000"/>
          <w:sz w:val="22"/>
          <w:szCs w:val="22"/>
          <w:lang w:val="lt-LT"/>
        </w:rPr>
        <w:t>dytu elektroniniu paštu.</w:t>
      </w:r>
    </w:p>
    <w:p w14:paraId="4C2B84DB" w14:textId="77777777" w:rsidR="00E8053E" w:rsidRPr="002F0C15" w:rsidRDefault="003E6DD7" w:rsidP="00E8053E">
      <w:pPr>
        <w:pStyle w:val="ListParagraph"/>
        <w:numPr>
          <w:ilvl w:val="0"/>
          <w:numId w:val="14"/>
        </w:numPr>
        <w:tabs>
          <w:tab w:val="left" w:pos="993"/>
        </w:tabs>
        <w:spacing w:after="120"/>
        <w:ind w:left="0" w:firstLine="567"/>
        <w:jc w:val="both"/>
        <w:rPr>
          <w:rFonts w:asciiTheme="minorHAnsi" w:hAnsiTheme="minorHAnsi" w:cstheme="minorHAnsi"/>
          <w:sz w:val="22"/>
          <w:szCs w:val="22"/>
          <w:lang w:val="lt-LT"/>
        </w:rPr>
      </w:pPr>
      <w:bookmarkStart w:id="2" w:name="_Hlk121326325"/>
      <w:r w:rsidRPr="0058627C">
        <w:rPr>
          <w:rFonts w:asciiTheme="minorHAnsi" w:hAnsiTheme="minorHAnsi" w:cstheme="minorHAnsi"/>
          <w:bCs/>
          <w:sz w:val="21"/>
          <w:szCs w:val="21"/>
          <w:lang w:val="lt-LT"/>
        </w:rPr>
        <w:t xml:space="preserve"> </w:t>
      </w:r>
      <w:bookmarkEnd w:id="2"/>
      <w:r w:rsidR="003813DC" w:rsidRPr="0058627C">
        <w:rPr>
          <w:rFonts w:asciiTheme="minorHAnsi" w:hAnsiTheme="minorHAnsi" w:cstheme="minorHAnsi"/>
          <w:bCs/>
          <w:sz w:val="21"/>
          <w:szCs w:val="21"/>
          <w:lang w:val="lt-LT"/>
        </w:rPr>
        <w:t xml:space="preserve">Sutartis įsigalioja kai ją pasirašo abi </w:t>
      </w:r>
      <w:r w:rsidR="00D83968">
        <w:rPr>
          <w:rFonts w:asciiTheme="minorHAnsi" w:hAnsiTheme="minorHAnsi" w:cstheme="minorHAnsi"/>
          <w:bCs/>
          <w:sz w:val="21"/>
          <w:szCs w:val="21"/>
          <w:lang w:val="lt-LT"/>
        </w:rPr>
        <w:t>Š</w:t>
      </w:r>
      <w:r w:rsidR="003813DC" w:rsidRPr="0058627C">
        <w:rPr>
          <w:rFonts w:asciiTheme="minorHAnsi" w:hAnsiTheme="minorHAnsi" w:cstheme="minorHAnsi"/>
          <w:bCs/>
          <w:sz w:val="21"/>
          <w:szCs w:val="21"/>
          <w:lang w:val="lt-LT"/>
        </w:rPr>
        <w:t>alys ir galioja</w:t>
      </w:r>
      <w:r w:rsidR="00C43D96" w:rsidRPr="0058627C">
        <w:rPr>
          <w:rFonts w:asciiTheme="minorHAnsi" w:hAnsiTheme="minorHAnsi" w:cstheme="minorHAnsi"/>
          <w:sz w:val="21"/>
          <w:szCs w:val="21"/>
          <w:lang w:val="lt-LT"/>
        </w:rPr>
        <w:t xml:space="preserve"> </w:t>
      </w:r>
      <w:r w:rsidR="00726847" w:rsidRPr="0058627C">
        <w:rPr>
          <w:rFonts w:asciiTheme="minorHAnsi" w:hAnsiTheme="minorHAnsi" w:cstheme="minorHAnsi"/>
          <w:sz w:val="21"/>
          <w:szCs w:val="21"/>
          <w:lang w:val="lt-LT"/>
        </w:rPr>
        <w:t xml:space="preserve">iki visiško Šalių </w:t>
      </w:r>
      <w:r w:rsidR="00E36816" w:rsidRPr="0058627C">
        <w:rPr>
          <w:rFonts w:asciiTheme="minorHAnsi" w:hAnsiTheme="minorHAnsi" w:cstheme="minorHAnsi"/>
          <w:bCs/>
          <w:sz w:val="21"/>
          <w:szCs w:val="21"/>
          <w:lang w:val="lt-LT"/>
        </w:rPr>
        <w:t>įsipareigojimų įvykdymo</w:t>
      </w:r>
      <w:r w:rsidR="00726847" w:rsidRPr="0058627C">
        <w:rPr>
          <w:rFonts w:asciiTheme="minorHAnsi" w:hAnsiTheme="minorHAnsi" w:cstheme="minorHAnsi"/>
          <w:sz w:val="21"/>
          <w:szCs w:val="21"/>
          <w:lang w:val="lt-LT"/>
        </w:rPr>
        <w:t xml:space="preserve">, tačiau ne ilgiau nei </w:t>
      </w:r>
      <w:r w:rsidR="00C43D96" w:rsidRPr="0058627C">
        <w:rPr>
          <w:rFonts w:asciiTheme="minorHAnsi" w:hAnsiTheme="minorHAnsi" w:cstheme="minorHAnsi"/>
          <w:sz w:val="21"/>
          <w:szCs w:val="21"/>
          <w:lang w:val="lt-LT"/>
        </w:rPr>
        <w:t xml:space="preserve"> </w:t>
      </w:r>
      <w:r w:rsidR="00E8053E">
        <w:rPr>
          <w:rFonts w:asciiTheme="minorHAnsi" w:hAnsiTheme="minorHAnsi" w:cstheme="minorHAnsi"/>
          <w:sz w:val="21"/>
          <w:szCs w:val="21"/>
          <w:lang w:val="lt-LT"/>
        </w:rPr>
        <w:t>12 mėnesių nuo draudimo apsaugos pradžios.</w:t>
      </w:r>
      <w:r w:rsidR="00C43D96" w:rsidRPr="0058627C">
        <w:rPr>
          <w:rFonts w:asciiTheme="minorHAnsi" w:hAnsiTheme="minorHAnsi" w:cstheme="minorHAnsi"/>
          <w:sz w:val="21"/>
          <w:szCs w:val="21"/>
          <w:lang w:val="lt-LT"/>
        </w:rPr>
        <w:t xml:space="preserve"> </w:t>
      </w:r>
      <w:bookmarkStart w:id="3" w:name="_Toc11397280"/>
      <w:bookmarkEnd w:id="1"/>
      <w:r w:rsidR="00E8053E">
        <w:rPr>
          <w:rFonts w:asciiTheme="minorHAnsi" w:hAnsiTheme="minorHAnsi" w:cstheme="minorHAnsi"/>
          <w:sz w:val="22"/>
          <w:szCs w:val="22"/>
          <w:lang w:val="lt-LT"/>
        </w:rPr>
        <w:t>D</w:t>
      </w:r>
      <w:r w:rsidR="00E8053E" w:rsidRPr="002F0C15">
        <w:rPr>
          <w:rFonts w:asciiTheme="minorHAnsi" w:hAnsiTheme="minorHAnsi" w:cstheme="minorHAnsi"/>
          <w:sz w:val="22"/>
          <w:szCs w:val="22"/>
          <w:lang w:val="lt-LT"/>
        </w:rPr>
        <w:t>raudimo apsaugos pradžios data 202</w:t>
      </w:r>
      <w:r w:rsidR="00E8053E">
        <w:rPr>
          <w:rFonts w:asciiTheme="minorHAnsi" w:hAnsiTheme="minorHAnsi" w:cstheme="minorHAnsi"/>
          <w:sz w:val="22"/>
          <w:szCs w:val="22"/>
          <w:lang w:val="lt-LT"/>
        </w:rPr>
        <w:t>5</w:t>
      </w:r>
      <w:r w:rsidR="00E8053E" w:rsidRPr="002F0C15">
        <w:rPr>
          <w:rFonts w:asciiTheme="minorHAnsi" w:hAnsiTheme="minorHAnsi" w:cstheme="minorHAnsi"/>
          <w:sz w:val="22"/>
          <w:szCs w:val="22"/>
          <w:lang w:val="lt-LT"/>
        </w:rPr>
        <w:t>-</w:t>
      </w:r>
      <w:r w:rsidR="00E8053E">
        <w:rPr>
          <w:rFonts w:asciiTheme="minorHAnsi" w:hAnsiTheme="minorHAnsi" w:cstheme="minorHAnsi"/>
          <w:sz w:val="22"/>
          <w:szCs w:val="22"/>
          <w:lang w:val="lt-LT"/>
        </w:rPr>
        <w:t>__</w:t>
      </w:r>
      <w:r w:rsidR="00E8053E" w:rsidRPr="002F0C15">
        <w:rPr>
          <w:rFonts w:asciiTheme="minorHAnsi" w:hAnsiTheme="minorHAnsi" w:cstheme="minorHAnsi"/>
          <w:sz w:val="22"/>
          <w:szCs w:val="22"/>
          <w:lang w:val="lt-LT"/>
        </w:rPr>
        <w:t>-</w:t>
      </w:r>
      <w:r w:rsidR="00E8053E">
        <w:rPr>
          <w:rFonts w:asciiTheme="minorHAnsi" w:hAnsiTheme="minorHAnsi" w:cstheme="minorHAnsi"/>
          <w:sz w:val="22"/>
          <w:szCs w:val="22"/>
          <w:lang w:val="lt-LT"/>
        </w:rPr>
        <w:t>__</w:t>
      </w:r>
      <w:r w:rsidR="00E8053E" w:rsidRPr="002F0C15">
        <w:rPr>
          <w:rFonts w:asciiTheme="minorHAnsi" w:hAnsiTheme="minorHAnsi" w:cstheme="minorHAnsi"/>
          <w:sz w:val="22"/>
          <w:szCs w:val="22"/>
          <w:lang w:val="lt-LT"/>
        </w:rPr>
        <w:t xml:space="preserve">. </w:t>
      </w:r>
    </w:p>
    <w:p w14:paraId="45FCDBFA" w14:textId="0FC7C754" w:rsidR="00B73CC5" w:rsidRPr="0058627C" w:rsidRDefault="00C43D96" w:rsidP="00E969D2">
      <w:pPr>
        <w:pStyle w:val="ListParagraph"/>
        <w:numPr>
          <w:ilvl w:val="0"/>
          <w:numId w:val="14"/>
        </w:numPr>
        <w:tabs>
          <w:tab w:val="left" w:pos="709"/>
          <w:tab w:val="left" w:pos="993"/>
        </w:tabs>
        <w:ind w:left="0" w:firstLine="567"/>
        <w:contextualSpacing w:val="0"/>
        <w:jc w:val="both"/>
        <w:rPr>
          <w:rFonts w:asciiTheme="minorHAnsi" w:hAnsiTheme="minorHAnsi" w:cstheme="minorHAnsi"/>
          <w:sz w:val="21"/>
          <w:szCs w:val="21"/>
          <w:lang w:val="lt-LT"/>
        </w:rPr>
      </w:pPr>
      <w:bookmarkStart w:id="4" w:name="_Toc11397283"/>
      <w:bookmarkEnd w:id="3"/>
      <w:r w:rsidRPr="0058627C">
        <w:rPr>
          <w:rFonts w:asciiTheme="minorHAnsi" w:hAnsiTheme="minorHAnsi" w:cstheme="minorHAnsi"/>
          <w:sz w:val="21"/>
          <w:szCs w:val="21"/>
          <w:lang w:val="lt-LT"/>
        </w:rPr>
        <w:t>P</w:t>
      </w:r>
      <w:r w:rsidR="00632D15" w:rsidRPr="0058627C">
        <w:rPr>
          <w:rFonts w:asciiTheme="minorHAnsi" w:hAnsiTheme="minorHAnsi" w:cstheme="minorHAnsi"/>
          <w:sz w:val="21"/>
          <w:szCs w:val="21"/>
          <w:lang w:val="lt-LT"/>
        </w:rPr>
        <w:t xml:space="preserve">irkėjui </w:t>
      </w:r>
      <w:r w:rsidRPr="0058627C">
        <w:rPr>
          <w:rFonts w:asciiTheme="minorHAnsi" w:hAnsiTheme="minorHAnsi" w:cstheme="minorHAnsi"/>
          <w:sz w:val="21"/>
          <w:szCs w:val="21"/>
          <w:lang w:val="lt-LT"/>
        </w:rPr>
        <w:t>laiku neatlikus mokėjimo</w:t>
      </w:r>
      <w:r w:rsidRPr="0058627C">
        <w:rPr>
          <w:rFonts w:asciiTheme="minorHAnsi" w:hAnsiTheme="minorHAnsi" w:cstheme="minorHAnsi"/>
          <w:sz w:val="21"/>
          <w:szCs w:val="21"/>
          <w:lang w:val="lt-LT" w:eastAsia="lt-LT"/>
        </w:rPr>
        <w:t xml:space="preserve"> </w:t>
      </w:r>
      <w:r w:rsidR="00437009" w:rsidRPr="0058627C">
        <w:rPr>
          <w:rFonts w:asciiTheme="minorHAnsi" w:hAnsiTheme="minorHAnsi" w:cstheme="minorHAnsi"/>
          <w:sz w:val="21"/>
          <w:szCs w:val="21"/>
          <w:lang w:val="lt-LT"/>
        </w:rPr>
        <w:t xml:space="preserve">pagal </w:t>
      </w:r>
      <w:r w:rsidR="00103E32">
        <w:rPr>
          <w:rFonts w:asciiTheme="minorHAnsi" w:hAnsiTheme="minorHAnsi" w:cstheme="minorHAnsi"/>
          <w:sz w:val="21"/>
          <w:szCs w:val="21"/>
          <w:lang w:val="lt-LT"/>
        </w:rPr>
        <w:t>S</w:t>
      </w:r>
      <w:r w:rsidR="00437009" w:rsidRPr="0058627C">
        <w:rPr>
          <w:rFonts w:asciiTheme="minorHAnsi" w:hAnsiTheme="minorHAnsi" w:cstheme="minorHAnsi"/>
          <w:sz w:val="21"/>
          <w:szCs w:val="21"/>
          <w:lang w:val="lt-LT"/>
        </w:rPr>
        <w:t xml:space="preserve">utarties sąlygas, </w:t>
      </w:r>
      <w:r w:rsidR="00D83968">
        <w:rPr>
          <w:rFonts w:asciiTheme="minorHAnsi" w:hAnsiTheme="minorHAnsi" w:cstheme="minorHAnsi"/>
          <w:sz w:val="21"/>
          <w:szCs w:val="21"/>
          <w:lang w:val="lt-LT"/>
        </w:rPr>
        <w:t>Paslaugų teikėjas</w:t>
      </w:r>
      <w:r w:rsidRPr="0058627C">
        <w:rPr>
          <w:rFonts w:asciiTheme="minorHAnsi" w:hAnsiTheme="minorHAnsi" w:cstheme="minorHAnsi"/>
          <w:sz w:val="21"/>
          <w:szCs w:val="21"/>
          <w:lang w:val="lt-LT"/>
        </w:rPr>
        <w:t xml:space="preserve"> turi teisę reikalauti 0,0</w:t>
      </w:r>
      <w:r w:rsidR="003B0552" w:rsidRPr="0058627C">
        <w:rPr>
          <w:rFonts w:asciiTheme="minorHAnsi" w:hAnsiTheme="minorHAnsi" w:cstheme="minorHAnsi"/>
          <w:sz w:val="21"/>
          <w:szCs w:val="21"/>
          <w:lang w:val="lt-LT"/>
        </w:rPr>
        <w:t>4</w:t>
      </w:r>
      <w:r w:rsidRPr="0058627C">
        <w:rPr>
          <w:rFonts w:asciiTheme="minorHAnsi" w:hAnsiTheme="minorHAnsi" w:cstheme="minorHAnsi"/>
          <w:sz w:val="21"/>
          <w:szCs w:val="21"/>
          <w:lang w:val="lt-LT"/>
        </w:rPr>
        <w:t xml:space="preserve"> proc. laiku nesumokėtos sumos dydžio delspinigių už kiekvieną uždelstą dieną.</w:t>
      </w:r>
      <w:bookmarkStart w:id="5" w:name="_Toc11397284"/>
      <w:bookmarkEnd w:id="4"/>
    </w:p>
    <w:p w14:paraId="389E4B4B" w14:textId="27D87CF8" w:rsidR="00156C5A" w:rsidRPr="0058627C" w:rsidRDefault="00D83968" w:rsidP="00E969D2">
      <w:pPr>
        <w:pStyle w:val="ListParagraph"/>
        <w:numPr>
          <w:ilvl w:val="0"/>
          <w:numId w:val="14"/>
        </w:numPr>
        <w:tabs>
          <w:tab w:val="left" w:pos="709"/>
          <w:tab w:val="left" w:pos="993"/>
        </w:tabs>
        <w:ind w:left="0" w:firstLine="567"/>
        <w:contextualSpacing w:val="0"/>
        <w:jc w:val="both"/>
        <w:rPr>
          <w:rFonts w:asciiTheme="minorHAnsi" w:hAnsiTheme="minorHAnsi" w:cstheme="minorHAnsi"/>
          <w:sz w:val="21"/>
          <w:szCs w:val="21"/>
          <w:lang w:val="lt-LT"/>
        </w:rPr>
      </w:pPr>
      <w:r>
        <w:rPr>
          <w:rFonts w:asciiTheme="minorHAnsi" w:hAnsiTheme="minorHAnsi" w:cstheme="minorHAnsi"/>
          <w:sz w:val="21"/>
          <w:szCs w:val="21"/>
          <w:lang w:val="lt-LT"/>
        </w:rPr>
        <w:t>Paslaugų teikėjui</w:t>
      </w:r>
      <w:r w:rsidR="00156C5A" w:rsidRPr="0058627C">
        <w:rPr>
          <w:rFonts w:asciiTheme="minorHAnsi" w:hAnsiTheme="minorHAnsi" w:cstheme="minorHAnsi"/>
          <w:sz w:val="21"/>
          <w:szCs w:val="21"/>
          <w:lang w:val="lt-LT"/>
        </w:rPr>
        <w:t xml:space="preserve"> laiku </w:t>
      </w:r>
      <w:r w:rsidR="00A77011" w:rsidRPr="0058627C">
        <w:rPr>
          <w:rFonts w:asciiTheme="minorHAnsi" w:hAnsiTheme="minorHAnsi" w:cstheme="minorHAnsi"/>
          <w:sz w:val="21"/>
          <w:szCs w:val="21"/>
          <w:lang w:val="lt-LT"/>
        </w:rPr>
        <w:t>nesuteikus Paslaugų</w:t>
      </w:r>
      <w:r w:rsidR="00156C5A" w:rsidRPr="0058627C">
        <w:rPr>
          <w:rFonts w:asciiTheme="minorHAnsi" w:hAnsiTheme="minorHAnsi" w:cstheme="minorHAnsi"/>
          <w:sz w:val="21"/>
          <w:szCs w:val="21"/>
          <w:lang w:val="lt-LT" w:eastAsia="lt-LT"/>
        </w:rPr>
        <w:t xml:space="preserve"> </w:t>
      </w:r>
      <w:r w:rsidR="00156C5A" w:rsidRPr="0058627C">
        <w:rPr>
          <w:rFonts w:asciiTheme="minorHAnsi" w:hAnsiTheme="minorHAnsi" w:cstheme="minorHAnsi"/>
          <w:sz w:val="21"/>
          <w:szCs w:val="21"/>
          <w:lang w:val="lt-LT"/>
        </w:rPr>
        <w:t>pagal sutarties sąlygas, Pirkėjas turi teisę reikalauti 0,0</w:t>
      </w:r>
      <w:r w:rsidR="003B0552" w:rsidRPr="0058627C">
        <w:rPr>
          <w:rFonts w:asciiTheme="minorHAnsi" w:hAnsiTheme="minorHAnsi" w:cstheme="minorHAnsi"/>
          <w:sz w:val="21"/>
          <w:szCs w:val="21"/>
          <w:lang w:val="lt-LT"/>
        </w:rPr>
        <w:t>4</w:t>
      </w:r>
      <w:r w:rsidR="00156C5A" w:rsidRPr="0058627C">
        <w:rPr>
          <w:rFonts w:asciiTheme="minorHAnsi" w:hAnsiTheme="minorHAnsi" w:cstheme="minorHAnsi"/>
          <w:sz w:val="21"/>
          <w:szCs w:val="21"/>
          <w:lang w:val="lt-LT"/>
        </w:rPr>
        <w:t xml:space="preserve"> proc. laiku </w:t>
      </w:r>
      <w:r w:rsidR="00A77011" w:rsidRPr="0058627C">
        <w:rPr>
          <w:rFonts w:asciiTheme="minorHAnsi" w:hAnsiTheme="minorHAnsi" w:cstheme="minorHAnsi"/>
          <w:sz w:val="21"/>
          <w:szCs w:val="21"/>
          <w:lang w:val="lt-LT"/>
        </w:rPr>
        <w:t>nesuteiktų Paslaugų</w:t>
      </w:r>
      <w:r w:rsidR="00156C5A" w:rsidRPr="0058627C">
        <w:rPr>
          <w:rFonts w:asciiTheme="minorHAnsi" w:hAnsiTheme="minorHAnsi" w:cstheme="minorHAnsi"/>
          <w:sz w:val="21"/>
          <w:szCs w:val="21"/>
          <w:lang w:val="lt-LT"/>
        </w:rPr>
        <w:t xml:space="preserve"> vertės dydžio delspinigių už kiekvieną uždelstą dieną.</w:t>
      </w:r>
    </w:p>
    <w:p w14:paraId="09233C7D" w14:textId="27C68F2C" w:rsidR="003E6D23" w:rsidRPr="00F40733" w:rsidRDefault="00D83968" w:rsidP="00E969D2">
      <w:pPr>
        <w:pStyle w:val="ListParagraph"/>
        <w:numPr>
          <w:ilvl w:val="0"/>
          <w:numId w:val="14"/>
        </w:numPr>
        <w:tabs>
          <w:tab w:val="left" w:pos="709"/>
          <w:tab w:val="left" w:pos="993"/>
        </w:tabs>
        <w:ind w:left="0" w:firstLine="567"/>
        <w:contextualSpacing w:val="0"/>
        <w:jc w:val="both"/>
        <w:rPr>
          <w:rFonts w:asciiTheme="minorHAnsi" w:hAnsiTheme="minorHAnsi" w:cstheme="minorHAnsi"/>
          <w:sz w:val="21"/>
          <w:szCs w:val="21"/>
          <w:lang w:val="lt-LT"/>
        </w:rPr>
      </w:pPr>
      <w:r>
        <w:rPr>
          <w:rFonts w:asciiTheme="minorHAnsi" w:hAnsiTheme="minorHAnsi" w:cstheme="minorHAnsi"/>
          <w:sz w:val="21"/>
          <w:szCs w:val="21"/>
          <w:lang w:val="lt-LT"/>
        </w:rPr>
        <w:t>Paslaugų teikėjui</w:t>
      </w:r>
      <w:r w:rsidR="003E6D23" w:rsidRPr="0058627C">
        <w:rPr>
          <w:rFonts w:asciiTheme="minorHAnsi" w:hAnsiTheme="minorHAnsi" w:cstheme="minorHAnsi"/>
          <w:sz w:val="21"/>
          <w:szCs w:val="21"/>
          <w:lang w:val="lt-LT"/>
        </w:rPr>
        <w:t xml:space="preserve"> laiku nepašalinus</w:t>
      </w:r>
      <w:r w:rsidR="003E6D23" w:rsidRPr="0058627C">
        <w:rPr>
          <w:rFonts w:asciiTheme="minorHAnsi" w:hAnsiTheme="minorHAnsi"/>
          <w:sz w:val="21"/>
          <w:szCs w:val="21"/>
          <w:lang w:val="lt-LT"/>
        </w:rPr>
        <w:t xml:space="preserve"> </w:t>
      </w:r>
      <w:r w:rsidR="00A77011" w:rsidRPr="0058627C">
        <w:rPr>
          <w:rFonts w:asciiTheme="minorHAnsi" w:hAnsiTheme="minorHAnsi"/>
          <w:sz w:val="21"/>
          <w:szCs w:val="21"/>
          <w:lang w:val="lt-LT"/>
        </w:rPr>
        <w:t xml:space="preserve">Paslaugų </w:t>
      </w:r>
      <w:r w:rsidR="003E6D23" w:rsidRPr="0058627C">
        <w:rPr>
          <w:rFonts w:asciiTheme="minorHAnsi" w:hAnsiTheme="minorHAnsi"/>
          <w:sz w:val="21"/>
          <w:szCs w:val="21"/>
          <w:lang w:val="lt-LT"/>
        </w:rPr>
        <w:t>trūkumų</w:t>
      </w:r>
      <w:r w:rsidR="003E6D23" w:rsidRPr="0058627C">
        <w:rPr>
          <w:rFonts w:asciiTheme="minorHAnsi" w:hAnsiTheme="minorHAnsi"/>
          <w:sz w:val="21"/>
          <w:szCs w:val="21"/>
          <w:lang w:val="lt-LT" w:eastAsia="lt-LT"/>
        </w:rPr>
        <w:t xml:space="preserve"> </w:t>
      </w:r>
      <w:r w:rsidR="003E6D23" w:rsidRPr="0058627C">
        <w:rPr>
          <w:rFonts w:asciiTheme="minorHAnsi" w:hAnsiTheme="minorHAnsi"/>
          <w:sz w:val="21"/>
          <w:szCs w:val="21"/>
          <w:lang w:val="lt-LT"/>
        </w:rPr>
        <w:t xml:space="preserve">pagal </w:t>
      </w:r>
      <w:r w:rsidR="00103E32">
        <w:rPr>
          <w:rFonts w:asciiTheme="minorHAnsi" w:hAnsiTheme="minorHAnsi"/>
          <w:sz w:val="21"/>
          <w:szCs w:val="21"/>
          <w:lang w:val="lt-LT"/>
        </w:rPr>
        <w:t>S</w:t>
      </w:r>
      <w:r w:rsidR="003E6D23" w:rsidRPr="0058627C">
        <w:rPr>
          <w:rFonts w:asciiTheme="minorHAnsi" w:hAnsiTheme="minorHAnsi"/>
          <w:sz w:val="21"/>
          <w:szCs w:val="21"/>
          <w:lang w:val="lt-LT"/>
        </w:rPr>
        <w:t>utarties sąlygas, Pirkėjas turi teisę reikalauti 0,</w:t>
      </w:r>
      <w:r w:rsidR="003B0552" w:rsidRPr="0058627C">
        <w:rPr>
          <w:rFonts w:asciiTheme="minorHAnsi" w:hAnsiTheme="minorHAnsi"/>
          <w:sz w:val="21"/>
          <w:szCs w:val="21"/>
          <w:lang w:val="lt-LT"/>
        </w:rPr>
        <w:t>04</w:t>
      </w:r>
      <w:r w:rsidR="003E6D23" w:rsidRPr="0058627C">
        <w:rPr>
          <w:rFonts w:asciiTheme="minorHAnsi" w:hAnsiTheme="minorHAnsi"/>
          <w:sz w:val="21"/>
          <w:szCs w:val="21"/>
          <w:lang w:val="lt-LT"/>
        </w:rPr>
        <w:t xml:space="preserve"> proc. laiku </w:t>
      </w:r>
      <w:r w:rsidR="00182B0F" w:rsidRPr="0058627C">
        <w:rPr>
          <w:rFonts w:asciiTheme="minorHAnsi" w:hAnsiTheme="minorHAnsi"/>
          <w:sz w:val="21"/>
          <w:szCs w:val="21"/>
          <w:lang w:val="lt-LT"/>
        </w:rPr>
        <w:t>ne</w:t>
      </w:r>
      <w:r w:rsidR="00103E32">
        <w:rPr>
          <w:rFonts w:asciiTheme="minorHAnsi" w:hAnsiTheme="minorHAnsi"/>
          <w:sz w:val="21"/>
          <w:szCs w:val="21"/>
          <w:lang w:val="lt-LT"/>
        </w:rPr>
        <w:t>suteiktų</w:t>
      </w:r>
      <w:r w:rsidR="00182B0F" w:rsidRPr="0058627C">
        <w:rPr>
          <w:rFonts w:asciiTheme="minorHAnsi" w:hAnsiTheme="minorHAnsi"/>
          <w:sz w:val="21"/>
          <w:szCs w:val="21"/>
          <w:lang w:val="lt-LT"/>
        </w:rPr>
        <w:t xml:space="preserve"> </w:t>
      </w:r>
      <w:r w:rsidR="003E6D23" w:rsidRPr="0058627C">
        <w:rPr>
          <w:rFonts w:asciiTheme="minorHAnsi" w:hAnsiTheme="minorHAnsi"/>
          <w:sz w:val="21"/>
          <w:szCs w:val="21"/>
          <w:lang w:val="lt-LT"/>
        </w:rPr>
        <w:t>P</w:t>
      </w:r>
      <w:r w:rsidR="002A4CD3">
        <w:rPr>
          <w:rFonts w:asciiTheme="minorHAnsi" w:hAnsiTheme="minorHAnsi"/>
          <w:sz w:val="21"/>
          <w:szCs w:val="21"/>
          <w:lang w:val="lt-LT"/>
        </w:rPr>
        <w:t>aslaugų</w:t>
      </w:r>
      <w:r w:rsidR="003E6D23" w:rsidRPr="0058627C">
        <w:rPr>
          <w:rFonts w:asciiTheme="minorHAnsi" w:hAnsiTheme="minorHAnsi"/>
          <w:sz w:val="21"/>
          <w:szCs w:val="21"/>
          <w:lang w:val="lt-LT"/>
        </w:rPr>
        <w:t xml:space="preserve"> su trūkumais vertės dydžio delspinigių už kiekvieną uždelstą dieną.</w:t>
      </w:r>
    </w:p>
    <w:p w14:paraId="6BF74AED" w14:textId="646C1D03" w:rsidR="00F40733" w:rsidRPr="009F6DFC" w:rsidRDefault="00F40733" w:rsidP="00E969D2">
      <w:pPr>
        <w:pStyle w:val="ListParagraph"/>
        <w:numPr>
          <w:ilvl w:val="0"/>
          <w:numId w:val="14"/>
        </w:numPr>
        <w:tabs>
          <w:tab w:val="left" w:pos="709"/>
          <w:tab w:val="left" w:pos="993"/>
        </w:tabs>
        <w:ind w:left="0" w:firstLine="567"/>
        <w:contextualSpacing w:val="0"/>
        <w:jc w:val="both"/>
        <w:rPr>
          <w:rFonts w:asciiTheme="minorHAnsi" w:hAnsiTheme="minorHAnsi" w:cstheme="minorHAnsi"/>
          <w:sz w:val="21"/>
          <w:szCs w:val="21"/>
          <w:lang w:val="lt-LT"/>
        </w:rPr>
      </w:pPr>
      <w:r w:rsidRPr="00F40733">
        <w:rPr>
          <w:rFonts w:asciiTheme="minorHAnsi" w:hAnsiTheme="minorHAnsi" w:cstheme="minorHAnsi"/>
          <w:kern w:val="2"/>
          <w:sz w:val="22"/>
          <w:szCs w:val="22"/>
          <w:lang w:val="lt-LT"/>
        </w:rPr>
        <w:t>Nutraukus Sutartį dėl esminio Sutarties pažeidimo, nustatyto Sutarties Specialiosiose sąlygose, mokama 10 procentų dydžio bauda nuo Pradinės Sutarties vertės be PVM, nurodytos Specialiųjų sąlygų 5.2 punkte</w:t>
      </w:r>
      <w:r w:rsidR="009F6DFC">
        <w:rPr>
          <w:rFonts w:asciiTheme="minorHAnsi" w:hAnsiTheme="minorHAnsi" w:cstheme="minorHAnsi"/>
          <w:kern w:val="2"/>
          <w:sz w:val="22"/>
          <w:szCs w:val="22"/>
          <w:lang w:val="lt-LT"/>
        </w:rPr>
        <w:t>.</w:t>
      </w:r>
    </w:p>
    <w:p w14:paraId="74DB318F" w14:textId="3394F39C" w:rsidR="009F6DFC" w:rsidRDefault="009F6DFC" w:rsidP="009F6DFC">
      <w:pPr>
        <w:pStyle w:val="ListParagraph"/>
        <w:numPr>
          <w:ilvl w:val="0"/>
          <w:numId w:val="14"/>
        </w:numPr>
        <w:tabs>
          <w:tab w:val="left" w:pos="993"/>
        </w:tabs>
        <w:ind w:hanging="2279"/>
        <w:jc w:val="both"/>
        <w:rPr>
          <w:rFonts w:asciiTheme="minorHAnsi" w:hAnsiTheme="minorHAnsi" w:cstheme="minorHAnsi"/>
          <w:kern w:val="2"/>
          <w:sz w:val="22"/>
          <w:szCs w:val="22"/>
          <w:lang w:val="lt-LT"/>
        </w:rPr>
      </w:pPr>
      <w:r w:rsidRPr="009F6DFC">
        <w:rPr>
          <w:rFonts w:asciiTheme="minorHAnsi" w:hAnsiTheme="minorHAnsi" w:cstheme="minorHAnsi"/>
          <w:kern w:val="2"/>
          <w:sz w:val="22"/>
          <w:szCs w:val="22"/>
          <w:lang w:val="lt-LT"/>
        </w:rPr>
        <w:t xml:space="preserve">Sutarties sąlygos, kurios laikomos esminėmis Sutarties sąlygomis – Paslaugų </w:t>
      </w:r>
      <w:r w:rsidR="00AF1DE5">
        <w:rPr>
          <w:rFonts w:asciiTheme="minorHAnsi" w:hAnsiTheme="minorHAnsi" w:cstheme="minorHAnsi"/>
          <w:kern w:val="2"/>
          <w:sz w:val="22"/>
          <w:szCs w:val="22"/>
          <w:lang w:val="lt-LT"/>
        </w:rPr>
        <w:t>įkainis</w:t>
      </w:r>
      <w:r w:rsidRPr="009F6DFC">
        <w:rPr>
          <w:rFonts w:asciiTheme="minorHAnsi" w:hAnsiTheme="minorHAnsi" w:cstheme="minorHAnsi"/>
          <w:kern w:val="2"/>
          <w:sz w:val="22"/>
          <w:szCs w:val="22"/>
          <w:lang w:val="lt-LT"/>
        </w:rPr>
        <w:t>.</w:t>
      </w:r>
    </w:p>
    <w:p w14:paraId="49A8A9D0" w14:textId="064C7C40" w:rsidR="0037768F" w:rsidRPr="0037768F" w:rsidRDefault="0037768F" w:rsidP="0037768F">
      <w:pPr>
        <w:pStyle w:val="ListParagraph"/>
        <w:numPr>
          <w:ilvl w:val="0"/>
          <w:numId w:val="14"/>
        </w:numPr>
        <w:tabs>
          <w:tab w:val="left" w:pos="993"/>
        </w:tabs>
        <w:ind w:left="0" w:firstLine="567"/>
        <w:jc w:val="both"/>
        <w:rPr>
          <w:rFonts w:asciiTheme="minorHAnsi" w:hAnsiTheme="minorHAnsi" w:cstheme="minorHAnsi"/>
          <w:kern w:val="2"/>
          <w:sz w:val="22"/>
          <w:szCs w:val="22"/>
          <w:lang w:val="lt-LT"/>
        </w:rPr>
      </w:pPr>
      <w:r>
        <w:rPr>
          <w:rFonts w:asciiTheme="minorHAnsi" w:hAnsiTheme="minorHAnsi" w:cstheme="minorHAnsi"/>
          <w:kern w:val="2"/>
          <w:sz w:val="22"/>
          <w:szCs w:val="22"/>
          <w:lang w:val="lt-LT"/>
        </w:rPr>
        <w:t xml:space="preserve">Esminiai sutarties pažeidimai – </w:t>
      </w:r>
      <w:r w:rsidRPr="0037768F">
        <w:rPr>
          <w:rFonts w:asciiTheme="minorHAnsi" w:hAnsiTheme="minorHAnsi" w:cstheme="minorHAnsi"/>
          <w:kern w:val="2"/>
          <w:sz w:val="22"/>
          <w:szCs w:val="22"/>
          <w:lang w:val="lt-LT"/>
        </w:rPr>
        <w:t>jeigu Tiekėjas nevykdo prisiimtų įsipareigojimų už Sutartyje nustatyt</w:t>
      </w:r>
      <w:r>
        <w:rPr>
          <w:rFonts w:asciiTheme="minorHAnsi" w:hAnsiTheme="minorHAnsi" w:cstheme="minorHAnsi"/>
          <w:kern w:val="2"/>
          <w:sz w:val="22"/>
          <w:szCs w:val="22"/>
          <w:lang w:val="lt-LT"/>
        </w:rPr>
        <w:t>us</w:t>
      </w:r>
      <w:r w:rsidRPr="0037768F">
        <w:rPr>
          <w:rFonts w:asciiTheme="minorHAnsi" w:hAnsiTheme="minorHAnsi" w:cstheme="minorHAnsi"/>
          <w:kern w:val="2"/>
          <w:sz w:val="22"/>
          <w:szCs w:val="22"/>
          <w:lang w:val="lt-LT"/>
        </w:rPr>
        <w:t xml:space="preserve"> Sutarties įkainius</w:t>
      </w:r>
      <w:r>
        <w:rPr>
          <w:rFonts w:asciiTheme="minorHAnsi" w:hAnsiTheme="minorHAnsi" w:cstheme="minorHAnsi"/>
          <w:kern w:val="2"/>
          <w:sz w:val="22"/>
          <w:szCs w:val="22"/>
          <w:lang w:val="lt-LT"/>
        </w:rPr>
        <w:t>.</w:t>
      </w:r>
    </w:p>
    <w:p w14:paraId="7DB83375" w14:textId="24942AF3" w:rsidR="00CB0302" w:rsidRPr="00D83968" w:rsidRDefault="0058627C" w:rsidP="0058627C">
      <w:pPr>
        <w:pStyle w:val="ListParagraph"/>
        <w:numPr>
          <w:ilvl w:val="0"/>
          <w:numId w:val="14"/>
        </w:numPr>
        <w:tabs>
          <w:tab w:val="left" w:pos="851"/>
          <w:tab w:val="left" w:pos="993"/>
        </w:tabs>
        <w:spacing w:after="120"/>
        <w:ind w:left="0" w:firstLine="567"/>
        <w:jc w:val="both"/>
        <w:rPr>
          <w:rFonts w:asciiTheme="minorHAnsi" w:hAnsiTheme="minorHAnsi" w:cstheme="minorHAnsi"/>
          <w:vanish/>
          <w:sz w:val="22"/>
          <w:szCs w:val="22"/>
          <w:lang w:val="lt-LT"/>
        </w:rPr>
      </w:pPr>
      <w:r>
        <w:rPr>
          <w:rFonts w:ascii="Calibri" w:hAnsi="Calibri" w:cs="Calibri"/>
          <w:kern w:val="2"/>
          <w:sz w:val="22"/>
          <w:szCs w:val="22"/>
          <w:lang w:val="lt-LT"/>
        </w:rPr>
        <w:t xml:space="preserve"> </w:t>
      </w:r>
      <w:r w:rsidRPr="0058627C">
        <w:rPr>
          <w:rFonts w:ascii="Calibri" w:hAnsi="Calibri" w:cs="Calibri"/>
          <w:kern w:val="2"/>
          <w:sz w:val="22"/>
          <w:szCs w:val="22"/>
          <w:lang w:val="lt-LT"/>
        </w:rPr>
        <w:t xml:space="preserve">Sutartis gali būti nutraukiama rašytiniu Šalių susitarimu arba vienašališkai, </w:t>
      </w:r>
      <w:hyperlink r:id="rId9" w:history="1">
        <w:r w:rsidRPr="00B62BF9">
          <w:rPr>
            <w:rStyle w:val="Hyperlink"/>
            <w:rFonts w:ascii="Calibri" w:hAnsi="Calibri" w:cs="Calibri"/>
            <w:kern w:val="2"/>
            <w:sz w:val="22"/>
            <w:szCs w:val="22"/>
            <w:lang w:val="lt-LT"/>
          </w:rPr>
          <w:t>Bendrosiose sąlygose</w:t>
        </w:r>
      </w:hyperlink>
      <w:r w:rsidRPr="0058627C">
        <w:rPr>
          <w:rFonts w:ascii="Calibri" w:hAnsi="Calibri" w:cs="Calibri"/>
          <w:kern w:val="2"/>
          <w:sz w:val="22"/>
          <w:szCs w:val="22"/>
          <w:lang w:val="lt-LT"/>
        </w:rPr>
        <w:t xml:space="preserve"> nurodytais atvejais ir nustatyta tvarka</w:t>
      </w:r>
      <w:bookmarkEnd w:id="5"/>
    </w:p>
    <w:p w14:paraId="5A8EA8B2" w14:textId="1E8758B9" w:rsidR="00D83968" w:rsidRPr="00B47AD3" w:rsidRDefault="00B47AD3" w:rsidP="00D83968">
      <w:pPr>
        <w:pStyle w:val="ListParagraph"/>
        <w:numPr>
          <w:ilvl w:val="0"/>
          <w:numId w:val="14"/>
        </w:numPr>
        <w:tabs>
          <w:tab w:val="left" w:pos="851"/>
          <w:tab w:val="left" w:pos="993"/>
        </w:tabs>
        <w:spacing w:after="120"/>
        <w:ind w:left="0" w:firstLine="567"/>
        <w:jc w:val="both"/>
        <w:rPr>
          <w:rFonts w:cstheme="minorHAnsi"/>
          <w:lang w:val="lt-LT"/>
        </w:rPr>
      </w:pPr>
      <w:r>
        <w:rPr>
          <w:rFonts w:cstheme="minorHAnsi"/>
          <w:lang w:val="lt-LT"/>
        </w:rPr>
        <w:t>.</w:t>
      </w:r>
    </w:p>
    <w:p w14:paraId="1A7F1696" w14:textId="4963808E" w:rsidR="00D83968" w:rsidRPr="00D83968" w:rsidRDefault="00D83968" w:rsidP="00D83968">
      <w:pPr>
        <w:tabs>
          <w:tab w:val="left" w:pos="851"/>
          <w:tab w:val="left" w:pos="993"/>
        </w:tabs>
        <w:spacing w:after="120"/>
        <w:jc w:val="both"/>
        <w:rPr>
          <w:rFonts w:cstheme="minorHAnsi"/>
          <w:vanish/>
          <w:lang w:val="lt-LT"/>
        </w:rPr>
      </w:pPr>
    </w:p>
    <w:p w14:paraId="1E9B02F9" w14:textId="77777777" w:rsidR="00CB0302" w:rsidRPr="003A19A6" w:rsidRDefault="00CB0302" w:rsidP="0058627C">
      <w:pPr>
        <w:pStyle w:val="ListParagraph"/>
        <w:numPr>
          <w:ilvl w:val="0"/>
          <w:numId w:val="14"/>
        </w:numPr>
        <w:tabs>
          <w:tab w:val="left" w:pos="426"/>
          <w:tab w:val="left" w:pos="567"/>
        </w:tabs>
        <w:spacing w:after="120"/>
        <w:ind w:left="0" w:firstLine="0"/>
        <w:jc w:val="both"/>
        <w:rPr>
          <w:rFonts w:asciiTheme="minorHAnsi" w:hAnsiTheme="minorHAnsi" w:cstheme="minorHAnsi"/>
          <w:vanish/>
          <w:sz w:val="22"/>
          <w:szCs w:val="22"/>
          <w:lang w:val="lt-LT"/>
        </w:rPr>
      </w:pPr>
    </w:p>
    <w:p w14:paraId="3BCDBA7D" w14:textId="77777777" w:rsidR="00CB0302" w:rsidRPr="003A19A6" w:rsidRDefault="00CB0302" w:rsidP="0058627C">
      <w:pPr>
        <w:pStyle w:val="ListParagraph"/>
        <w:numPr>
          <w:ilvl w:val="0"/>
          <w:numId w:val="14"/>
        </w:numPr>
        <w:tabs>
          <w:tab w:val="left" w:pos="426"/>
          <w:tab w:val="left" w:pos="567"/>
        </w:tabs>
        <w:spacing w:after="120"/>
        <w:ind w:left="0" w:firstLine="0"/>
        <w:jc w:val="both"/>
        <w:rPr>
          <w:rFonts w:asciiTheme="minorHAnsi" w:hAnsiTheme="minorHAnsi" w:cstheme="minorHAnsi"/>
          <w:vanish/>
          <w:sz w:val="22"/>
          <w:szCs w:val="22"/>
          <w:lang w:val="lt-LT"/>
        </w:rPr>
      </w:pPr>
    </w:p>
    <w:p w14:paraId="5E781172" w14:textId="77777777" w:rsidR="00CB0302" w:rsidRPr="003A19A6" w:rsidRDefault="00CB0302" w:rsidP="0058627C">
      <w:pPr>
        <w:pStyle w:val="ListParagraph"/>
        <w:numPr>
          <w:ilvl w:val="0"/>
          <w:numId w:val="14"/>
        </w:numPr>
        <w:tabs>
          <w:tab w:val="left" w:pos="426"/>
          <w:tab w:val="left" w:pos="567"/>
        </w:tabs>
        <w:spacing w:after="120"/>
        <w:ind w:left="0" w:firstLine="0"/>
        <w:jc w:val="both"/>
        <w:rPr>
          <w:rFonts w:asciiTheme="minorHAnsi" w:hAnsiTheme="minorHAnsi" w:cstheme="minorHAnsi"/>
          <w:vanish/>
          <w:sz w:val="22"/>
          <w:szCs w:val="22"/>
          <w:lang w:val="lt-LT"/>
        </w:rPr>
      </w:pPr>
    </w:p>
    <w:p w14:paraId="3F42198E" w14:textId="77777777" w:rsidR="00CB0302" w:rsidRPr="003A19A6" w:rsidRDefault="00CB0302" w:rsidP="0058627C">
      <w:pPr>
        <w:pStyle w:val="ListParagraph"/>
        <w:numPr>
          <w:ilvl w:val="0"/>
          <w:numId w:val="14"/>
        </w:numPr>
        <w:tabs>
          <w:tab w:val="left" w:pos="426"/>
          <w:tab w:val="left" w:pos="567"/>
        </w:tabs>
        <w:spacing w:after="120"/>
        <w:ind w:left="0" w:firstLine="0"/>
        <w:jc w:val="both"/>
        <w:rPr>
          <w:rFonts w:asciiTheme="minorHAnsi" w:hAnsiTheme="minorHAnsi" w:cstheme="minorHAnsi"/>
          <w:vanish/>
          <w:sz w:val="22"/>
          <w:szCs w:val="22"/>
          <w:lang w:val="lt-LT"/>
        </w:rPr>
      </w:pPr>
    </w:p>
    <w:p w14:paraId="65DB3FF0" w14:textId="77777777" w:rsidR="00CB0302" w:rsidRPr="003A19A6" w:rsidRDefault="00CB0302" w:rsidP="0058627C">
      <w:pPr>
        <w:pStyle w:val="ListParagraph"/>
        <w:numPr>
          <w:ilvl w:val="0"/>
          <w:numId w:val="14"/>
        </w:numPr>
        <w:tabs>
          <w:tab w:val="left" w:pos="426"/>
          <w:tab w:val="left" w:pos="567"/>
        </w:tabs>
        <w:spacing w:after="120"/>
        <w:ind w:left="0" w:firstLine="0"/>
        <w:jc w:val="both"/>
        <w:rPr>
          <w:rFonts w:asciiTheme="minorHAnsi" w:hAnsiTheme="minorHAnsi" w:cstheme="minorHAnsi"/>
          <w:vanish/>
          <w:sz w:val="22"/>
          <w:szCs w:val="22"/>
          <w:lang w:val="lt-LT"/>
        </w:rPr>
      </w:pPr>
    </w:p>
    <w:sectPr w:rsidR="00CB0302" w:rsidRPr="003A19A6" w:rsidSect="00BD4548">
      <w:pgSz w:w="12240" w:h="15840"/>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6728E" w14:textId="77777777" w:rsidR="004846E4" w:rsidRDefault="004846E4" w:rsidP="00CB0302">
      <w:pPr>
        <w:spacing w:after="0" w:line="240" w:lineRule="auto"/>
      </w:pPr>
      <w:r>
        <w:separator/>
      </w:r>
    </w:p>
  </w:endnote>
  <w:endnote w:type="continuationSeparator" w:id="0">
    <w:p w14:paraId="0DBCF0EF" w14:textId="77777777" w:rsidR="004846E4" w:rsidRDefault="004846E4" w:rsidP="00CB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36C6B" w14:textId="77777777" w:rsidR="004846E4" w:rsidRDefault="004846E4" w:rsidP="00CB0302">
      <w:pPr>
        <w:spacing w:after="0" w:line="240" w:lineRule="auto"/>
      </w:pPr>
      <w:r>
        <w:separator/>
      </w:r>
    </w:p>
  </w:footnote>
  <w:footnote w:type="continuationSeparator" w:id="0">
    <w:p w14:paraId="4EAECB09" w14:textId="77777777" w:rsidR="004846E4" w:rsidRDefault="004846E4" w:rsidP="00CB0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45E"/>
    <w:multiLevelType w:val="hybridMultilevel"/>
    <w:tmpl w:val="E0B2A2EC"/>
    <w:lvl w:ilvl="0" w:tplc="BA700ABC">
      <w:start w:val="1"/>
      <w:numFmt w:val="decimal"/>
      <w:suff w:val="space"/>
      <w:lvlText w:val="%1."/>
      <w:lvlJc w:val="left"/>
      <w:pPr>
        <w:ind w:left="0" w:firstLine="720"/>
      </w:pPr>
      <w:rPr>
        <w:rFonts w:eastAsia="Times New Roman" w:hint="default"/>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B06B66"/>
    <w:multiLevelType w:val="multilevel"/>
    <w:tmpl w:val="7D96413C"/>
    <w:lvl w:ilvl="0">
      <w:start w:val="9"/>
      <w:numFmt w:val="decimal"/>
      <w:lvlText w:val="%1."/>
      <w:lvlJc w:val="left"/>
      <w:pPr>
        <w:ind w:left="360" w:hanging="360"/>
      </w:pPr>
      <w:rPr>
        <w:rFonts w:hint="default"/>
        <w:b/>
        <w:i w:val="0"/>
        <w:color w:val="auto"/>
      </w:rPr>
    </w:lvl>
    <w:lvl w:ilvl="1">
      <w:start w:val="1"/>
      <w:numFmt w:val="decimal"/>
      <w:lvlText w:val="%2."/>
      <w:lvlJc w:val="left"/>
      <w:pPr>
        <w:ind w:left="360" w:hanging="360"/>
      </w:pPr>
      <w:rPr>
        <w:rFonts w:asciiTheme="minorHAnsi" w:eastAsiaTheme="minorHAnsi" w:hAnsiTheme="minorHAnsi" w:cstheme="minorBidi"/>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BE6735"/>
    <w:multiLevelType w:val="multilevel"/>
    <w:tmpl w:val="B1827DE2"/>
    <w:lvl w:ilvl="0">
      <w:start w:val="2"/>
      <w:numFmt w:val="decimal"/>
      <w:lvlText w:val="%1."/>
      <w:lvlJc w:val="left"/>
      <w:pPr>
        <w:ind w:left="360" w:hanging="360"/>
      </w:pPr>
    </w:lvl>
    <w:lvl w:ilvl="1">
      <w:start w:val="1"/>
      <w:numFmt w:val="decimal"/>
      <w:lvlText w:val="%1.%2."/>
      <w:lvlJc w:val="left"/>
      <w:pPr>
        <w:ind w:left="502" w:hanging="360"/>
      </w:pPr>
      <w:rPr>
        <w:i w:val="0"/>
        <w:color w:val="auto"/>
      </w:rPr>
    </w:lvl>
    <w:lvl w:ilvl="2">
      <w:start w:val="1"/>
      <w:numFmt w:val="decimal"/>
      <w:lvlText w:val="%1.%2.%3."/>
      <w:lvlJc w:val="left"/>
      <w:pPr>
        <w:ind w:left="862"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46B22D3"/>
    <w:multiLevelType w:val="multilevel"/>
    <w:tmpl w:val="AB50A304"/>
    <w:lvl w:ilvl="0">
      <w:start w:val="5"/>
      <w:numFmt w:val="decimal"/>
      <w:lvlText w:val="%1."/>
      <w:lvlJc w:val="left"/>
      <w:pPr>
        <w:ind w:left="435" w:hanging="435"/>
      </w:pPr>
      <w:rPr>
        <w:rFonts w:hint="default"/>
      </w:rPr>
    </w:lvl>
    <w:lvl w:ilvl="1">
      <w:start w:val="1"/>
      <w:numFmt w:val="decimal"/>
      <w:lvlText w:val="%2."/>
      <w:lvlJc w:val="left"/>
      <w:pPr>
        <w:ind w:left="435" w:hanging="435"/>
      </w:pPr>
      <w:rPr>
        <w:rFonts w:asciiTheme="minorHAnsi" w:eastAsia="Times New Roman"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751770"/>
    <w:multiLevelType w:val="multilevel"/>
    <w:tmpl w:val="C5C6BFDE"/>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b w:val="0"/>
      </w:rPr>
    </w:lvl>
    <w:lvl w:ilvl="2">
      <w:start w:val="1"/>
      <w:numFmt w:val="decimal"/>
      <w:lvlText w:val="%1.%2.%3."/>
      <w:lvlJc w:val="left"/>
      <w:pPr>
        <w:ind w:left="720" w:hanging="720"/>
      </w:pPr>
      <w:rPr>
        <w:rFonts w:eastAsia="Calibri" w:hint="default"/>
        <w:i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4BEF6485"/>
    <w:multiLevelType w:val="multilevel"/>
    <w:tmpl w:val="C84A6818"/>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3FD5409"/>
    <w:multiLevelType w:val="hybridMultilevel"/>
    <w:tmpl w:val="2BF01774"/>
    <w:lvl w:ilvl="0" w:tplc="0CF45B9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A0274D"/>
    <w:multiLevelType w:val="multilevel"/>
    <w:tmpl w:val="F84075BC"/>
    <w:lvl w:ilvl="0">
      <w:start w:val="12"/>
      <w:numFmt w:val="decimal"/>
      <w:lvlText w:val="%1."/>
      <w:lvlJc w:val="left"/>
      <w:pPr>
        <w:ind w:left="2846" w:hanging="435"/>
      </w:pPr>
      <w:rPr>
        <w:rFonts w:hint="default"/>
      </w:rPr>
    </w:lvl>
    <w:lvl w:ilvl="1">
      <w:start w:val="1"/>
      <w:numFmt w:val="decimal"/>
      <w:lvlText w:val="%2."/>
      <w:lvlJc w:val="left"/>
      <w:pPr>
        <w:ind w:left="435" w:hanging="435"/>
      </w:pPr>
      <w:rPr>
        <w:rFonts w:asciiTheme="minorHAnsi" w:eastAsia="Times New Roman"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087BD9"/>
    <w:multiLevelType w:val="multilevel"/>
    <w:tmpl w:val="0B80724E"/>
    <w:lvl w:ilvl="0">
      <w:start w:val="12"/>
      <w:numFmt w:val="decimal"/>
      <w:lvlText w:val="%1."/>
      <w:lvlJc w:val="left"/>
      <w:pPr>
        <w:ind w:left="435" w:hanging="435"/>
      </w:pPr>
      <w:rPr>
        <w:rFonts w:hint="default"/>
      </w:rPr>
    </w:lvl>
    <w:lvl w:ilvl="1">
      <w:start w:val="1"/>
      <w:numFmt w:val="decimal"/>
      <w:lvlText w:val="%2."/>
      <w:lvlJc w:val="left"/>
      <w:pPr>
        <w:ind w:left="435" w:hanging="435"/>
      </w:pPr>
      <w:rPr>
        <w:rFonts w:asciiTheme="minorHAnsi" w:eastAsia="Times New Roman" w:hAnsiTheme="minorHAnsi" w:cs="Times New Roman"/>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AB047C"/>
    <w:multiLevelType w:val="multilevel"/>
    <w:tmpl w:val="4A26F09E"/>
    <w:lvl w:ilvl="0">
      <w:start w:val="1"/>
      <w:numFmt w:val="decimal"/>
      <w:lvlText w:val="%1."/>
      <w:lvlJc w:val="left"/>
      <w:pPr>
        <w:ind w:left="502" w:hanging="360"/>
      </w:pPr>
      <w:rPr>
        <w:rFonts w:hint="default"/>
      </w:rPr>
    </w:lvl>
    <w:lvl w:ilvl="1">
      <w:start w:val="1"/>
      <w:numFmt w:val="decimal"/>
      <w:isLgl/>
      <w:lvlText w:val="%1.%2."/>
      <w:lvlJc w:val="left"/>
      <w:pPr>
        <w:ind w:left="2487" w:hanging="360"/>
      </w:pPr>
      <w:rPr>
        <w:rFonts w:eastAsiaTheme="minorHAnsi" w:cs="Arial" w:hint="default"/>
      </w:rPr>
    </w:lvl>
    <w:lvl w:ilvl="2">
      <w:start w:val="1"/>
      <w:numFmt w:val="decimal"/>
      <w:isLgl/>
      <w:lvlText w:val="%1.%2.%3."/>
      <w:lvlJc w:val="left"/>
      <w:pPr>
        <w:ind w:left="1080" w:hanging="720"/>
      </w:pPr>
      <w:rPr>
        <w:rFonts w:eastAsiaTheme="minorHAnsi" w:cs="Arial" w:hint="default"/>
      </w:rPr>
    </w:lvl>
    <w:lvl w:ilvl="3">
      <w:start w:val="1"/>
      <w:numFmt w:val="decimal"/>
      <w:isLgl/>
      <w:lvlText w:val="%1.%2.%3.%4."/>
      <w:lvlJc w:val="left"/>
      <w:pPr>
        <w:ind w:left="1080" w:hanging="720"/>
      </w:pPr>
      <w:rPr>
        <w:rFonts w:eastAsiaTheme="minorHAnsi" w:cs="Arial" w:hint="default"/>
      </w:rPr>
    </w:lvl>
    <w:lvl w:ilvl="4">
      <w:start w:val="1"/>
      <w:numFmt w:val="decimal"/>
      <w:isLgl/>
      <w:lvlText w:val="%1.%2.%3.%4.%5."/>
      <w:lvlJc w:val="left"/>
      <w:pPr>
        <w:ind w:left="1440" w:hanging="1080"/>
      </w:pPr>
      <w:rPr>
        <w:rFonts w:eastAsiaTheme="minorHAnsi" w:cs="Arial" w:hint="default"/>
      </w:rPr>
    </w:lvl>
    <w:lvl w:ilvl="5">
      <w:start w:val="1"/>
      <w:numFmt w:val="decimal"/>
      <w:isLgl/>
      <w:lvlText w:val="%1.%2.%3.%4.%5.%6."/>
      <w:lvlJc w:val="left"/>
      <w:pPr>
        <w:ind w:left="1440" w:hanging="1080"/>
      </w:pPr>
      <w:rPr>
        <w:rFonts w:eastAsiaTheme="minorHAnsi" w:cs="Arial" w:hint="default"/>
      </w:rPr>
    </w:lvl>
    <w:lvl w:ilvl="6">
      <w:start w:val="1"/>
      <w:numFmt w:val="decimal"/>
      <w:isLgl/>
      <w:lvlText w:val="%1.%2.%3.%4.%5.%6.%7."/>
      <w:lvlJc w:val="left"/>
      <w:pPr>
        <w:ind w:left="1800" w:hanging="1440"/>
      </w:pPr>
      <w:rPr>
        <w:rFonts w:eastAsiaTheme="minorHAnsi" w:cs="Arial" w:hint="default"/>
      </w:rPr>
    </w:lvl>
    <w:lvl w:ilvl="7">
      <w:start w:val="1"/>
      <w:numFmt w:val="decimal"/>
      <w:isLgl/>
      <w:lvlText w:val="%1.%2.%3.%4.%5.%6.%7.%8."/>
      <w:lvlJc w:val="left"/>
      <w:pPr>
        <w:ind w:left="1800" w:hanging="1440"/>
      </w:pPr>
      <w:rPr>
        <w:rFonts w:eastAsiaTheme="minorHAnsi" w:cs="Arial" w:hint="default"/>
      </w:rPr>
    </w:lvl>
    <w:lvl w:ilvl="8">
      <w:start w:val="1"/>
      <w:numFmt w:val="decimal"/>
      <w:isLgl/>
      <w:lvlText w:val="%1.%2.%3.%4.%5.%6.%7.%8.%9."/>
      <w:lvlJc w:val="left"/>
      <w:pPr>
        <w:ind w:left="2160" w:hanging="1800"/>
      </w:pPr>
      <w:rPr>
        <w:rFonts w:eastAsiaTheme="minorHAnsi" w:cs="Arial" w:hint="default"/>
      </w:rPr>
    </w:lvl>
  </w:abstractNum>
  <w:abstractNum w:abstractNumId="10" w15:restartNumberingAfterBreak="0">
    <w:nsid w:val="64130787"/>
    <w:multiLevelType w:val="hybridMultilevel"/>
    <w:tmpl w:val="6F28B182"/>
    <w:lvl w:ilvl="0" w:tplc="0409000F">
      <w:start w:val="1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67E16F37"/>
    <w:multiLevelType w:val="multilevel"/>
    <w:tmpl w:val="748C99F2"/>
    <w:lvl w:ilvl="0">
      <w:start w:val="8"/>
      <w:numFmt w:val="decimal"/>
      <w:lvlText w:val="%1."/>
      <w:lvlJc w:val="left"/>
      <w:pPr>
        <w:ind w:left="4613" w:hanging="360"/>
      </w:p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i w:val="0"/>
        <w:iCs/>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702D3676"/>
    <w:multiLevelType w:val="multilevel"/>
    <w:tmpl w:val="319C99F6"/>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271291"/>
    <w:multiLevelType w:val="multilevel"/>
    <w:tmpl w:val="D076C678"/>
    <w:lvl w:ilvl="0">
      <w:start w:val="7"/>
      <w:numFmt w:val="decimal"/>
      <w:lvlText w:val="%1."/>
      <w:lvlJc w:val="left"/>
      <w:pPr>
        <w:ind w:left="360" w:hanging="360"/>
      </w:pPr>
      <w:rPr>
        <w:rFonts w:ascii="Calibri" w:hAnsi="Calibri" w:cs="Calibri" w:hint="default"/>
      </w:rPr>
    </w:lvl>
    <w:lvl w:ilvl="1">
      <w:start w:val="1"/>
      <w:numFmt w:val="decimal"/>
      <w:lvlText w:val="%1.%2."/>
      <w:lvlJc w:val="left"/>
      <w:pPr>
        <w:ind w:left="795" w:hanging="360"/>
      </w:pPr>
      <w:rPr>
        <w:rFonts w:ascii="Calibri" w:hAnsi="Calibri" w:cs="Calibri" w:hint="default"/>
      </w:rPr>
    </w:lvl>
    <w:lvl w:ilvl="2">
      <w:start w:val="1"/>
      <w:numFmt w:val="decimal"/>
      <w:lvlText w:val="%1.%2.%3."/>
      <w:lvlJc w:val="left"/>
      <w:pPr>
        <w:ind w:left="1590" w:hanging="720"/>
      </w:pPr>
      <w:rPr>
        <w:rFonts w:ascii="Calibri" w:hAnsi="Calibri" w:cs="Calibri" w:hint="default"/>
      </w:rPr>
    </w:lvl>
    <w:lvl w:ilvl="3">
      <w:start w:val="1"/>
      <w:numFmt w:val="decimal"/>
      <w:lvlText w:val="%1.%2.%3.%4."/>
      <w:lvlJc w:val="left"/>
      <w:pPr>
        <w:ind w:left="2025" w:hanging="720"/>
      </w:pPr>
      <w:rPr>
        <w:rFonts w:ascii="Calibri" w:hAnsi="Calibri" w:cs="Calibri" w:hint="default"/>
      </w:rPr>
    </w:lvl>
    <w:lvl w:ilvl="4">
      <w:start w:val="1"/>
      <w:numFmt w:val="decimal"/>
      <w:lvlText w:val="%1.%2.%3.%4.%5."/>
      <w:lvlJc w:val="left"/>
      <w:pPr>
        <w:ind w:left="2820" w:hanging="1080"/>
      </w:pPr>
      <w:rPr>
        <w:rFonts w:ascii="Calibri" w:hAnsi="Calibri" w:cs="Calibri" w:hint="default"/>
      </w:rPr>
    </w:lvl>
    <w:lvl w:ilvl="5">
      <w:start w:val="1"/>
      <w:numFmt w:val="decimal"/>
      <w:lvlText w:val="%1.%2.%3.%4.%5.%6."/>
      <w:lvlJc w:val="left"/>
      <w:pPr>
        <w:ind w:left="3255" w:hanging="1080"/>
      </w:pPr>
      <w:rPr>
        <w:rFonts w:ascii="Calibri" w:hAnsi="Calibri" w:cs="Calibri" w:hint="default"/>
      </w:rPr>
    </w:lvl>
    <w:lvl w:ilvl="6">
      <w:start w:val="1"/>
      <w:numFmt w:val="decimal"/>
      <w:lvlText w:val="%1.%2.%3.%4.%5.%6.%7."/>
      <w:lvlJc w:val="left"/>
      <w:pPr>
        <w:ind w:left="4050" w:hanging="1440"/>
      </w:pPr>
      <w:rPr>
        <w:rFonts w:ascii="Calibri" w:hAnsi="Calibri" w:cs="Calibri" w:hint="default"/>
      </w:rPr>
    </w:lvl>
    <w:lvl w:ilvl="7">
      <w:start w:val="1"/>
      <w:numFmt w:val="decimal"/>
      <w:lvlText w:val="%1.%2.%3.%4.%5.%6.%7.%8."/>
      <w:lvlJc w:val="left"/>
      <w:pPr>
        <w:ind w:left="4485" w:hanging="1440"/>
      </w:pPr>
      <w:rPr>
        <w:rFonts w:ascii="Calibri" w:hAnsi="Calibri" w:cs="Calibri" w:hint="default"/>
      </w:rPr>
    </w:lvl>
    <w:lvl w:ilvl="8">
      <w:start w:val="1"/>
      <w:numFmt w:val="decimal"/>
      <w:lvlText w:val="%1.%2.%3.%4.%5.%6.%7.%8.%9."/>
      <w:lvlJc w:val="left"/>
      <w:pPr>
        <w:ind w:left="5280" w:hanging="1800"/>
      </w:pPr>
      <w:rPr>
        <w:rFonts w:ascii="Calibri" w:hAnsi="Calibri" w:cs="Calibri" w:hint="default"/>
      </w:rPr>
    </w:lvl>
  </w:abstractNum>
  <w:abstractNum w:abstractNumId="14" w15:restartNumberingAfterBreak="0">
    <w:nsid w:val="7697452E"/>
    <w:multiLevelType w:val="multilevel"/>
    <w:tmpl w:val="6E8C517C"/>
    <w:lvl w:ilvl="0">
      <w:start w:val="16"/>
      <w:numFmt w:val="decimal"/>
      <w:lvlText w:val="%1."/>
      <w:lvlJc w:val="left"/>
      <w:pPr>
        <w:ind w:left="435" w:hanging="435"/>
      </w:pPr>
      <w:rPr>
        <w:rFonts w:cs="Times New Roman" w:hint="default"/>
      </w:rPr>
    </w:lvl>
    <w:lvl w:ilvl="1">
      <w:start w:val="2"/>
      <w:numFmt w:val="decimal"/>
      <w:lvlText w:val="%1.%2."/>
      <w:lvlJc w:val="left"/>
      <w:pPr>
        <w:ind w:left="1002" w:hanging="43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15:restartNumberingAfterBreak="0">
    <w:nsid w:val="7AE56FE2"/>
    <w:multiLevelType w:val="multilevel"/>
    <w:tmpl w:val="3A74DDC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83944040">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210885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2420867">
    <w:abstractNumId w:val="9"/>
  </w:num>
  <w:num w:numId="4" w16cid:durableId="1508986420">
    <w:abstractNumId w:val="15"/>
  </w:num>
  <w:num w:numId="5" w16cid:durableId="484324963">
    <w:abstractNumId w:val="4"/>
  </w:num>
  <w:num w:numId="6" w16cid:durableId="1472748308">
    <w:abstractNumId w:val="10"/>
  </w:num>
  <w:num w:numId="7" w16cid:durableId="1650283879">
    <w:abstractNumId w:val="1"/>
  </w:num>
  <w:num w:numId="8" w16cid:durableId="1574856029">
    <w:abstractNumId w:val="12"/>
  </w:num>
  <w:num w:numId="9" w16cid:durableId="1295059749">
    <w:abstractNumId w:val="8"/>
  </w:num>
  <w:num w:numId="10" w16cid:durableId="1573000140">
    <w:abstractNumId w:val="5"/>
  </w:num>
  <w:num w:numId="11" w16cid:durableId="37125418">
    <w:abstractNumId w:val="3"/>
  </w:num>
  <w:num w:numId="12" w16cid:durableId="766190108">
    <w:abstractNumId w:val="0"/>
  </w:num>
  <w:num w:numId="13" w16cid:durableId="1255361458">
    <w:abstractNumId w:val="13"/>
  </w:num>
  <w:num w:numId="14" w16cid:durableId="523641739">
    <w:abstractNumId w:val="7"/>
  </w:num>
  <w:num w:numId="15" w16cid:durableId="997655805">
    <w:abstractNumId w:val="14"/>
  </w:num>
  <w:num w:numId="16" w16cid:durableId="1089232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BD"/>
    <w:rsid w:val="00001D7C"/>
    <w:rsid w:val="000021C2"/>
    <w:rsid w:val="0000573E"/>
    <w:rsid w:val="00005B49"/>
    <w:rsid w:val="00017FFA"/>
    <w:rsid w:val="00026D6A"/>
    <w:rsid w:val="00041443"/>
    <w:rsid w:val="000429C0"/>
    <w:rsid w:val="00044C67"/>
    <w:rsid w:val="00045363"/>
    <w:rsid w:val="00046980"/>
    <w:rsid w:val="000625B0"/>
    <w:rsid w:val="00063ABF"/>
    <w:rsid w:val="00067988"/>
    <w:rsid w:val="00073169"/>
    <w:rsid w:val="00074055"/>
    <w:rsid w:val="000848C5"/>
    <w:rsid w:val="00085393"/>
    <w:rsid w:val="00086161"/>
    <w:rsid w:val="0009529C"/>
    <w:rsid w:val="000A13EF"/>
    <w:rsid w:val="000A5479"/>
    <w:rsid w:val="000A5B35"/>
    <w:rsid w:val="000A6D04"/>
    <w:rsid w:val="000A77E4"/>
    <w:rsid w:val="000B132C"/>
    <w:rsid w:val="000B1FE8"/>
    <w:rsid w:val="000B2643"/>
    <w:rsid w:val="000B6006"/>
    <w:rsid w:val="000C3380"/>
    <w:rsid w:val="000C5D9B"/>
    <w:rsid w:val="000C621B"/>
    <w:rsid w:val="000D1DF7"/>
    <w:rsid w:val="000D4A51"/>
    <w:rsid w:val="000D581E"/>
    <w:rsid w:val="000D5D1D"/>
    <w:rsid w:val="000D61C7"/>
    <w:rsid w:val="000E5891"/>
    <w:rsid w:val="000F543F"/>
    <w:rsid w:val="00103E32"/>
    <w:rsid w:val="00104E38"/>
    <w:rsid w:val="001050DB"/>
    <w:rsid w:val="00105B2D"/>
    <w:rsid w:val="00110BC1"/>
    <w:rsid w:val="00121208"/>
    <w:rsid w:val="00125191"/>
    <w:rsid w:val="00125D29"/>
    <w:rsid w:val="00145249"/>
    <w:rsid w:val="00145E85"/>
    <w:rsid w:val="00146E15"/>
    <w:rsid w:val="00147E46"/>
    <w:rsid w:val="00151F52"/>
    <w:rsid w:val="00152122"/>
    <w:rsid w:val="001531AE"/>
    <w:rsid w:val="00156C5A"/>
    <w:rsid w:val="00161DA5"/>
    <w:rsid w:val="001818DB"/>
    <w:rsid w:val="00181A0C"/>
    <w:rsid w:val="00182B0F"/>
    <w:rsid w:val="00182D6D"/>
    <w:rsid w:val="001879B1"/>
    <w:rsid w:val="001904D8"/>
    <w:rsid w:val="001906DA"/>
    <w:rsid w:val="00193867"/>
    <w:rsid w:val="001A1207"/>
    <w:rsid w:val="001A15D3"/>
    <w:rsid w:val="001B013A"/>
    <w:rsid w:val="001B07A7"/>
    <w:rsid w:val="001D04F3"/>
    <w:rsid w:val="001D0CF9"/>
    <w:rsid w:val="001D4508"/>
    <w:rsid w:val="001D547D"/>
    <w:rsid w:val="001D61BB"/>
    <w:rsid w:val="001D6955"/>
    <w:rsid w:val="001F0A83"/>
    <w:rsid w:val="001F69E9"/>
    <w:rsid w:val="00220A49"/>
    <w:rsid w:val="002266AF"/>
    <w:rsid w:val="00242A20"/>
    <w:rsid w:val="002452F3"/>
    <w:rsid w:val="00257567"/>
    <w:rsid w:val="00260344"/>
    <w:rsid w:val="002611CF"/>
    <w:rsid w:val="00266484"/>
    <w:rsid w:val="00274F10"/>
    <w:rsid w:val="00280489"/>
    <w:rsid w:val="00283D27"/>
    <w:rsid w:val="0028632F"/>
    <w:rsid w:val="0029120D"/>
    <w:rsid w:val="00292E12"/>
    <w:rsid w:val="002971CA"/>
    <w:rsid w:val="002A0D23"/>
    <w:rsid w:val="002A1658"/>
    <w:rsid w:val="002A3BDC"/>
    <w:rsid w:val="002A4CD3"/>
    <w:rsid w:val="002A515E"/>
    <w:rsid w:val="002C2229"/>
    <w:rsid w:val="002D5812"/>
    <w:rsid w:val="002F0C15"/>
    <w:rsid w:val="002F3E4E"/>
    <w:rsid w:val="002F5D84"/>
    <w:rsid w:val="002F7DAF"/>
    <w:rsid w:val="00301758"/>
    <w:rsid w:val="00310D26"/>
    <w:rsid w:val="00326887"/>
    <w:rsid w:val="00334077"/>
    <w:rsid w:val="003365A3"/>
    <w:rsid w:val="00344D0F"/>
    <w:rsid w:val="00353265"/>
    <w:rsid w:val="003606F3"/>
    <w:rsid w:val="003613C1"/>
    <w:rsid w:val="0037070F"/>
    <w:rsid w:val="0037768F"/>
    <w:rsid w:val="003813DC"/>
    <w:rsid w:val="00397AA0"/>
    <w:rsid w:val="003A19A6"/>
    <w:rsid w:val="003B0552"/>
    <w:rsid w:val="003C160B"/>
    <w:rsid w:val="003C4C29"/>
    <w:rsid w:val="003C57CC"/>
    <w:rsid w:val="003D5764"/>
    <w:rsid w:val="003D5DC1"/>
    <w:rsid w:val="003E0D32"/>
    <w:rsid w:val="003E6D23"/>
    <w:rsid w:val="003E6DD7"/>
    <w:rsid w:val="003E7FD5"/>
    <w:rsid w:val="003F047C"/>
    <w:rsid w:val="003F605D"/>
    <w:rsid w:val="0040476C"/>
    <w:rsid w:val="004058C3"/>
    <w:rsid w:val="00423AF9"/>
    <w:rsid w:val="00425725"/>
    <w:rsid w:val="00437009"/>
    <w:rsid w:val="004401E5"/>
    <w:rsid w:val="00441A05"/>
    <w:rsid w:val="0044407F"/>
    <w:rsid w:val="00444CFE"/>
    <w:rsid w:val="00454D2B"/>
    <w:rsid w:val="00462024"/>
    <w:rsid w:val="004846E4"/>
    <w:rsid w:val="00486BEB"/>
    <w:rsid w:val="004B22C7"/>
    <w:rsid w:val="004B2412"/>
    <w:rsid w:val="004B50C6"/>
    <w:rsid w:val="004C0917"/>
    <w:rsid w:val="004C455D"/>
    <w:rsid w:val="004D0907"/>
    <w:rsid w:val="004D2896"/>
    <w:rsid w:val="004E0D83"/>
    <w:rsid w:val="004F3A42"/>
    <w:rsid w:val="004F4F63"/>
    <w:rsid w:val="004F5E99"/>
    <w:rsid w:val="005051D4"/>
    <w:rsid w:val="00505481"/>
    <w:rsid w:val="005112A7"/>
    <w:rsid w:val="0051422A"/>
    <w:rsid w:val="005206A1"/>
    <w:rsid w:val="00524EE4"/>
    <w:rsid w:val="00541198"/>
    <w:rsid w:val="0054351E"/>
    <w:rsid w:val="00544A7A"/>
    <w:rsid w:val="00550001"/>
    <w:rsid w:val="00550C87"/>
    <w:rsid w:val="0056028A"/>
    <w:rsid w:val="00562C6D"/>
    <w:rsid w:val="0056674A"/>
    <w:rsid w:val="005718D5"/>
    <w:rsid w:val="00573C6D"/>
    <w:rsid w:val="00580480"/>
    <w:rsid w:val="0058356A"/>
    <w:rsid w:val="00583F19"/>
    <w:rsid w:val="0058627C"/>
    <w:rsid w:val="00591C99"/>
    <w:rsid w:val="005943DB"/>
    <w:rsid w:val="005962FD"/>
    <w:rsid w:val="005A22E3"/>
    <w:rsid w:val="005B41EC"/>
    <w:rsid w:val="005B55C6"/>
    <w:rsid w:val="005C0416"/>
    <w:rsid w:val="005C1C32"/>
    <w:rsid w:val="005D0ADB"/>
    <w:rsid w:val="005D0CF1"/>
    <w:rsid w:val="005D677A"/>
    <w:rsid w:val="005E0055"/>
    <w:rsid w:val="005E08A9"/>
    <w:rsid w:val="005E3130"/>
    <w:rsid w:val="005E365E"/>
    <w:rsid w:val="005E7BF9"/>
    <w:rsid w:val="005F0926"/>
    <w:rsid w:val="005F1E29"/>
    <w:rsid w:val="0060132C"/>
    <w:rsid w:val="00607EEF"/>
    <w:rsid w:val="00611F18"/>
    <w:rsid w:val="00615A5B"/>
    <w:rsid w:val="00623133"/>
    <w:rsid w:val="00631E6C"/>
    <w:rsid w:val="00632C48"/>
    <w:rsid w:val="00632D15"/>
    <w:rsid w:val="00636432"/>
    <w:rsid w:val="006466C9"/>
    <w:rsid w:val="00650958"/>
    <w:rsid w:val="00653907"/>
    <w:rsid w:val="00662ABB"/>
    <w:rsid w:val="006760AD"/>
    <w:rsid w:val="00682873"/>
    <w:rsid w:val="00693157"/>
    <w:rsid w:val="00693FB0"/>
    <w:rsid w:val="006A047B"/>
    <w:rsid w:val="006A25DF"/>
    <w:rsid w:val="006A67B9"/>
    <w:rsid w:val="006A7942"/>
    <w:rsid w:val="006B05EF"/>
    <w:rsid w:val="006B785D"/>
    <w:rsid w:val="006C12CC"/>
    <w:rsid w:val="006C6574"/>
    <w:rsid w:val="006D07E1"/>
    <w:rsid w:val="006D1944"/>
    <w:rsid w:val="006D7658"/>
    <w:rsid w:val="006E02A6"/>
    <w:rsid w:val="006E48DD"/>
    <w:rsid w:val="006E4ABA"/>
    <w:rsid w:val="006F5B86"/>
    <w:rsid w:val="00707D4F"/>
    <w:rsid w:val="00715C82"/>
    <w:rsid w:val="00720FA9"/>
    <w:rsid w:val="00722CA7"/>
    <w:rsid w:val="00726847"/>
    <w:rsid w:val="00726E91"/>
    <w:rsid w:val="007365E4"/>
    <w:rsid w:val="00736A41"/>
    <w:rsid w:val="00742AA1"/>
    <w:rsid w:val="00745715"/>
    <w:rsid w:val="00745811"/>
    <w:rsid w:val="00746C82"/>
    <w:rsid w:val="0076491D"/>
    <w:rsid w:val="00772451"/>
    <w:rsid w:val="00773EF4"/>
    <w:rsid w:val="00785A75"/>
    <w:rsid w:val="0079681D"/>
    <w:rsid w:val="007978DE"/>
    <w:rsid w:val="007A16D8"/>
    <w:rsid w:val="007A4C0A"/>
    <w:rsid w:val="007A6979"/>
    <w:rsid w:val="007A7614"/>
    <w:rsid w:val="007B68EF"/>
    <w:rsid w:val="007C3D4F"/>
    <w:rsid w:val="007D21B4"/>
    <w:rsid w:val="007E0E28"/>
    <w:rsid w:val="007E0E93"/>
    <w:rsid w:val="007F0B7D"/>
    <w:rsid w:val="007F179E"/>
    <w:rsid w:val="007F4882"/>
    <w:rsid w:val="007F5226"/>
    <w:rsid w:val="007F794E"/>
    <w:rsid w:val="00806ADC"/>
    <w:rsid w:val="00806AEA"/>
    <w:rsid w:val="00811DFF"/>
    <w:rsid w:val="008167AB"/>
    <w:rsid w:val="00820C2F"/>
    <w:rsid w:val="00822B7A"/>
    <w:rsid w:val="008310D1"/>
    <w:rsid w:val="00837DB7"/>
    <w:rsid w:val="008428C9"/>
    <w:rsid w:val="0084726E"/>
    <w:rsid w:val="00850359"/>
    <w:rsid w:val="00854A43"/>
    <w:rsid w:val="00863EE9"/>
    <w:rsid w:val="008646F6"/>
    <w:rsid w:val="00875C39"/>
    <w:rsid w:val="0087664D"/>
    <w:rsid w:val="008777AC"/>
    <w:rsid w:val="00891469"/>
    <w:rsid w:val="00891F71"/>
    <w:rsid w:val="0089455A"/>
    <w:rsid w:val="00895440"/>
    <w:rsid w:val="00897352"/>
    <w:rsid w:val="008A7BCC"/>
    <w:rsid w:val="008B0D1C"/>
    <w:rsid w:val="008C7890"/>
    <w:rsid w:val="008D1548"/>
    <w:rsid w:val="008D3B65"/>
    <w:rsid w:val="008D3EE5"/>
    <w:rsid w:val="008D4A82"/>
    <w:rsid w:val="008E09F1"/>
    <w:rsid w:val="008E0D19"/>
    <w:rsid w:val="008E4E81"/>
    <w:rsid w:val="008E5633"/>
    <w:rsid w:val="008F68F0"/>
    <w:rsid w:val="008F77C3"/>
    <w:rsid w:val="008F7CE8"/>
    <w:rsid w:val="00900117"/>
    <w:rsid w:val="009074F9"/>
    <w:rsid w:val="00915128"/>
    <w:rsid w:val="00916636"/>
    <w:rsid w:val="00927307"/>
    <w:rsid w:val="00927A96"/>
    <w:rsid w:val="00933CB1"/>
    <w:rsid w:val="00937384"/>
    <w:rsid w:val="00947A4A"/>
    <w:rsid w:val="0095092D"/>
    <w:rsid w:val="00956DB5"/>
    <w:rsid w:val="0096267A"/>
    <w:rsid w:val="00965DBF"/>
    <w:rsid w:val="00970E2F"/>
    <w:rsid w:val="00971420"/>
    <w:rsid w:val="009809DC"/>
    <w:rsid w:val="00981601"/>
    <w:rsid w:val="00985B40"/>
    <w:rsid w:val="00994737"/>
    <w:rsid w:val="009A0555"/>
    <w:rsid w:val="009A11E3"/>
    <w:rsid w:val="009A4F47"/>
    <w:rsid w:val="009B0C43"/>
    <w:rsid w:val="009B1450"/>
    <w:rsid w:val="009B4E43"/>
    <w:rsid w:val="009B615F"/>
    <w:rsid w:val="009C60BC"/>
    <w:rsid w:val="009D1F2A"/>
    <w:rsid w:val="009D4151"/>
    <w:rsid w:val="009E3EF0"/>
    <w:rsid w:val="009F30BD"/>
    <w:rsid w:val="009F46CC"/>
    <w:rsid w:val="009F5AB4"/>
    <w:rsid w:val="009F6DFC"/>
    <w:rsid w:val="00A036E7"/>
    <w:rsid w:val="00A051B9"/>
    <w:rsid w:val="00A103DD"/>
    <w:rsid w:val="00A126AE"/>
    <w:rsid w:val="00A16D34"/>
    <w:rsid w:val="00A300A3"/>
    <w:rsid w:val="00A3086F"/>
    <w:rsid w:val="00A32029"/>
    <w:rsid w:val="00A40E43"/>
    <w:rsid w:val="00A41555"/>
    <w:rsid w:val="00A42B55"/>
    <w:rsid w:val="00A53503"/>
    <w:rsid w:val="00A544C6"/>
    <w:rsid w:val="00A54A43"/>
    <w:rsid w:val="00A6254D"/>
    <w:rsid w:val="00A659B2"/>
    <w:rsid w:val="00A722E3"/>
    <w:rsid w:val="00A72BAA"/>
    <w:rsid w:val="00A77011"/>
    <w:rsid w:val="00A77497"/>
    <w:rsid w:val="00A81F03"/>
    <w:rsid w:val="00A8514F"/>
    <w:rsid w:val="00AB0D14"/>
    <w:rsid w:val="00AB4409"/>
    <w:rsid w:val="00AB4AEE"/>
    <w:rsid w:val="00AB6561"/>
    <w:rsid w:val="00AB71BE"/>
    <w:rsid w:val="00AB71E1"/>
    <w:rsid w:val="00AC2BE6"/>
    <w:rsid w:val="00AC74A1"/>
    <w:rsid w:val="00AD047F"/>
    <w:rsid w:val="00AF0299"/>
    <w:rsid w:val="00AF1DE5"/>
    <w:rsid w:val="00AF5739"/>
    <w:rsid w:val="00B106D4"/>
    <w:rsid w:val="00B1627D"/>
    <w:rsid w:val="00B1663E"/>
    <w:rsid w:val="00B37101"/>
    <w:rsid w:val="00B41793"/>
    <w:rsid w:val="00B42DC0"/>
    <w:rsid w:val="00B44327"/>
    <w:rsid w:val="00B47AD3"/>
    <w:rsid w:val="00B62BF9"/>
    <w:rsid w:val="00B6709B"/>
    <w:rsid w:val="00B732DC"/>
    <w:rsid w:val="00B737A1"/>
    <w:rsid w:val="00B73CC5"/>
    <w:rsid w:val="00B771EF"/>
    <w:rsid w:val="00B77EF6"/>
    <w:rsid w:val="00B8704C"/>
    <w:rsid w:val="00B95BD7"/>
    <w:rsid w:val="00B9759D"/>
    <w:rsid w:val="00BA33ED"/>
    <w:rsid w:val="00BB05BD"/>
    <w:rsid w:val="00BB6DD7"/>
    <w:rsid w:val="00BB7AC4"/>
    <w:rsid w:val="00BC1957"/>
    <w:rsid w:val="00BC2166"/>
    <w:rsid w:val="00BD01C8"/>
    <w:rsid w:val="00BD4548"/>
    <w:rsid w:val="00BE02B5"/>
    <w:rsid w:val="00BE4765"/>
    <w:rsid w:val="00BE7A74"/>
    <w:rsid w:val="00BF52F8"/>
    <w:rsid w:val="00C04141"/>
    <w:rsid w:val="00C044E4"/>
    <w:rsid w:val="00C04EAD"/>
    <w:rsid w:val="00C11BDD"/>
    <w:rsid w:val="00C15DB7"/>
    <w:rsid w:val="00C23F0E"/>
    <w:rsid w:val="00C43D96"/>
    <w:rsid w:val="00C51EEE"/>
    <w:rsid w:val="00C55C08"/>
    <w:rsid w:val="00C56352"/>
    <w:rsid w:val="00C63235"/>
    <w:rsid w:val="00C64A53"/>
    <w:rsid w:val="00C7401B"/>
    <w:rsid w:val="00C76C9D"/>
    <w:rsid w:val="00C826D6"/>
    <w:rsid w:val="00C84718"/>
    <w:rsid w:val="00C92F94"/>
    <w:rsid w:val="00CA267B"/>
    <w:rsid w:val="00CA3C13"/>
    <w:rsid w:val="00CB0302"/>
    <w:rsid w:val="00CB1FC4"/>
    <w:rsid w:val="00CC56A2"/>
    <w:rsid w:val="00CD6E00"/>
    <w:rsid w:val="00CE273A"/>
    <w:rsid w:val="00CF2682"/>
    <w:rsid w:val="00CF305D"/>
    <w:rsid w:val="00CF35DE"/>
    <w:rsid w:val="00CF7FFC"/>
    <w:rsid w:val="00D00233"/>
    <w:rsid w:val="00D12EF1"/>
    <w:rsid w:val="00D1490F"/>
    <w:rsid w:val="00D15AE8"/>
    <w:rsid w:val="00D17ECC"/>
    <w:rsid w:val="00D236A7"/>
    <w:rsid w:val="00D26BF8"/>
    <w:rsid w:val="00D34829"/>
    <w:rsid w:val="00D35172"/>
    <w:rsid w:val="00D36392"/>
    <w:rsid w:val="00D36523"/>
    <w:rsid w:val="00D3786F"/>
    <w:rsid w:val="00D41326"/>
    <w:rsid w:val="00D43210"/>
    <w:rsid w:val="00D46518"/>
    <w:rsid w:val="00D52C1A"/>
    <w:rsid w:val="00D53DE3"/>
    <w:rsid w:val="00D7674A"/>
    <w:rsid w:val="00D77C89"/>
    <w:rsid w:val="00D83968"/>
    <w:rsid w:val="00D849D0"/>
    <w:rsid w:val="00D86B43"/>
    <w:rsid w:val="00D913A1"/>
    <w:rsid w:val="00D919DD"/>
    <w:rsid w:val="00D93762"/>
    <w:rsid w:val="00D938E7"/>
    <w:rsid w:val="00DA60B6"/>
    <w:rsid w:val="00DB5349"/>
    <w:rsid w:val="00DC34D8"/>
    <w:rsid w:val="00DC4C53"/>
    <w:rsid w:val="00DC5234"/>
    <w:rsid w:val="00DC78A9"/>
    <w:rsid w:val="00DD6C89"/>
    <w:rsid w:val="00DE17C1"/>
    <w:rsid w:val="00DE4D04"/>
    <w:rsid w:val="00DE5E1B"/>
    <w:rsid w:val="00DF4D64"/>
    <w:rsid w:val="00DF554C"/>
    <w:rsid w:val="00DF7A46"/>
    <w:rsid w:val="00E001FA"/>
    <w:rsid w:val="00E01FEB"/>
    <w:rsid w:val="00E040DD"/>
    <w:rsid w:val="00E04936"/>
    <w:rsid w:val="00E14CBE"/>
    <w:rsid w:val="00E25046"/>
    <w:rsid w:val="00E30040"/>
    <w:rsid w:val="00E3166A"/>
    <w:rsid w:val="00E31978"/>
    <w:rsid w:val="00E31E76"/>
    <w:rsid w:val="00E32254"/>
    <w:rsid w:val="00E32822"/>
    <w:rsid w:val="00E36816"/>
    <w:rsid w:val="00E4114C"/>
    <w:rsid w:val="00E440A0"/>
    <w:rsid w:val="00E479A3"/>
    <w:rsid w:val="00E5239C"/>
    <w:rsid w:val="00E52495"/>
    <w:rsid w:val="00E5772B"/>
    <w:rsid w:val="00E73D57"/>
    <w:rsid w:val="00E764CC"/>
    <w:rsid w:val="00E8053E"/>
    <w:rsid w:val="00E83D61"/>
    <w:rsid w:val="00E844E4"/>
    <w:rsid w:val="00E916A5"/>
    <w:rsid w:val="00E92FCD"/>
    <w:rsid w:val="00E969D2"/>
    <w:rsid w:val="00EC0A2E"/>
    <w:rsid w:val="00EC482C"/>
    <w:rsid w:val="00ED1DDD"/>
    <w:rsid w:val="00ED26A8"/>
    <w:rsid w:val="00EE122D"/>
    <w:rsid w:val="00EF133C"/>
    <w:rsid w:val="00EF23ED"/>
    <w:rsid w:val="00EF77B1"/>
    <w:rsid w:val="00F07B6A"/>
    <w:rsid w:val="00F1689F"/>
    <w:rsid w:val="00F228AD"/>
    <w:rsid w:val="00F24EBF"/>
    <w:rsid w:val="00F30B6D"/>
    <w:rsid w:val="00F336F7"/>
    <w:rsid w:val="00F40733"/>
    <w:rsid w:val="00F42379"/>
    <w:rsid w:val="00F45C84"/>
    <w:rsid w:val="00F637CC"/>
    <w:rsid w:val="00F714CB"/>
    <w:rsid w:val="00F722B3"/>
    <w:rsid w:val="00F75DD5"/>
    <w:rsid w:val="00F96259"/>
    <w:rsid w:val="00FA1AAB"/>
    <w:rsid w:val="00FA57C0"/>
    <w:rsid w:val="00FB008C"/>
    <w:rsid w:val="00FB04B5"/>
    <w:rsid w:val="00FB1A37"/>
    <w:rsid w:val="00FB2B43"/>
    <w:rsid w:val="00FB5FD8"/>
    <w:rsid w:val="00FC3546"/>
    <w:rsid w:val="00FD1462"/>
    <w:rsid w:val="00FD5674"/>
    <w:rsid w:val="00FD58FC"/>
    <w:rsid w:val="00FD702E"/>
    <w:rsid w:val="00FE5427"/>
    <w:rsid w:val="00FE5D56"/>
    <w:rsid w:val="00FF0F5E"/>
    <w:rsid w:val="00FF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DB77"/>
  <w15:chartTrackingRefBased/>
  <w15:docId w15:val="{AAF08536-E300-42AF-8BF9-305E7017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0302"/>
    <w:pPr>
      <w:keepNext/>
      <w:spacing w:after="0" w:line="240" w:lineRule="auto"/>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0302"/>
    <w:rPr>
      <w:rFonts w:ascii="Times New Roman" w:eastAsia="Times New Roman" w:hAnsi="Times New Roman" w:cs="Times New Roman"/>
      <w:sz w:val="24"/>
      <w:szCs w:val="24"/>
      <w:lang w:val="lt-LT"/>
    </w:rPr>
  </w:style>
  <w:style w:type="paragraph" w:styleId="FootnoteText">
    <w:name w:val="footnote text"/>
    <w:basedOn w:val="Normal"/>
    <w:link w:val="FootnoteTextChar"/>
    <w:semiHidden/>
    <w:unhideWhenUsed/>
    <w:rsid w:val="00CB0302"/>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semiHidden/>
    <w:rsid w:val="00CB0302"/>
    <w:rPr>
      <w:rFonts w:ascii="Times New Roman" w:eastAsia="Times New Roman" w:hAnsi="Times New Roman" w:cs="Times New Roman"/>
      <w:sz w:val="20"/>
      <w:szCs w:val="20"/>
      <w:lang w:val="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CB0302"/>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Heading 10"/>
    <w:basedOn w:val="Normal"/>
    <w:link w:val="ListParagraphChar"/>
    <w:uiPriority w:val="34"/>
    <w:qFormat/>
    <w:rsid w:val="00CB0302"/>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aliases w:val="fr"/>
    <w:basedOn w:val="DefaultParagraphFont"/>
    <w:semiHidden/>
    <w:unhideWhenUsed/>
    <w:rsid w:val="00CB0302"/>
    <w:rPr>
      <w:vertAlign w:val="superscript"/>
    </w:rPr>
  </w:style>
  <w:style w:type="character" w:styleId="CommentReference">
    <w:name w:val="annotation reference"/>
    <w:basedOn w:val="DefaultParagraphFont"/>
    <w:uiPriority w:val="99"/>
    <w:semiHidden/>
    <w:unhideWhenUsed/>
    <w:rsid w:val="00E04936"/>
    <w:rPr>
      <w:sz w:val="16"/>
      <w:szCs w:val="16"/>
    </w:rPr>
  </w:style>
  <w:style w:type="paragraph" w:styleId="CommentText">
    <w:name w:val="annotation text"/>
    <w:basedOn w:val="Normal"/>
    <w:link w:val="CommentTextChar"/>
    <w:uiPriority w:val="99"/>
    <w:unhideWhenUsed/>
    <w:rsid w:val="00E04936"/>
    <w:pPr>
      <w:spacing w:line="240" w:lineRule="auto"/>
    </w:pPr>
    <w:rPr>
      <w:sz w:val="20"/>
      <w:szCs w:val="20"/>
    </w:rPr>
  </w:style>
  <w:style w:type="character" w:customStyle="1" w:styleId="CommentTextChar">
    <w:name w:val="Comment Text Char"/>
    <w:basedOn w:val="DefaultParagraphFont"/>
    <w:link w:val="CommentText"/>
    <w:uiPriority w:val="99"/>
    <w:rsid w:val="00E04936"/>
    <w:rPr>
      <w:sz w:val="20"/>
      <w:szCs w:val="20"/>
    </w:rPr>
  </w:style>
  <w:style w:type="paragraph" w:styleId="CommentSubject">
    <w:name w:val="annotation subject"/>
    <w:basedOn w:val="CommentText"/>
    <w:next w:val="CommentText"/>
    <w:link w:val="CommentSubjectChar"/>
    <w:uiPriority w:val="99"/>
    <w:semiHidden/>
    <w:unhideWhenUsed/>
    <w:rsid w:val="00E04936"/>
    <w:rPr>
      <w:b/>
      <w:bCs/>
    </w:rPr>
  </w:style>
  <w:style w:type="character" w:customStyle="1" w:styleId="CommentSubjectChar">
    <w:name w:val="Comment Subject Char"/>
    <w:basedOn w:val="CommentTextChar"/>
    <w:link w:val="CommentSubject"/>
    <w:uiPriority w:val="99"/>
    <w:semiHidden/>
    <w:rsid w:val="00E04936"/>
    <w:rPr>
      <w:b/>
      <w:bCs/>
      <w:sz w:val="20"/>
      <w:szCs w:val="20"/>
    </w:rPr>
  </w:style>
  <w:style w:type="paragraph" w:styleId="BalloonText">
    <w:name w:val="Balloon Text"/>
    <w:basedOn w:val="Normal"/>
    <w:link w:val="BalloonTextChar"/>
    <w:uiPriority w:val="99"/>
    <w:semiHidden/>
    <w:unhideWhenUsed/>
    <w:rsid w:val="00E04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936"/>
    <w:rPr>
      <w:rFonts w:ascii="Segoe UI" w:hAnsi="Segoe UI" w:cs="Segoe UI"/>
      <w:sz w:val="18"/>
      <w:szCs w:val="18"/>
    </w:rPr>
  </w:style>
  <w:style w:type="character" w:styleId="Hyperlink">
    <w:name w:val="Hyperlink"/>
    <w:basedOn w:val="DefaultParagraphFont"/>
    <w:uiPriority w:val="99"/>
    <w:unhideWhenUsed/>
    <w:rsid w:val="008C7890"/>
    <w:rPr>
      <w:color w:val="0000FF"/>
      <w:u w:val="single"/>
    </w:rPr>
  </w:style>
  <w:style w:type="paragraph" w:styleId="BodyText">
    <w:name w:val="Body Text"/>
    <w:basedOn w:val="Normal"/>
    <w:link w:val="BodyTextChar"/>
    <w:rsid w:val="00C55C08"/>
    <w:pPr>
      <w:suppressAutoHyphens/>
      <w:spacing w:after="0" w:line="240" w:lineRule="auto"/>
      <w:jc w:val="both"/>
    </w:pPr>
    <w:rPr>
      <w:rFonts w:ascii="Times New Roman" w:eastAsia="Times New Roman" w:hAnsi="Times New Roman" w:cs="Times New Roman"/>
      <w:sz w:val="24"/>
      <w:szCs w:val="24"/>
      <w:lang w:val="lt-LT" w:eastAsia="zh-CN"/>
    </w:rPr>
  </w:style>
  <w:style w:type="character" w:customStyle="1" w:styleId="BodyTextChar">
    <w:name w:val="Body Text Char"/>
    <w:basedOn w:val="DefaultParagraphFont"/>
    <w:link w:val="BodyText"/>
    <w:rsid w:val="00C55C08"/>
    <w:rPr>
      <w:rFonts w:ascii="Times New Roman" w:eastAsia="Times New Roman" w:hAnsi="Times New Roman" w:cs="Times New Roman"/>
      <w:sz w:val="24"/>
      <w:szCs w:val="24"/>
      <w:lang w:val="lt-LT" w:eastAsia="zh-CN"/>
    </w:rPr>
  </w:style>
  <w:style w:type="paragraph" w:styleId="Revision">
    <w:name w:val="Revision"/>
    <w:hidden/>
    <w:uiPriority w:val="99"/>
    <w:semiHidden/>
    <w:rsid w:val="00895440"/>
    <w:pPr>
      <w:spacing w:after="0" w:line="240" w:lineRule="auto"/>
    </w:pPr>
  </w:style>
  <w:style w:type="paragraph" w:customStyle="1" w:styleId="Default">
    <w:name w:val="Default"/>
    <w:rsid w:val="00063AB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063ABF"/>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f0">
    <w:name w:val="pf0"/>
    <w:basedOn w:val="Normal"/>
    <w:rsid w:val="00156C5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DefaultParagraphFont"/>
    <w:rsid w:val="00156C5A"/>
    <w:rPr>
      <w:rFonts w:ascii="Segoe UI" w:hAnsi="Segoe UI" w:cs="Segoe UI" w:hint="default"/>
      <w:i/>
      <w:iCs/>
      <w:sz w:val="18"/>
      <w:szCs w:val="18"/>
    </w:rPr>
  </w:style>
  <w:style w:type="character" w:customStyle="1" w:styleId="cf11">
    <w:name w:val="cf11"/>
    <w:basedOn w:val="DefaultParagraphFont"/>
    <w:rsid w:val="00156C5A"/>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9B0C43"/>
    <w:rPr>
      <w:color w:val="605E5C"/>
      <w:shd w:val="clear" w:color="auto" w:fill="E1DFDD"/>
    </w:rPr>
  </w:style>
  <w:style w:type="character" w:styleId="FollowedHyperlink">
    <w:name w:val="FollowedHyperlink"/>
    <w:basedOn w:val="DefaultParagraphFont"/>
    <w:uiPriority w:val="99"/>
    <w:semiHidden/>
    <w:unhideWhenUsed/>
    <w:rsid w:val="002A4C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086030">
      <w:bodyDiv w:val="1"/>
      <w:marLeft w:val="0"/>
      <w:marRight w:val="0"/>
      <w:marTop w:val="0"/>
      <w:marBottom w:val="0"/>
      <w:divBdr>
        <w:top w:val="none" w:sz="0" w:space="0" w:color="auto"/>
        <w:left w:val="none" w:sz="0" w:space="0" w:color="auto"/>
        <w:bottom w:val="none" w:sz="0" w:space="0" w:color="auto"/>
        <w:right w:val="none" w:sz="0" w:space="0" w:color="auto"/>
      </w:divBdr>
      <w:divsChild>
        <w:div w:id="1714311093">
          <w:marLeft w:val="0"/>
          <w:marRight w:val="0"/>
          <w:marTop w:val="0"/>
          <w:marBottom w:val="0"/>
          <w:divBdr>
            <w:top w:val="none" w:sz="0" w:space="0" w:color="auto"/>
            <w:left w:val="none" w:sz="0" w:space="0" w:color="auto"/>
            <w:bottom w:val="none" w:sz="0" w:space="0" w:color="auto"/>
            <w:right w:val="none" w:sz="0" w:space="0" w:color="auto"/>
          </w:divBdr>
          <w:divsChild>
            <w:div w:id="867061940">
              <w:marLeft w:val="0"/>
              <w:marRight w:val="0"/>
              <w:marTop w:val="0"/>
              <w:marBottom w:val="0"/>
              <w:divBdr>
                <w:top w:val="none" w:sz="0" w:space="0" w:color="auto"/>
                <w:left w:val="none" w:sz="0" w:space="0" w:color="auto"/>
                <w:bottom w:val="none" w:sz="0" w:space="0" w:color="auto"/>
                <w:right w:val="none" w:sz="0" w:space="0" w:color="auto"/>
              </w:divBdr>
              <w:divsChild>
                <w:div w:id="1961565428">
                  <w:marLeft w:val="0"/>
                  <w:marRight w:val="0"/>
                  <w:marTop w:val="0"/>
                  <w:marBottom w:val="0"/>
                  <w:divBdr>
                    <w:top w:val="none" w:sz="0" w:space="0" w:color="auto"/>
                    <w:left w:val="none" w:sz="0" w:space="0" w:color="auto"/>
                    <w:bottom w:val="none" w:sz="0" w:space="0" w:color="auto"/>
                    <w:right w:val="none" w:sz="0" w:space="0" w:color="auto"/>
                  </w:divBdr>
                </w:div>
                <w:div w:id="1573200646">
                  <w:marLeft w:val="0"/>
                  <w:marRight w:val="0"/>
                  <w:marTop w:val="0"/>
                  <w:marBottom w:val="0"/>
                  <w:divBdr>
                    <w:top w:val="none" w:sz="0" w:space="0" w:color="auto"/>
                    <w:left w:val="none" w:sz="0" w:space="0" w:color="auto"/>
                    <w:bottom w:val="none" w:sz="0" w:space="0" w:color="auto"/>
                    <w:right w:val="none" w:sz="0" w:space="0" w:color="auto"/>
                  </w:divBdr>
                </w:div>
              </w:divsChild>
            </w:div>
            <w:div w:id="1914393551">
              <w:marLeft w:val="0"/>
              <w:marRight w:val="0"/>
              <w:marTop w:val="0"/>
              <w:marBottom w:val="0"/>
              <w:divBdr>
                <w:top w:val="none" w:sz="0" w:space="0" w:color="auto"/>
                <w:left w:val="none" w:sz="0" w:space="0" w:color="auto"/>
                <w:bottom w:val="none" w:sz="0" w:space="0" w:color="auto"/>
                <w:right w:val="none" w:sz="0" w:space="0" w:color="auto"/>
              </w:divBdr>
              <w:divsChild>
                <w:div w:id="877008317">
                  <w:marLeft w:val="0"/>
                  <w:marRight w:val="0"/>
                  <w:marTop w:val="0"/>
                  <w:marBottom w:val="0"/>
                  <w:divBdr>
                    <w:top w:val="none" w:sz="0" w:space="0" w:color="auto"/>
                    <w:left w:val="none" w:sz="0" w:space="0" w:color="auto"/>
                    <w:bottom w:val="none" w:sz="0" w:space="0" w:color="auto"/>
                    <w:right w:val="none" w:sz="0" w:space="0" w:color="auto"/>
                  </w:divBdr>
                </w:div>
                <w:div w:id="258030249">
                  <w:marLeft w:val="0"/>
                  <w:marRight w:val="0"/>
                  <w:marTop w:val="0"/>
                  <w:marBottom w:val="0"/>
                  <w:divBdr>
                    <w:top w:val="none" w:sz="0" w:space="0" w:color="auto"/>
                    <w:left w:val="none" w:sz="0" w:space="0" w:color="auto"/>
                    <w:bottom w:val="none" w:sz="0" w:space="0" w:color="auto"/>
                    <w:right w:val="none" w:sz="0" w:space="0" w:color="auto"/>
                  </w:divBdr>
                </w:div>
              </w:divsChild>
            </w:div>
            <w:div w:id="915433942">
              <w:marLeft w:val="0"/>
              <w:marRight w:val="0"/>
              <w:marTop w:val="0"/>
              <w:marBottom w:val="0"/>
              <w:divBdr>
                <w:top w:val="none" w:sz="0" w:space="0" w:color="auto"/>
                <w:left w:val="none" w:sz="0" w:space="0" w:color="auto"/>
                <w:bottom w:val="none" w:sz="0" w:space="0" w:color="auto"/>
                <w:right w:val="none" w:sz="0" w:space="0" w:color="auto"/>
              </w:divBdr>
              <w:divsChild>
                <w:div w:id="1343051685">
                  <w:marLeft w:val="0"/>
                  <w:marRight w:val="0"/>
                  <w:marTop w:val="0"/>
                  <w:marBottom w:val="0"/>
                  <w:divBdr>
                    <w:top w:val="none" w:sz="0" w:space="0" w:color="auto"/>
                    <w:left w:val="none" w:sz="0" w:space="0" w:color="auto"/>
                    <w:bottom w:val="none" w:sz="0" w:space="0" w:color="auto"/>
                    <w:right w:val="none" w:sz="0" w:space="0" w:color="auto"/>
                  </w:divBdr>
                </w:div>
                <w:div w:id="2098817677">
                  <w:marLeft w:val="0"/>
                  <w:marRight w:val="0"/>
                  <w:marTop w:val="0"/>
                  <w:marBottom w:val="0"/>
                  <w:divBdr>
                    <w:top w:val="none" w:sz="0" w:space="0" w:color="auto"/>
                    <w:left w:val="none" w:sz="0" w:space="0" w:color="auto"/>
                    <w:bottom w:val="none" w:sz="0" w:space="0" w:color="auto"/>
                    <w:right w:val="none" w:sz="0" w:space="0" w:color="auto"/>
                  </w:divBdr>
                </w:div>
                <w:div w:id="964389934">
                  <w:marLeft w:val="0"/>
                  <w:marRight w:val="0"/>
                  <w:marTop w:val="0"/>
                  <w:marBottom w:val="0"/>
                  <w:divBdr>
                    <w:top w:val="none" w:sz="0" w:space="0" w:color="auto"/>
                    <w:left w:val="none" w:sz="0" w:space="0" w:color="auto"/>
                    <w:bottom w:val="none" w:sz="0" w:space="0" w:color="auto"/>
                    <w:right w:val="none" w:sz="0" w:space="0" w:color="auto"/>
                  </w:divBdr>
                </w:div>
              </w:divsChild>
            </w:div>
            <w:div w:id="1296252051">
              <w:marLeft w:val="0"/>
              <w:marRight w:val="0"/>
              <w:marTop w:val="0"/>
              <w:marBottom w:val="0"/>
              <w:divBdr>
                <w:top w:val="none" w:sz="0" w:space="0" w:color="auto"/>
                <w:left w:val="none" w:sz="0" w:space="0" w:color="auto"/>
                <w:bottom w:val="none" w:sz="0" w:space="0" w:color="auto"/>
                <w:right w:val="none" w:sz="0" w:space="0" w:color="auto"/>
              </w:divBdr>
            </w:div>
          </w:divsChild>
        </w:div>
        <w:div w:id="320161050">
          <w:marLeft w:val="0"/>
          <w:marRight w:val="0"/>
          <w:marTop w:val="0"/>
          <w:marBottom w:val="0"/>
          <w:divBdr>
            <w:top w:val="none" w:sz="0" w:space="0" w:color="auto"/>
            <w:left w:val="none" w:sz="0" w:space="0" w:color="auto"/>
            <w:bottom w:val="none" w:sz="0" w:space="0" w:color="auto"/>
            <w:right w:val="none" w:sz="0" w:space="0" w:color="auto"/>
          </w:divBdr>
          <w:divsChild>
            <w:div w:id="2118215267">
              <w:marLeft w:val="0"/>
              <w:marRight w:val="0"/>
              <w:marTop w:val="0"/>
              <w:marBottom w:val="0"/>
              <w:divBdr>
                <w:top w:val="none" w:sz="0" w:space="0" w:color="auto"/>
                <w:left w:val="none" w:sz="0" w:space="0" w:color="auto"/>
                <w:bottom w:val="none" w:sz="0" w:space="0" w:color="auto"/>
                <w:right w:val="none" w:sz="0" w:space="0" w:color="auto"/>
              </w:divBdr>
            </w:div>
            <w:div w:id="44451483">
              <w:marLeft w:val="0"/>
              <w:marRight w:val="0"/>
              <w:marTop w:val="0"/>
              <w:marBottom w:val="0"/>
              <w:divBdr>
                <w:top w:val="none" w:sz="0" w:space="0" w:color="auto"/>
                <w:left w:val="none" w:sz="0" w:space="0" w:color="auto"/>
                <w:bottom w:val="none" w:sz="0" w:space="0" w:color="auto"/>
                <w:right w:val="none" w:sz="0" w:space="0" w:color="auto"/>
              </w:divBdr>
            </w:div>
            <w:div w:id="1233739776">
              <w:marLeft w:val="0"/>
              <w:marRight w:val="0"/>
              <w:marTop w:val="0"/>
              <w:marBottom w:val="0"/>
              <w:divBdr>
                <w:top w:val="none" w:sz="0" w:space="0" w:color="auto"/>
                <w:left w:val="none" w:sz="0" w:space="0" w:color="auto"/>
                <w:bottom w:val="none" w:sz="0" w:space="0" w:color="auto"/>
                <w:right w:val="none" w:sz="0" w:space="0" w:color="auto"/>
              </w:divBdr>
            </w:div>
          </w:divsChild>
        </w:div>
        <w:div w:id="352073249">
          <w:marLeft w:val="0"/>
          <w:marRight w:val="0"/>
          <w:marTop w:val="0"/>
          <w:marBottom w:val="0"/>
          <w:divBdr>
            <w:top w:val="none" w:sz="0" w:space="0" w:color="auto"/>
            <w:left w:val="none" w:sz="0" w:space="0" w:color="auto"/>
            <w:bottom w:val="none" w:sz="0" w:space="0" w:color="auto"/>
            <w:right w:val="none" w:sz="0" w:space="0" w:color="auto"/>
          </w:divBdr>
        </w:div>
      </w:divsChild>
    </w:div>
    <w:div w:id="1630240607">
      <w:bodyDiv w:val="1"/>
      <w:marLeft w:val="0"/>
      <w:marRight w:val="0"/>
      <w:marTop w:val="0"/>
      <w:marBottom w:val="0"/>
      <w:divBdr>
        <w:top w:val="none" w:sz="0" w:space="0" w:color="auto"/>
        <w:left w:val="none" w:sz="0" w:space="0" w:color="auto"/>
        <w:bottom w:val="none" w:sz="0" w:space="0" w:color="auto"/>
        <w:right w:val="none" w:sz="0" w:space="0" w:color="auto"/>
      </w:divBdr>
    </w:div>
    <w:div w:id="1765225205">
      <w:bodyDiv w:val="1"/>
      <w:marLeft w:val="0"/>
      <w:marRight w:val="0"/>
      <w:marTop w:val="0"/>
      <w:marBottom w:val="0"/>
      <w:divBdr>
        <w:top w:val="none" w:sz="0" w:space="0" w:color="auto"/>
        <w:left w:val="none" w:sz="0" w:space="0" w:color="auto"/>
        <w:bottom w:val="none" w:sz="0" w:space="0" w:color="auto"/>
        <w:right w:val="none" w:sz="0" w:space="0" w:color="auto"/>
      </w:divBdr>
    </w:div>
    <w:div w:id="1864199513">
      <w:bodyDiv w:val="1"/>
      <w:marLeft w:val="0"/>
      <w:marRight w:val="0"/>
      <w:marTop w:val="0"/>
      <w:marBottom w:val="0"/>
      <w:divBdr>
        <w:top w:val="none" w:sz="0" w:space="0" w:color="auto"/>
        <w:left w:val="none" w:sz="0" w:space="0" w:color="auto"/>
        <w:bottom w:val="none" w:sz="0" w:space="0" w:color="auto"/>
        <w:right w:val="none" w:sz="0" w:space="0" w:color="auto"/>
      </w:divBdr>
      <w:divsChild>
        <w:div w:id="485126515">
          <w:marLeft w:val="0"/>
          <w:marRight w:val="0"/>
          <w:marTop w:val="0"/>
          <w:marBottom w:val="0"/>
          <w:divBdr>
            <w:top w:val="none" w:sz="0" w:space="0" w:color="auto"/>
            <w:left w:val="none" w:sz="0" w:space="0" w:color="auto"/>
            <w:bottom w:val="none" w:sz="0" w:space="0" w:color="auto"/>
            <w:right w:val="none" w:sz="0" w:space="0" w:color="auto"/>
          </w:divBdr>
          <w:divsChild>
            <w:div w:id="1318919704">
              <w:marLeft w:val="0"/>
              <w:marRight w:val="0"/>
              <w:marTop w:val="0"/>
              <w:marBottom w:val="0"/>
              <w:divBdr>
                <w:top w:val="none" w:sz="0" w:space="0" w:color="auto"/>
                <w:left w:val="none" w:sz="0" w:space="0" w:color="auto"/>
                <w:bottom w:val="none" w:sz="0" w:space="0" w:color="auto"/>
                <w:right w:val="none" w:sz="0" w:space="0" w:color="auto"/>
              </w:divBdr>
              <w:divsChild>
                <w:div w:id="869999313">
                  <w:marLeft w:val="0"/>
                  <w:marRight w:val="0"/>
                  <w:marTop w:val="0"/>
                  <w:marBottom w:val="0"/>
                  <w:divBdr>
                    <w:top w:val="none" w:sz="0" w:space="0" w:color="auto"/>
                    <w:left w:val="none" w:sz="0" w:space="0" w:color="auto"/>
                    <w:bottom w:val="none" w:sz="0" w:space="0" w:color="auto"/>
                    <w:right w:val="none" w:sz="0" w:space="0" w:color="auto"/>
                  </w:divBdr>
                  <w:divsChild>
                    <w:div w:id="1841311031">
                      <w:marLeft w:val="0"/>
                      <w:marRight w:val="0"/>
                      <w:marTop w:val="0"/>
                      <w:marBottom w:val="0"/>
                      <w:divBdr>
                        <w:top w:val="none" w:sz="0" w:space="0" w:color="auto"/>
                        <w:left w:val="none" w:sz="0" w:space="0" w:color="auto"/>
                        <w:bottom w:val="none" w:sz="0" w:space="0" w:color="auto"/>
                        <w:right w:val="none" w:sz="0" w:space="0" w:color="auto"/>
                      </w:divBdr>
                      <w:divsChild>
                        <w:div w:id="42415076">
                          <w:marLeft w:val="0"/>
                          <w:marRight w:val="0"/>
                          <w:marTop w:val="0"/>
                          <w:marBottom w:val="0"/>
                          <w:divBdr>
                            <w:top w:val="none" w:sz="0" w:space="0" w:color="auto"/>
                            <w:left w:val="none" w:sz="0" w:space="0" w:color="auto"/>
                            <w:bottom w:val="none" w:sz="0" w:space="0" w:color="auto"/>
                            <w:right w:val="none" w:sz="0" w:space="0" w:color="auto"/>
                          </w:divBdr>
                          <w:divsChild>
                            <w:div w:id="530186406">
                              <w:marLeft w:val="0"/>
                              <w:marRight w:val="0"/>
                              <w:marTop w:val="0"/>
                              <w:marBottom w:val="0"/>
                              <w:divBdr>
                                <w:top w:val="none" w:sz="0" w:space="0" w:color="auto"/>
                                <w:left w:val="none" w:sz="0" w:space="0" w:color="auto"/>
                                <w:bottom w:val="none" w:sz="0" w:space="0" w:color="auto"/>
                                <w:right w:val="none" w:sz="0" w:space="0" w:color="auto"/>
                              </w:divBdr>
                            </w:div>
                            <w:div w:id="1709257618">
                              <w:marLeft w:val="0"/>
                              <w:marRight w:val="0"/>
                              <w:marTop w:val="0"/>
                              <w:marBottom w:val="0"/>
                              <w:divBdr>
                                <w:top w:val="none" w:sz="0" w:space="0" w:color="auto"/>
                                <w:left w:val="none" w:sz="0" w:space="0" w:color="auto"/>
                                <w:bottom w:val="none" w:sz="0" w:space="0" w:color="auto"/>
                                <w:right w:val="none" w:sz="0" w:space="0" w:color="auto"/>
                              </w:divBdr>
                            </w:div>
                          </w:divsChild>
                        </w:div>
                        <w:div w:id="1554846488">
                          <w:marLeft w:val="0"/>
                          <w:marRight w:val="0"/>
                          <w:marTop w:val="0"/>
                          <w:marBottom w:val="0"/>
                          <w:divBdr>
                            <w:top w:val="none" w:sz="0" w:space="0" w:color="auto"/>
                            <w:left w:val="none" w:sz="0" w:space="0" w:color="auto"/>
                            <w:bottom w:val="none" w:sz="0" w:space="0" w:color="auto"/>
                            <w:right w:val="none" w:sz="0" w:space="0" w:color="auto"/>
                          </w:divBdr>
                          <w:divsChild>
                            <w:div w:id="1399593335">
                              <w:marLeft w:val="0"/>
                              <w:marRight w:val="0"/>
                              <w:marTop w:val="0"/>
                              <w:marBottom w:val="0"/>
                              <w:divBdr>
                                <w:top w:val="none" w:sz="0" w:space="0" w:color="auto"/>
                                <w:left w:val="none" w:sz="0" w:space="0" w:color="auto"/>
                                <w:bottom w:val="none" w:sz="0" w:space="0" w:color="auto"/>
                                <w:right w:val="none" w:sz="0" w:space="0" w:color="auto"/>
                              </w:divBdr>
                            </w:div>
                            <w:div w:id="1739133522">
                              <w:marLeft w:val="0"/>
                              <w:marRight w:val="0"/>
                              <w:marTop w:val="0"/>
                              <w:marBottom w:val="0"/>
                              <w:divBdr>
                                <w:top w:val="none" w:sz="0" w:space="0" w:color="auto"/>
                                <w:left w:val="none" w:sz="0" w:space="0" w:color="auto"/>
                                <w:bottom w:val="none" w:sz="0" w:space="0" w:color="auto"/>
                                <w:right w:val="none" w:sz="0" w:space="0" w:color="auto"/>
                              </w:divBdr>
                            </w:div>
                          </w:divsChild>
                        </w:div>
                        <w:div w:id="756749173">
                          <w:marLeft w:val="0"/>
                          <w:marRight w:val="0"/>
                          <w:marTop w:val="0"/>
                          <w:marBottom w:val="0"/>
                          <w:divBdr>
                            <w:top w:val="none" w:sz="0" w:space="0" w:color="auto"/>
                            <w:left w:val="none" w:sz="0" w:space="0" w:color="auto"/>
                            <w:bottom w:val="none" w:sz="0" w:space="0" w:color="auto"/>
                            <w:right w:val="none" w:sz="0" w:space="0" w:color="auto"/>
                          </w:divBdr>
                          <w:divsChild>
                            <w:div w:id="505511447">
                              <w:marLeft w:val="0"/>
                              <w:marRight w:val="0"/>
                              <w:marTop w:val="0"/>
                              <w:marBottom w:val="0"/>
                              <w:divBdr>
                                <w:top w:val="none" w:sz="0" w:space="0" w:color="auto"/>
                                <w:left w:val="none" w:sz="0" w:space="0" w:color="auto"/>
                                <w:bottom w:val="none" w:sz="0" w:space="0" w:color="auto"/>
                                <w:right w:val="none" w:sz="0" w:space="0" w:color="auto"/>
                              </w:divBdr>
                            </w:div>
                            <w:div w:id="1727294033">
                              <w:marLeft w:val="0"/>
                              <w:marRight w:val="0"/>
                              <w:marTop w:val="0"/>
                              <w:marBottom w:val="0"/>
                              <w:divBdr>
                                <w:top w:val="none" w:sz="0" w:space="0" w:color="auto"/>
                                <w:left w:val="none" w:sz="0" w:space="0" w:color="auto"/>
                                <w:bottom w:val="none" w:sz="0" w:space="0" w:color="auto"/>
                                <w:right w:val="none" w:sz="0" w:space="0" w:color="auto"/>
                              </w:divBdr>
                            </w:div>
                            <w:div w:id="1110591190">
                              <w:marLeft w:val="0"/>
                              <w:marRight w:val="0"/>
                              <w:marTop w:val="0"/>
                              <w:marBottom w:val="0"/>
                              <w:divBdr>
                                <w:top w:val="none" w:sz="0" w:space="0" w:color="auto"/>
                                <w:left w:val="none" w:sz="0" w:space="0" w:color="auto"/>
                                <w:bottom w:val="none" w:sz="0" w:space="0" w:color="auto"/>
                                <w:right w:val="none" w:sz="0" w:space="0" w:color="auto"/>
                              </w:divBdr>
                            </w:div>
                          </w:divsChild>
                        </w:div>
                        <w:div w:id="2092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metodine-pagalba/pavyzdiniai-dokumentai-3/privalomi-dokument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c9633836c69e11efa5ddd96c482819f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C20C5-CBF1-4A12-BE14-7945D1AA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7365</Words>
  <Characters>4199</Characters>
  <Application>Microsoft Office Word</Application>
  <DocSecurity>0</DocSecurity>
  <Lines>34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Virsilaite</dc:creator>
  <cp:keywords/>
  <dc:description/>
  <cp:lastModifiedBy>Asta Veličkienė</cp:lastModifiedBy>
  <cp:revision>3</cp:revision>
  <dcterms:created xsi:type="dcterms:W3CDTF">2025-07-29T05:09:00Z</dcterms:created>
  <dcterms:modified xsi:type="dcterms:W3CDTF">2025-07-29T05:12:00Z</dcterms:modified>
</cp:coreProperties>
</file>