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EF0312C" w14:textId="041B0D95" w:rsidR="00662FB1" w:rsidRDefault="001B5D95" w:rsidP="00EE6EA1">
      <w:pPr>
        <w:ind w:firstLine="567"/>
        <w:jc w:val="center"/>
        <w:rPr>
          <w:rFonts w:ascii="Trebuchet MS" w:eastAsia="MS Mincho" w:hAnsi="Trebuchet MS"/>
          <w:b/>
          <w:sz w:val="22"/>
          <w:szCs w:val="22"/>
        </w:rPr>
      </w:pPr>
      <w:bookmarkStart w:id="0" w:name="_Hlk182485991"/>
      <w:r w:rsidRPr="003056B2">
        <w:rPr>
          <w:rFonts w:ascii="Trebuchet MS" w:hAnsi="Trebuchet MS"/>
          <w:b/>
          <w:sz w:val="22"/>
          <w:szCs w:val="22"/>
        </w:rPr>
        <w:t xml:space="preserve">MOKESČIŲ MOKĖTOJŲ ELEKTRONINIO ŠVIETIMO, KONSULTAVIMO IR INFORMAVIMO PASLAUGŲ SISTEMOS (ESKIS) PRIEŽIŪROS </w:t>
      </w:r>
      <w:r w:rsidR="00301732" w:rsidRPr="001D5344">
        <w:rPr>
          <w:rFonts w:ascii="Trebuchet MS" w:hAnsi="Trebuchet MS"/>
          <w:b/>
          <w:caps/>
          <w:sz w:val="22"/>
          <w:szCs w:val="22"/>
          <w:lang w:eastAsia="en-GB"/>
        </w:rPr>
        <w:t>paslaugų</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13FD4A1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Style w:val="Lentelstinklelis3"/>
        <w:tblW w:w="10923" w:type="dxa"/>
        <w:tblInd w:w="-580" w:type="dxa"/>
        <w:tblLayout w:type="fixed"/>
        <w:tblLook w:val="04A0" w:firstRow="1" w:lastRow="0" w:firstColumn="1" w:lastColumn="0" w:noHBand="0" w:noVBand="1"/>
      </w:tblPr>
      <w:tblGrid>
        <w:gridCol w:w="567"/>
        <w:gridCol w:w="2127"/>
        <w:gridCol w:w="1275"/>
        <w:gridCol w:w="1134"/>
        <w:gridCol w:w="1134"/>
        <w:gridCol w:w="1134"/>
        <w:gridCol w:w="993"/>
        <w:gridCol w:w="1417"/>
        <w:gridCol w:w="1142"/>
      </w:tblGrid>
      <w:tr w:rsidR="00406F1F" w:rsidRPr="00D50900" w14:paraId="1E2279B4" w14:textId="77777777" w:rsidTr="00220BE5">
        <w:trPr>
          <w:trHeight w:val="2180"/>
        </w:trPr>
        <w:tc>
          <w:tcPr>
            <w:tcW w:w="567" w:type="dxa"/>
          </w:tcPr>
          <w:p w14:paraId="5694C1D5"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bookmarkStart w:id="2" w:name="_Hlk204601861"/>
            <w:r w:rsidRPr="00D50900">
              <w:rPr>
                <w:rFonts w:ascii="Trebuchet MS" w:hAnsi="Trebuchet MS"/>
                <w:sz w:val="22"/>
                <w:szCs w:val="22"/>
              </w:rPr>
              <w:t>Eil. Nr.</w:t>
            </w:r>
          </w:p>
        </w:tc>
        <w:tc>
          <w:tcPr>
            <w:tcW w:w="2127" w:type="dxa"/>
          </w:tcPr>
          <w:p w14:paraId="23DCF973" w14:textId="084EFB64" w:rsidR="00406F1F" w:rsidRPr="00D50900" w:rsidRDefault="00B179D5" w:rsidP="00F37D10">
            <w:pPr>
              <w:shd w:val="clear" w:color="auto" w:fill="FFFFFF"/>
              <w:autoSpaceDE w:val="0"/>
              <w:autoSpaceDN w:val="0"/>
              <w:adjustRightInd w:val="0"/>
              <w:jc w:val="center"/>
              <w:rPr>
                <w:rFonts w:ascii="Trebuchet MS" w:hAnsi="Trebuchet MS"/>
                <w:sz w:val="22"/>
                <w:szCs w:val="22"/>
              </w:rPr>
            </w:pPr>
            <w:r>
              <w:rPr>
                <w:rFonts w:ascii="Trebuchet MS" w:hAnsi="Trebuchet MS"/>
                <w:sz w:val="22"/>
                <w:szCs w:val="22"/>
              </w:rPr>
              <w:t>Paslaugos</w:t>
            </w:r>
            <w:r w:rsidR="00406F1F" w:rsidRPr="00D50900">
              <w:rPr>
                <w:rFonts w:ascii="Trebuchet MS" w:hAnsi="Trebuchet MS"/>
                <w:sz w:val="22"/>
                <w:szCs w:val="22"/>
              </w:rPr>
              <w:t xml:space="preserve"> dalis</w:t>
            </w:r>
            <w:r w:rsidR="00406F1F" w:rsidRPr="00D50900">
              <w:rPr>
                <w:rFonts w:ascii="Trebuchet MS" w:hAnsi="Trebuchet MS"/>
                <w:sz w:val="22"/>
                <w:szCs w:val="22"/>
                <w:vertAlign w:val="superscript"/>
              </w:rPr>
              <w:footnoteReference w:id="1"/>
            </w:r>
          </w:p>
        </w:tc>
        <w:tc>
          <w:tcPr>
            <w:tcW w:w="1275" w:type="dxa"/>
          </w:tcPr>
          <w:p w14:paraId="6F5A67EC"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Orientacinis kiekis,</w:t>
            </w:r>
          </w:p>
          <w:p w14:paraId="7A51BCF2"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(mato vienetas - val.)</w:t>
            </w:r>
          </w:p>
          <w:p w14:paraId="2CCA85A1"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p w14:paraId="707532C0"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p w14:paraId="5B28D19B" w14:textId="77777777" w:rsidR="00406F1F" w:rsidRPr="00D50900" w:rsidRDefault="00406F1F" w:rsidP="00F37D10">
            <w:pPr>
              <w:shd w:val="clear" w:color="auto" w:fill="FFFFFF"/>
              <w:autoSpaceDE w:val="0"/>
              <w:autoSpaceDN w:val="0"/>
              <w:adjustRightInd w:val="0"/>
              <w:rPr>
                <w:rFonts w:ascii="Trebuchet MS" w:hAnsi="Trebuchet MS"/>
                <w:sz w:val="22"/>
                <w:szCs w:val="22"/>
              </w:rPr>
            </w:pPr>
          </w:p>
          <w:p w14:paraId="47FE09D7" w14:textId="77777777" w:rsidR="00406F1F" w:rsidRPr="00D50900" w:rsidRDefault="00406F1F" w:rsidP="00F37D10">
            <w:pPr>
              <w:shd w:val="clear" w:color="auto" w:fill="FFFFFF"/>
              <w:autoSpaceDE w:val="0"/>
              <w:autoSpaceDN w:val="0"/>
              <w:adjustRightInd w:val="0"/>
              <w:jc w:val="center"/>
              <w:rPr>
                <w:rFonts w:ascii="Trebuchet MS" w:hAnsi="Trebuchet MS"/>
                <w:b/>
                <w:sz w:val="22"/>
                <w:szCs w:val="22"/>
              </w:rPr>
            </w:pPr>
            <w:r w:rsidRPr="00D50900">
              <w:rPr>
                <w:rFonts w:ascii="Trebuchet MS" w:hAnsi="Trebuchet MS"/>
                <w:b/>
                <w:sz w:val="22"/>
                <w:szCs w:val="22"/>
              </w:rPr>
              <w:t>A</w:t>
            </w:r>
          </w:p>
        </w:tc>
        <w:tc>
          <w:tcPr>
            <w:tcW w:w="1134" w:type="dxa"/>
          </w:tcPr>
          <w:p w14:paraId="77CC5179"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Orientacinis vienos val. kainos koeficientas</w:t>
            </w:r>
            <w:r w:rsidRPr="00D50900">
              <w:rPr>
                <w:rFonts w:ascii="Trebuchet MS" w:hAnsi="Trebuchet MS"/>
                <w:sz w:val="22"/>
                <w:szCs w:val="22"/>
                <w:vertAlign w:val="superscript"/>
              </w:rPr>
              <w:t>3</w:t>
            </w:r>
          </w:p>
        </w:tc>
        <w:tc>
          <w:tcPr>
            <w:tcW w:w="1134" w:type="dxa"/>
          </w:tcPr>
          <w:p w14:paraId="745E7D06" w14:textId="7C676DB0" w:rsidR="00406F1F" w:rsidRPr="00D50900" w:rsidRDefault="00B179D5" w:rsidP="00F37D10">
            <w:pPr>
              <w:shd w:val="clear" w:color="auto" w:fill="FFFFFF"/>
              <w:autoSpaceDE w:val="0"/>
              <w:autoSpaceDN w:val="0"/>
              <w:adjustRightInd w:val="0"/>
              <w:jc w:val="center"/>
              <w:rPr>
                <w:rFonts w:ascii="Trebuchet MS" w:hAnsi="Trebuchet MS"/>
                <w:sz w:val="22"/>
                <w:szCs w:val="22"/>
              </w:rPr>
            </w:pPr>
            <w:r>
              <w:rPr>
                <w:rFonts w:ascii="Trebuchet MS" w:hAnsi="Trebuchet MS"/>
                <w:sz w:val="22"/>
                <w:szCs w:val="22"/>
              </w:rPr>
              <w:t>Tiekėjo</w:t>
            </w:r>
            <w:r w:rsidR="00406F1F" w:rsidRPr="00D50900">
              <w:rPr>
                <w:rFonts w:ascii="Trebuchet MS" w:hAnsi="Trebuchet MS"/>
                <w:sz w:val="22"/>
                <w:szCs w:val="22"/>
              </w:rPr>
              <w:t xml:space="preserve"> siūlomos vienos val. kainos koeficientas</w:t>
            </w:r>
            <w:r w:rsidR="00406F1F" w:rsidRPr="00D50900">
              <w:rPr>
                <w:rFonts w:ascii="Trebuchet MS" w:hAnsi="Trebuchet MS"/>
                <w:sz w:val="22"/>
                <w:szCs w:val="22"/>
                <w:vertAlign w:val="superscript"/>
              </w:rPr>
              <w:t>3</w:t>
            </w:r>
          </w:p>
          <w:p w14:paraId="67EF48F0"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tc>
        <w:tc>
          <w:tcPr>
            <w:tcW w:w="1134" w:type="dxa"/>
          </w:tcPr>
          <w:p w14:paraId="61CDFF78"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Vienos val. kaina, Eur be PVM</w:t>
            </w:r>
          </w:p>
        </w:tc>
        <w:tc>
          <w:tcPr>
            <w:tcW w:w="993" w:type="dxa"/>
          </w:tcPr>
          <w:p w14:paraId="36CE8818"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Vienos val. kaina, Eur su PVM</w:t>
            </w:r>
          </w:p>
          <w:p w14:paraId="2C47D0F8"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p w14:paraId="5A28822C"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p w14:paraId="5F16C825"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tc>
        <w:tc>
          <w:tcPr>
            <w:tcW w:w="1417" w:type="dxa"/>
          </w:tcPr>
          <w:p w14:paraId="08091E71" w14:textId="4727DF40"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 xml:space="preserve">Su </w:t>
            </w:r>
            <w:r w:rsidR="00B179D5">
              <w:rPr>
                <w:rFonts w:ascii="Trebuchet MS" w:hAnsi="Trebuchet MS"/>
                <w:sz w:val="22"/>
                <w:szCs w:val="22"/>
              </w:rPr>
              <w:t>Tiekėjo</w:t>
            </w:r>
            <w:r w:rsidR="00B179D5" w:rsidRPr="00D50900">
              <w:rPr>
                <w:rFonts w:ascii="Trebuchet MS" w:hAnsi="Trebuchet MS"/>
                <w:sz w:val="22"/>
                <w:szCs w:val="22"/>
              </w:rPr>
              <w:t xml:space="preserve"> </w:t>
            </w:r>
            <w:r w:rsidRPr="00D50900">
              <w:rPr>
                <w:rFonts w:ascii="Trebuchet MS" w:hAnsi="Trebuchet MS"/>
                <w:sz w:val="22"/>
                <w:szCs w:val="22"/>
              </w:rPr>
              <w:t>siūlomu koeficientu perskaičiuota vienos val. kaina Eur su PVM</w:t>
            </w:r>
          </w:p>
          <w:p w14:paraId="60E19736" w14:textId="77777777" w:rsidR="00406F1F" w:rsidRDefault="00406F1F" w:rsidP="00F37D10">
            <w:pPr>
              <w:shd w:val="clear" w:color="auto" w:fill="FFFFFF"/>
              <w:autoSpaceDE w:val="0"/>
              <w:autoSpaceDN w:val="0"/>
              <w:adjustRightInd w:val="0"/>
              <w:jc w:val="center"/>
              <w:rPr>
                <w:rFonts w:ascii="Trebuchet MS" w:hAnsi="Trebuchet MS"/>
                <w:b/>
                <w:sz w:val="22"/>
                <w:szCs w:val="22"/>
              </w:rPr>
            </w:pPr>
          </w:p>
          <w:p w14:paraId="4972DB5E" w14:textId="77777777" w:rsidR="00406F1F" w:rsidRPr="00D50900" w:rsidRDefault="00406F1F" w:rsidP="00F37D10">
            <w:pPr>
              <w:shd w:val="clear" w:color="auto" w:fill="FFFFFF"/>
              <w:autoSpaceDE w:val="0"/>
              <w:autoSpaceDN w:val="0"/>
              <w:adjustRightInd w:val="0"/>
              <w:jc w:val="center"/>
              <w:rPr>
                <w:rFonts w:ascii="Trebuchet MS" w:hAnsi="Trebuchet MS"/>
                <w:b/>
                <w:sz w:val="22"/>
                <w:szCs w:val="22"/>
              </w:rPr>
            </w:pPr>
            <w:r w:rsidRPr="00D50900">
              <w:rPr>
                <w:rFonts w:ascii="Trebuchet MS" w:hAnsi="Trebuchet MS"/>
                <w:b/>
                <w:sz w:val="22"/>
                <w:szCs w:val="22"/>
              </w:rPr>
              <w:t>B</w:t>
            </w:r>
          </w:p>
        </w:tc>
        <w:tc>
          <w:tcPr>
            <w:tcW w:w="1142" w:type="dxa"/>
          </w:tcPr>
          <w:p w14:paraId="56567C70"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r w:rsidRPr="00D50900">
              <w:rPr>
                <w:rFonts w:ascii="Trebuchet MS" w:hAnsi="Trebuchet MS"/>
                <w:sz w:val="22"/>
                <w:szCs w:val="22"/>
              </w:rPr>
              <w:t>Suma, Eur su PVM</w:t>
            </w:r>
          </w:p>
          <w:p w14:paraId="4EF0C5FA" w14:textId="77777777" w:rsidR="00406F1F" w:rsidRPr="00D50900" w:rsidRDefault="00406F1F" w:rsidP="00F37D10">
            <w:pPr>
              <w:shd w:val="clear" w:color="auto" w:fill="FFFFFF"/>
              <w:autoSpaceDE w:val="0"/>
              <w:autoSpaceDN w:val="0"/>
              <w:adjustRightInd w:val="0"/>
              <w:rPr>
                <w:rFonts w:ascii="Trebuchet MS" w:hAnsi="Trebuchet MS"/>
                <w:sz w:val="22"/>
                <w:szCs w:val="22"/>
              </w:rPr>
            </w:pPr>
          </w:p>
          <w:p w14:paraId="05E7FA3D" w14:textId="77777777" w:rsidR="00406F1F" w:rsidRDefault="00406F1F" w:rsidP="00F37D10">
            <w:pPr>
              <w:shd w:val="clear" w:color="auto" w:fill="FFFFFF"/>
              <w:autoSpaceDE w:val="0"/>
              <w:autoSpaceDN w:val="0"/>
              <w:adjustRightInd w:val="0"/>
              <w:jc w:val="center"/>
              <w:rPr>
                <w:rFonts w:ascii="Trebuchet MS" w:hAnsi="Trebuchet MS"/>
                <w:sz w:val="22"/>
                <w:szCs w:val="22"/>
              </w:rPr>
            </w:pPr>
          </w:p>
          <w:p w14:paraId="2F77B7A6" w14:textId="77777777" w:rsidR="00406F1F" w:rsidRDefault="00406F1F" w:rsidP="00F37D10">
            <w:pPr>
              <w:shd w:val="clear" w:color="auto" w:fill="FFFFFF"/>
              <w:autoSpaceDE w:val="0"/>
              <w:autoSpaceDN w:val="0"/>
              <w:adjustRightInd w:val="0"/>
              <w:jc w:val="center"/>
              <w:rPr>
                <w:rFonts w:ascii="Trebuchet MS" w:hAnsi="Trebuchet MS"/>
                <w:sz w:val="22"/>
                <w:szCs w:val="22"/>
              </w:rPr>
            </w:pPr>
          </w:p>
          <w:p w14:paraId="1ECD2BB5" w14:textId="77777777" w:rsidR="00406F1F" w:rsidRPr="00D50900" w:rsidRDefault="00406F1F" w:rsidP="00F37D10">
            <w:pPr>
              <w:shd w:val="clear" w:color="auto" w:fill="FFFFFF"/>
              <w:autoSpaceDE w:val="0"/>
              <w:autoSpaceDN w:val="0"/>
              <w:adjustRightInd w:val="0"/>
              <w:jc w:val="center"/>
              <w:rPr>
                <w:rFonts w:ascii="Trebuchet MS" w:hAnsi="Trebuchet MS"/>
                <w:sz w:val="22"/>
                <w:szCs w:val="22"/>
              </w:rPr>
            </w:pPr>
          </w:p>
          <w:p w14:paraId="40126E69" w14:textId="77777777" w:rsidR="00406F1F" w:rsidRPr="00D50900" w:rsidRDefault="00406F1F" w:rsidP="00F37D10">
            <w:pPr>
              <w:shd w:val="clear" w:color="auto" w:fill="FFFFFF"/>
              <w:autoSpaceDE w:val="0"/>
              <w:autoSpaceDN w:val="0"/>
              <w:adjustRightInd w:val="0"/>
              <w:jc w:val="center"/>
              <w:rPr>
                <w:rFonts w:ascii="Trebuchet MS" w:hAnsi="Trebuchet MS"/>
                <w:b/>
                <w:sz w:val="22"/>
                <w:szCs w:val="22"/>
              </w:rPr>
            </w:pPr>
            <w:r w:rsidRPr="00D50900">
              <w:rPr>
                <w:rFonts w:ascii="Trebuchet MS" w:hAnsi="Trebuchet MS"/>
                <w:b/>
                <w:sz w:val="22"/>
                <w:szCs w:val="22"/>
              </w:rPr>
              <w:t>(C</w:t>
            </w:r>
            <w:r w:rsidRPr="00D50900">
              <w:rPr>
                <w:rFonts w:ascii="Trebuchet MS" w:hAnsi="Trebuchet MS"/>
                <w:b/>
                <w:sz w:val="22"/>
                <w:szCs w:val="22"/>
                <w:lang w:val="en-US"/>
              </w:rPr>
              <w:t>=A*B)</w:t>
            </w:r>
          </w:p>
        </w:tc>
      </w:tr>
      <w:tr w:rsidR="00406F1F" w:rsidRPr="00D50900" w14:paraId="3FA1846C" w14:textId="77777777" w:rsidTr="00220BE5">
        <w:trPr>
          <w:trHeight w:val="1033"/>
        </w:trPr>
        <w:tc>
          <w:tcPr>
            <w:tcW w:w="567" w:type="dxa"/>
          </w:tcPr>
          <w:p w14:paraId="2BA3B3C7" w14:textId="77777777" w:rsidR="00406F1F" w:rsidRPr="00D50900" w:rsidRDefault="00406F1F" w:rsidP="00F37D10">
            <w:pPr>
              <w:shd w:val="clear" w:color="auto" w:fill="FFFFFF"/>
              <w:autoSpaceDE w:val="0"/>
              <w:autoSpaceDN w:val="0"/>
              <w:adjustRightInd w:val="0"/>
              <w:spacing w:after="160" w:line="259" w:lineRule="auto"/>
              <w:contextualSpacing/>
              <w:rPr>
                <w:rFonts w:ascii="Trebuchet MS" w:eastAsia="Calibri" w:hAnsi="Trebuchet MS"/>
                <w:color w:val="000000"/>
                <w:sz w:val="22"/>
                <w:szCs w:val="22"/>
              </w:rPr>
            </w:pPr>
            <w:r w:rsidRPr="00D50900">
              <w:rPr>
                <w:rFonts w:ascii="Trebuchet MS" w:eastAsia="Calibri" w:hAnsi="Trebuchet MS"/>
                <w:color w:val="000000"/>
                <w:sz w:val="22"/>
                <w:szCs w:val="22"/>
              </w:rPr>
              <w:t>1.</w:t>
            </w:r>
          </w:p>
        </w:tc>
        <w:tc>
          <w:tcPr>
            <w:tcW w:w="2127" w:type="dxa"/>
          </w:tcPr>
          <w:p w14:paraId="42349469" w14:textId="77777777" w:rsidR="00406F1F" w:rsidRPr="00D50900" w:rsidRDefault="00406F1F" w:rsidP="00F37D10">
            <w:pPr>
              <w:shd w:val="clear" w:color="auto" w:fill="FFFFFF"/>
              <w:autoSpaceDE w:val="0"/>
              <w:autoSpaceDN w:val="0"/>
              <w:adjustRightInd w:val="0"/>
              <w:spacing w:after="160" w:line="259" w:lineRule="auto"/>
              <w:contextualSpacing/>
              <w:rPr>
                <w:rFonts w:ascii="Trebuchet MS" w:eastAsia="Calibri" w:hAnsi="Trebuchet MS"/>
                <w:color w:val="000000"/>
                <w:sz w:val="22"/>
                <w:szCs w:val="22"/>
              </w:rPr>
            </w:pPr>
            <w:r w:rsidRPr="00D50900">
              <w:rPr>
                <w:rFonts w:ascii="Trebuchet MS" w:eastAsia="Calibri" w:hAnsi="Trebuchet MS"/>
                <w:color w:val="000000"/>
                <w:sz w:val="22"/>
                <w:szCs w:val="22"/>
              </w:rPr>
              <w:t>Incidento administravimui, dokumentavimui ir diegimui skirtos valandos</w:t>
            </w:r>
          </w:p>
        </w:tc>
        <w:tc>
          <w:tcPr>
            <w:tcW w:w="1275" w:type="dxa"/>
          </w:tcPr>
          <w:p w14:paraId="762E660B"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p>
          <w:p w14:paraId="6D0DB565"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r w:rsidRPr="00406F1F">
              <w:rPr>
                <w:rFonts w:ascii="Trebuchet MS" w:hAnsi="Trebuchet MS"/>
                <w:sz w:val="22"/>
                <w:szCs w:val="22"/>
              </w:rPr>
              <w:t>400</w:t>
            </w:r>
          </w:p>
        </w:tc>
        <w:tc>
          <w:tcPr>
            <w:tcW w:w="1134" w:type="dxa"/>
          </w:tcPr>
          <w:p w14:paraId="41F4D835" w14:textId="77777777" w:rsidR="00406F1F" w:rsidRPr="00406F1F" w:rsidRDefault="00406F1F" w:rsidP="00F37D10">
            <w:pPr>
              <w:shd w:val="clear" w:color="auto" w:fill="FFFFFF"/>
              <w:autoSpaceDE w:val="0"/>
              <w:autoSpaceDN w:val="0"/>
              <w:adjustRightInd w:val="0"/>
              <w:rPr>
                <w:rFonts w:ascii="Trebuchet MS" w:hAnsi="Trebuchet MS"/>
                <w:sz w:val="22"/>
                <w:szCs w:val="22"/>
              </w:rPr>
            </w:pPr>
            <w:r w:rsidRPr="00406F1F">
              <w:rPr>
                <w:rFonts w:ascii="Trebuchet MS" w:hAnsi="Trebuchet MS" w:cs="Calibri"/>
                <w:sz w:val="22"/>
                <w:szCs w:val="22"/>
              </w:rPr>
              <w:t>≤</w:t>
            </w:r>
            <w:r w:rsidRPr="00406F1F">
              <w:rPr>
                <w:rFonts w:ascii="Trebuchet MS" w:hAnsi="Trebuchet MS"/>
                <w:sz w:val="22"/>
                <w:szCs w:val="22"/>
              </w:rPr>
              <w:t xml:space="preserve"> 0,6 </w:t>
            </w:r>
          </w:p>
        </w:tc>
        <w:tc>
          <w:tcPr>
            <w:tcW w:w="1134" w:type="dxa"/>
          </w:tcPr>
          <w:p w14:paraId="69172E1C"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134" w:type="dxa"/>
            <w:vMerge w:val="restart"/>
          </w:tcPr>
          <w:p w14:paraId="3950E59A"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993" w:type="dxa"/>
            <w:vMerge w:val="restart"/>
          </w:tcPr>
          <w:p w14:paraId="6F852154"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417" w:type="dxa"/>
          </w:tcPr>
          <w:p w14:paraId="615C924B"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142" w:type="dxa"/>
          </w:tcPr>
          <w:p w14:paraId="37652DF9"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r>
      <w:tr w:rsidR="00406F1F" w:rsidRPr="00D50900" w14:paraId="653FE204" w14:textId="77777777" w:rsidTr="00220BE5">
        <w:trPr>
          <w:trHeight w:val="1033"/>
        </w:trPr>
        <w:tc>
          <w:tcPr>
            <w:tcW w:w="567" w:type="dxa"/>
          </w:tcPr>
          <w:p w14:paraId="3261EA58" w14:textId="77777777" w:rsidR="00406F1F" w:rsidRPr="00D50900" w:rsidRDefault="00406F1F" w:rsidP="00F37D10">
            <w:pPr>
              <w:shd w:val="clear" w:color="auto" w:fill="FFFFFF"/>
              <w:autoSpaceDE w:val="0"/>
              <w:autoSpaceDN w:val="0"/>
              <w:adjustRightInd w:val="0"/>
              <w:rPr>
                <w:rFonts w:ascii="Trebuchet MS" w:hAnsi="Trebuchet MS"/>
                <w:sz w:val="22"/>
                <w:szCs w:val="22"/>
              </w:rPr>
            </w:pPr>
            <w:r w:rsidRPr="00D50900">
              <w:rPr>
                <w:rFonts w:ascii="Trebuchet MS" w:hAnsi="Trebuchet MS"/>
                <w:sz w:val="22"/>
                <w:szCs w:val="22"/>
              </w:rPr>
              <w:t>2.</w:t>
            </w:r>
          </w:p>
        </w:tc>
        <w:tc>
          <w:tcPr>
            <w:tcW w:w="2127" w:type="dxa"/>
          </w:tcPr>
          <w:p w14:paraId="7167F3E7" w14:textId="77777777" w:rsidR="00406F1F" w:rsidRPr="00D50900" w:rsidRDefault="00406F1F" w:rsidP="00F37D10">
            <w:pPr>
              <w:shd w:val="clear" w:color="auto" w:fill="FFFFFF"/>
              <w:autoSpaceDE w:val="0"/>
              <w:autoSpaceDN w:val="0"/>
              <w:adjustRightInd w:val="0"/>
              <w:rPr>
                <w:rFonts w:ascii="Trebuchet MS" w:hAnsi="Trebuchet MS"/>
                <w:sz w:val="22"/>
                <w:szCs w:val="22"/>
              </w:rPr>
            </w:pPr>
            <w:r w:rsidRPr="00D50900">
              <w:rPr>
                <w:rFonts w:ascii="Trebuchet MS" w:hAnsi="Trebuchet MS"/>
                <w:sz w:val="22"/>
                <w:szCs w:val="22"/>
              </w:rPr>
              <w:t>ESKIS incidentų sprendimui skirtos valandos</w:t>
            </w:r>
          </w:p>
        </w:tc>
        <w:tc>
          <w:tcPr>
            <w:tcW w:w="1275" w:type="dxa"/>
          </w:tcPr>
          <w:p w14:paraId="3C04DF20"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p>
          <w:p w14:paraId="21F0B25B"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r w:rsidRPr="00406F1F">
              <w:rPr>
                <w:rFonts w:ascii="Trebuchet MS" w:hAnsi="Trebuchet MS"/>
                <w:sz w:val="22"/>
                <w:szCs w:val="22"/>
              </w:rPr>
              <w:t>3100</w:t>
            </w:r>
          </w:p>
        </w:tc>
        <w:tc>
          <w:tcPr>
            <w:tcW w:w="1134" w:type="dxa"/>
          </w:tcPr>
          <w:p w14:paraId="29F71DD5" w14:textId="77777777" w:rsidR="00406F1F" w:rsidRPr="00406F1F" w:rsidRDefault="00406F1F" w:rsidP="00F37D10">
            <w:pPr>
              <w:shd w:val="clear" w:color="auto" w:fill="FFFFFF"/>
              <w:autoSpaceDE w:val="0"/>
              <w:autoSpaceDN w:val="0"/>
              <w:adjustRightInd w:val="0"/>
              <w:rPr>
                <w:rFonts w:ascii="Trebuchet MS" w:hAnsi="Trebuchet MS"/>
                <w:sz w:val="22"/>
                <w:szCs w:val="22"/>
              </w:rPr>
            </w:pPr>
            <w:r w:rsidRPr="00406F1F">
              <w:rPr>
                <w:rFonts w:ascii="Trebuchet MS" w:hAnsi="Trebuchet MS" w:cs="Calibri"/>
                <w:sz w:val="22"/>
                <w:szCs w:val="22"/>
              </w:rPr>
              <w:t>≤</w:t>
            </w:r>
            <w:r w:rsidRPr="00406F1F">
              <w:rPr>
                <w:rFonts w:ascii="Trebuchet MS" w:hAnsi="Trebuchet MS"/>
                <w:sz w:val="22"/>
                <w:szCs w:val="22"/>
              </w:rPr>
              <w:t xml:space="preserve"> 1</w:t>
            </w:r>
          </w:p>
        </w:tc>
        <w:tc>
          <w:tcPr>
            <w:tcW w:w="1134" w:type="dxa"/>
          </w:tcPr>
          <w:p w14:paraId="084046E1"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134" w:type="dxa"/>
            <w:vMerge/>
          </w:tcPr>
          <w:p w14:paraId="24EBD8B1"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993" w:type="dxa"/>
            <w:vMerge/>
          </w:tcPr>
          <w:p w14:paraId="06E4C590"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417" w:type="dxa"/>
          </w:tcPr>
          <w:p w14:paraId="117BCED3"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c>
          <w:tcPr>
            <w:tcW w:w="1142" w:type="dxa"/>
          </w:tcPr>
          <w:p w14:paraId="55BA4041"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r>
      <w:tr w:rsidR="00406F1F" w:rsidRPr="00D50900" w14:paraId="40DA7534" w14:textId="77777777" w:rsidTr="00220BE5">
        <w:trPr>
          <w:trHeight w:val="243"/>
        </w:trPr>
        <w:tc>
          <w:tcPr>
            <w:tcW w:w="2694" w:type="dxa"/>
            <w:gridSpan w:val="2"/>
          </w:tcPr>
          <w:p w14:paraId="5ECE9C93" w14:textId="37F0D83F" w:rsidR="00406F1F" w:rsidRPr="00D50900" w:rsidRDefault="00406F1F" w:rsidP="00F37D10">
            <w:pPr>
              <w:shd w:val="clear" w:color="auto" w:fill="FFFFFF"/>
              <w:autoSpaceDE w:val="0"/>
              <w:autoSpaceDN w:val="0"/>
              <w:adjustRightInd w:val="0"/>
              <w:rPr>
                <w:rFonts w:ascii="Trebuchet MS" w:hAnsi="Trebuchet MS"/>
                <w:sz w:val="22"/>
                <w:szCs w:val="22"/>
              </w:rPr>
            </w:pPr>
            <w:r w:rsidRPr="00D50900">
              <w:rPr>
                <w:rFonts w:ascii="Trebuchet MS" w:hAnsi="Trebuchet MS"/>
                <w:sz w:val="22"/>
                <w:szCs w:val="22"/>
              </w:rPr>
              <w:t>Bendra</w:t>
            </w:r>
            <w:r w:rsidR="003F47D1">
              <w:rPr>
                <w:rFonts w:ascii="Trebuchet MS" w:hAnsi="Trebuchet MS"/>
                <w:sz w:val="22"/>
                <w:szCs w:val="22"/>
              </w:rPr>
              <w:t>s</w:t>
            </w:r>
            <w:r w:rsidRPr="00D50900">
              <w:rPr>
                <w:rFonts w:ascii="Trebuchet MS" w:hAnsi="Trebuchet MS"/>
                <w:sz w:val="22"/>
                <w:szCs w:val="22"/>
              </w:rPr>
              <w:t xml:space="preserve"> orientacinė valandų </w:t>
            </w:r>
            <w:r w:rsidR="003F47D1" w:rsidRPr="003F47D1">
              <w:rPr>
                <w:rFonts w:ascii="Trebuchet MS" w:hAnsi="Trebuchet MS"/>
                <w:sz w:val="22"/>
                <w:szCs w:val="22"/>
              </w:rPr>
              <w:t>kiekis</w:t>
            </w:r>
          </w:p>
        </w:tc>
        <w:tc>
          <w:tcPr>
            <w:tcW w:w="1275" w:type="dxa"/>
          </w:tcPr>
          <w:p w14:paraId="3759AD89"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p>
          <w:p w14:paraId="06633D76" w14:textId="77777777" w:rsidR="00406F1F" w:rsidRPr="00406F1F" w:rsidRDefault="00406F1F" w:rsidP="00F37D10">
            <w:pPr>
              <w:shd w:val="clear" w:color="auto" w:fill="FFFFFF"/>
              <w:autoSpaceDE w:val="0"/>
              <w:autoSpaceDN w:val="0"/>
              <w:adjustRightInd w:val="0"/>
              <w:jc w:val="center"/>
              <w:rPr>
                <w:rFonts w:ascii="Trebuchet MS" w:hAnsi="Trebuchet MS"/>
                <w:sz w:val="22"/>
                <w:szCs w:val="22"/>
              </w:rPr>
            </w:pPr>
            <w:r w:rsidRPr="00406F1F">
              <w:rPr>
                <w:rFonts w:ascii="Trebuchet MS" w:hAnsi="Trebuchet MS"/>
                <w:sz w:val="22"/>
                <w:szCs w:val="22"/>
              </w:rPr>
              <w:t>3500</w:t>
            </w:r>
            <w:r w:rsidRPr="00406F1F">
              <w:rPr>
                <w:rFonts w:ascii="Trebuchet MS" w:hAnsi="Trebuchet MS"/>
                <w:sz w:val="22"/>
                <w:szCs w:val="22"/>
                <w:vertAlign w:val="superscript"/>
              </w:rPr>
              <w:footnoteReference w:id="2"/>
            </w:r>
          </w:p>
        </w:tc>
        <w:tc>
          <w:tcPr>
            <w:tcW w:w="6954" w:type="dxa"/>
            <w:gridSpan w:val="6"/>
          </w:tcPr>
          <w:p w14:paraId="28397F6E" w14:textId="77777777" w:rsidR="00406F1F" w:rsidRPr="00406F1F" w:rsidRDefault="00406F1F" w:rsidP="00F37D10">
            <w:pPr>
              <w:shd w:val="clear" w:color="auto" w:fill="FFFFFF"/>
              <w:autoSpaceDE w:val="0"/>
              <w:autoSpaceDN w:val="0"/>
              <w:adjustRightInd w:val="0"/>
              <w:rPr>
                <w:rFonts w:ascii="Trebuchet MS" w:hAnsi="Trebuchet MS"/>
                <w:sz w:val="22"/>
                <w:szCs w:val="22"/>
              </w:rPr>
            </w:pPr>
          </w:p>
        </w:tc>
      </w:tr>
      <w:tr w:rsidR="00406F1F" w:rsidRPr="00D50900" w14:paraId="5779B5DF" w14:textId="77777777" w:rsidTr="00220BE5">
        <w:trPr>
          <w:trHeight w:val="243"/>
        </w:trPr>
        <w:tc>
          <w:tcPr>
            <w:tcW w:w="8364" w:type="dxa"/>
            <w:gridSpan w:val="7"/>
          </w:tcPr>
          <w:p w14:paraId="17CF285B" w14:textId="77777777" w:rsidR="00406F1F" w:rsidRPr="00D50900" w:rsidRDefault="00406F1F" w:rsidP="00F37D10">
            <w:pPr>
              <w:shd w:val="clear" w:color="auto" w:fill="FFFFFF"/>
              <w:autoSpaceDE w:val="0"/>
              <w:autoSpaceDN w:val="0"/>
              <w:adjustRightInd w:val="0"/>
              <w:rPr>
                <w:rFonts w:ascii="Trebuchet MS" w:hAnsi="Trebuchet MS"/>
                <w:sz w:val="22"/>
                <w:szCs w:val="22"/>
              </w:rPr>
            </w:pPr>
            <w:r w:rsidRPr="00D50900">
              <w:rPr>
                <w:rFonts w:ascii="Trebuchet MS" w:hAnsi="Trebuchet MS"/>
                <w:sz w:val="22"/>
                <w:szCs w:val="22"/>
              </w:rPr>
              <w:t>Pasiūlymo kaina Eur su PVM (1-2 eilučių C stulpelio suma):</w:t>
            </w:r>
          </w:p>
        </w:tc>
        <w:tc>
          <w:tcPr>
            <w:tcW w:w="2559" w:type="dxa"/>
            <w:gridSpan w:val="2"/>
          </w:tcPr>
          <w:p w14:paraId="014BE415" w14:textId="77777777" w:rsidR="00406F1F" w:rsidRPr="00D50900" w:rsidRDefault="00406F1F" w:rsidP="00F37D10">
            <w:pPr>
              <w:shd w:val="clear" w:color="auto" w:fill="FFFFFF"/>
              <w:autoSpaceDE w:val="0"/>
              <w:autoSpaceDN w:val="0"/>
              <w:adjustRightInd w:val="0"/>
              <w:rPr>
                <w:rFonts w:ascii="Trebuchet MS" w:hAnsi="Trebuchet MS"/>
                <w:sz w:val="22"/>
                <w:szCs w:val="22"/>
              </w:rPr>
            </w:pPr>
          </w:p>
        </w:tc>
      </w:tr>
    </w:tbl>
    <w:bookmarkEnd w:id="2"/>
    <w:p w14:paraId="12039D94" w14:textId="77777777" w:rsidR="00E064E4" w:rsidRPr="00D50900" w:rsidRDefault="00E064E4" w:rsidP="00E064E4">
      <w:pPr>
        <w:jc w:val="both"/>
        <w:rPr>
          <w:rFonts w:ascii="Trebuchet MS" w:hAnsi="Trebuchet MS"/>
          <w:sz w:val="22"/>
          <w:szCs w:val="22"/>
        </w:rPr>
      </w:pPr>
      <w:r w:rsidRPr="00D50900">
        <w:rPr>
          <w:rFonts w:ascii="Trebuchet MS" w:hAnsi="Trebuchet MS"/>
          <w:sz w:val="22"/>
          <w:szCs w:val="22"/>
          <w:u w:val="single"/>
        </w:rPr>
        <w:t>Pastaba 1</w:t>
      </w:r>
      <w:r w:rsidRPr="00D50900">
        <w:rPr>
          <w:rFonts w:ascii="Trebuchet MS" w:hAnsi="Trebuchet MS"/>
          <w:sz w:val="22"/>
          <w:szCs w:val="22"/>
        </w:rPr>
        <w:t xml:space="preserve">: valandinis įkainis turi būti vienodas, 0,6 ir 1 yra koeficientai skaičiuojami nuo valandinio įkainio.  </w:t>
      </w:r>
    </w:p>
    <w:p w14:paraId="2FC0F602" w14:textId="78467ACA" w:rsidR="00E064E4" w:rsidRPr="00D50900" w:rsidRDefault="00E064E4" w:rsidP="00E064E4">
      <w:pPr>
        <w:jc w:val="both"/>
        <w:rPr>
          <w:rFonts w:ascii="Trebuchet MS" w:hAnsi="Trebuchet MS"/>
          <w:color w:val="000000"/>
          <w:sz w:val="22"/>
          <w:szCs w:val="22"/>
        </w:rPr>
      </w:pPr>
      <w:r w:rsidRPr="00D50900">
        <w:rPr>
          <w:rFonts w:ascii="Trebuchet MS" w:hAnsi="Trebuchet MS"/>
          <w:sz w:val="22"/>
          <w:szCs w:val="22"/>
          <w:u w:val="single"/>
        </w:rPr>
        <w:t>Pastaba 2</w:t>
      </w:r>
      <w:r w:rsidRPr="00D50900">
        <w:rPr>
          <w:rFonts w:ascii="Trebuchet MS" w:hAnsi="Trebuchet MS"/>
          <w:sz w:val="22"/>
          <w:szCs w:val="22"/>
        </w:rPr>
        <w:t xml:space="preserve">: </w:t>
      </w:r>
      <w:r>
        <w:rPr>
          <w:rFonts w:ascii="Trebuchet MS" w:hAnsi="Trebuchet MS"/>
          <w:sz w:val="22"/>
          <w:szCs w:val="22"/>
        </w:rPr>
        <w:t>Paslaugos</w:t>
      </w:r>
      <w:r w:rsidRPr="00D50900">
        <w:rPr>
          <w:rFonts w:ascii="Trebuchet MS" w:hAnsi="Trebuchet MS"/>
          <w:sz w:val="22"/>
          <w:szCs w:val="22"/>
        </w:rPr>
        <w:t xml:space="preserve"> elementų vykdymo metu </w:t>
      </w:r>
      <w:r>
        <w:rPr>
          <w:rFonts w:ascii="Trebuchet MS" w:hAnsi="Trebuchet MS"/>
          <w:sz w:val="22"/>
          <w:szCs w:val="22"/>
        </w:rPr>
        <w:t>Pirkėjas</w:t>
      </w:r>
      <w:r w:rsidRPr="00F4098F">
        <w:rPr>
          <w:rFonts w:ascii="Trebuchet MS" w:hAnsi="Trebuchet MS"/>
          <w:sz w:val="22"/>
          <w:szCs w:val="22"/>
        </w:rPr>
        <w:t xml:space="preserve"> </w:t>
      </w:r>
      <w:r w:rsidRPr="00D50900">
        <w:rPr>
          <w:rFonts w:ascii="Trebuchet MS" w:hAnsi="Trebuchet MS"/>
          <w:sz w:val="22"/>
          <w:szCs w:val="22"/>
        </w:rPr>
        <w:t xml:space="preserve">planuoja pirkti iki 292 suminių darbo valandų per ketvirtį. Nurodytas orientacinis valandų kiekis, kuris bus užsakomas tik pagal faktinį </w:t>
      </w:r>
      <w:r>
        <w:rPr>
          <w:rFonts w:ascii="Trebuchet MS" w:hAnsi="Trebuchet MS"/>
          <w:sz w:val="22"/>
          <w:szCs w:val="22"/>
        </w:rPr>
        <w:t>Pirkėjo p</w:t>
      </w:r>
      <w:r w:rsidRPr="00D50900">
        <w:rPr>
          <w:rFonts w:ascii="Trebuchet MS" w:hAnsi="Trebuchet MS"/>
          <w:sz w:val="22"/>
          <w:szCs w:val="22"/>
        </w:rPr>
        <w:t xml:space="preserve">oreikį ir jis gali būti 20 procentų mažesnis arba didesnis, tačiau bendra </w:t>
      </w:r>
      <w:r>
        <w:rPr>
          <w:rFonts w:ascii="Trebuchet MS" w:hAnsi="Trebuchet MS"/>
          <w:sz w:val="22"/>
          <w:szCs w:val="22"/>
        </w:rPr>
        <w:t>Sutarties</w:t>
      </w:r>
      <w:r w:rsidRPr="00D50900">
        <w:rPr>
          <w:rFonts w:ascii="Trebuchet MS" w:hAnsi="Trebuchet MS"/>
          <w:sz w:val="22"/>
          <w:szCs w:val="22"/>
        </w:rPr>
        <w:t xml:space="preserve"> vertė neturi viršyti jai skirto finansavimo.</w:t>
      </w:r>
      <w:r w:rsidRPr="00D50900">
        <w:rPr>
          <w:rFonts w:ascii="Trebuchet MS" w:hAnsi="Trebuchet MS"/>
          <w:i/>
          <w:iCs/>
          <w:sz w:val="22"/>
          <w:szCs w:val="22"/>
        </w:rPr>
        <w:t xml:space="preserve"> </w:t>
      </w:r>
      <w:r w:rsidRPr="00D50900">
        <w:rPr>
          <w:rFonts w:ascii="Trebuchet MS" w:hAnsi="Trebuchet MS"/>
          <w:color w:val="000000"/>
          <w:sz w:val="22"/>
          <w:szCs w:val="22"/>
        </w:rPr>
        <w:t xml:space="preserve">Lentelėje nurodytas orientacinis valandų kiekis yra tik numatomas skaičius ir negali būti pagrindas reikalauti iš </w:t>
      </w:r>
      <w:r>
        <w:rPr>
          <w:rFonts w:ascii="Trebuchet MS" w:hAnsi="Trebuchet MS"/>
          <w:sz w:val="22"/>
          <w:szCs w:val="22"/>
        </w:rPr>
        <w:t xml:space="preserve">Pirkėjo </w:t>
      </w:r>
      <w:r w:rsidRPr="00D50900">
        <w:rPr>
          <w:rFonts w:ascii="Trebuchet MS" w:hAnsi="Trebuchet MS"/>
          <w:color w:val="000000"/>
          <w:sz w:val="22"/>
          <w:szCs w:val="22"/>
        </w:rPr>
        <w:t xml:space="preserve">pirkti visą orientacinį valandų kiekį. Orientacinių valandų kiekio pirkimas priklauso tiktai nuo </w:t>
      </w:r>
      <w:r>
        <w:rPr>
          <w:rFonts w:ascii="Trebuchet MS" w:hAnsi="Trebuchet MS"/>
          <w:sz w:val="22"/>
          <w:szCs w:val="22"/>
        </w:rPr>
        <w:t xml:space="preserve">Pirkėjo </w:t>
      </w:r>
      <w:r w:rsidRPr="00D50900">
        <w:rPr>
          <w:rFonts w:ascii="Trebuchet MS" w:hAnsi="Trebuchet MS"/>
          <w:color w:val="000000"/>
          <w:sz w:val="22"/>
          <w:szCs w:val="22"/>
        </w:rPr>
        <w:t xml:space="preserve">poreikio ir valios, todėl sutartimi </w:t>
      </w:r>
      <w:r>
        <w:rPr>
          <w:rFonts w:ascii="Trebuchet MS" w:hAnsi="Trebuchet MS"/>
          <w:sz w:val="22"/>
          <w:szCs w:val="22"/>
        </w:rPr>
        <w:t>Pirkėjas</w:t>
      </w:r>
      <w:r w:rsidRPr="00F4098F">
        <w:rPr>
          <w:rFonts w:ascii="Trebuchet MS" w:hAnsi="Trebuchet MS"/>
          <w:sz w:val="22"/>
          <w:szCs w:val="22"/>
        </w:rPr>
        <w:t xml:space="preserve"> </w:t>
      </w:r>
      <w:r w:rsidRPr="00D50900">
        <w:rPr>
          <w:rFonts w:ascii="Trebuchet MS" w:hAnsi="Trebuchet MS"/>
          <w:color w:val="000000"/>
          <w:sz w:val="22"/>
          <w:szCs w:val="22"/>
        </w:rPr>
        <w:t>neįsipareigoja pirkti viso lentelėje nurodyto orientacinio valandų kiekio.</w:t>
      </w:r>
    </w:p>
    <w:p w14:paraId="18AA69E5" w14:textId="0FE63219" w:rsidR="00E064E4" w:rsidRDefault="00E064E4" w:rsidP="00E064E4">
      <w:pPr>
        <w:jc w:val="both"/>
        <w:rPr>
          <w:rFonts w:ascii="Trebuchet MS" w:hAnsi="Trebuchet MS"/>
          <w:sz w:val="22"/>
          <w:szCs w:val="22"/>
        </w:rPr>
      </w:pPr>
      <w:r w:rsidRPr="00D50900">
        <w:rPr>
          <w:rFonts w:ascii="Trebuchet MS" w:hAnsi="Trebuchet MS"/>
          <w:color w:val="000000"/>
          <w:sz w:val="22"/>
          <w:szCs w:val="22"/>
          <w:u w:val="single"/>
        </w:rPr>
        <w:t>Pastaba 3</w:t>
      </w:r>
      <w:r w:rsidRPr="00D50900">
        <w:rPr>
          <w:rFonts w:ascii="Trebuchet MS" w:hAnsi="Trebuchet MS"/>
          <w:color w:val="000000"/>
          <w:sz w:val="22"/>
          <w:szCs w:val="22"/>
        </w:rPr>
        <w:t xml:space="preserve">: </w:t>
      </w:r>
      <w:r w:rsidRPr="00D50900">
        <w:rPr>
          <w:rFonts w:ascii="Trebuchet MS" w:hAnsi="Trebuchet MS"/>
          <w:sz w:val="22"/>
          <w:szCs w:val="22"/>
        </w:rPr>
        <w:t>Išnaudojus vienos eilutės valandas, gali būti naudojamos kitos eilutės valandos, joms taikant vykdomos paslaugos koeficientą.</w:t>
      </w:r>
    </w:p>
    <w:p w14:paraId="07F52FAE" w14:textId="77777777" w:rsidR="00B30ADC" w:rsidRPr="00A6740D" w:rsidRDefault="00B30ADC" w:rsidP="00B30ADC">
      <w:pPr>
        <w:jc w:val="both"/>
        <w:rPr>
          <w:rFonts w:ascii="Trebuchet MS" w:hAnsi="Trebuchet MS"/>
          <w:i/>
          <w:color w:val="000000"/>
          <w:kern w:val="2"/>
          <w:sz w:val="22"/>
          <w:szCs w:val="22"/>
        </w:rPr>
      </w:pPr>
      <w:r w:rsidRPr="00A6740D">
        <w:rPr>
          <w:rFonts w:ascii="Trebuchet MS" w:hAnsi="Trebuchet MS"/>
          <w:i/>
          <w:kern w:val="2"/>
          <w:sz w:val="22"/>
          <w:szCs w:val="22"/>
        </w:rPr>
        <w:lastRenderedPageBreak/>
        <w:t xml:space="preserve">Nurodytas orientacinis valandų kiekis yra tik numatomas skaičius ir negali būti pagrindas reikalauti iš Pirkėjo pirkti visą orientacinį valandų kiekį. Orientacinių valandų kiekio pirkimas priklauso tiktai nuo Pirkėjo poreikio ir valios, todėl sutartimi </w:t>
      </w:r>
      <w:bookmarkStart w:id="3" w:name="_GoBack"/>
      <w:bookmarkEnd w:id="3"/>
      <w:r w:rsidRPr="00A6740D">
        <w:rPr>
          <w:rFonts w:ascii="Trebuchet MS" w:hAnsi="Trebuchet MS"/>
          <w:i/>
          <w:kern w:val="2"/>
          <w:sz w:val="22"/>
          <w:szCs w:val="22"/>
        </w:rPr>
        <w:t>Pirkėjas neįsipareigoja pirkti viso lentelėje nurodyto orientacinio valandų kiekio.</w:t>
      </w:r>
    </w:p>
    <w:p w14:paraId="0D1CA733" w14:textId="0D135BE6" w:rsidR="00B30ADC" w:rsidRPr="00D50900" w:rsidRDefault="00B30ADC" w:rsidP="00E064E4">
      <w:pPr>
        <w:jc w:val="both"/>
        <w:rPr>
          <w:rFonts w:ascii="Trebuchet MS" w:hAnsi="Trebuchet MS"/>
          <w:color w:val="000000"/>
          <w:sz w:val="22"/>
          <w:szCs w:val="22"/>
        </w:rPr>
      </w:pPr>
    </w:p>
    <w:p w14:paraId="7710B24A" w14:textId="77777777" w:rsidR="00406F1F" w:rsidRDefault="00406F1F" w:rsidP="00CA2681">
      <w:pPr>
        <w:ind w:firstLine="567"/>
        <w:jc w:val="both"/>
        <w:rPr>
          <w:rFonts w:ascii="Trebuchet MS" w:hAnsi="Trebuchet MS"/>
          <w:color w:val="000000"/>
          <w:sz w:val="22"/>
          <w:szCs w:val="22"/>
        </w:rPr>
      </w:pPr>
    </w:p>
    <w:p w14:paraId="1AE61B80" w14:textId="25E8254E" w:rsidR="00DC6B49" w:rsidRPr="00301732" w:rsidRDefault="00A8056E" w:rsidP="00E64873">
      <w:pPr>
        <w:pStyle w:val="Sraopastraipa"/>
        <w:tabs>
          <w:tab w:val="left" w:pos="567"/>
        </w:tabs>
        <w:autoSpaceDE w:val="0"/>
        <w:autoSpaceDN w:val="0"/>
        <w:adjustRightInd w:val="0"/>
        <w:spacing w:after="0" w:line="240" w:lineRule="auto"/>
        <w:ind w:left="0"/>
        <w:contextualSpacing w:val="0"/>
        <w:jc w:val="both"/>
        <w:rPr>
          <w:color w:val="auto"/>
          <w:sz w:val="20"/>
          <w:szCs w:val="20"/>
        </w:rPr>
      </w:pPr>
      <w:r>
        <w:rPr>
          <w:i/>
          <w:iCs/>
          <w:sz w:val="20"/>
          <w:szCs w:val="20"/>
          <w:vertAlign w:val="superscript"/>
        </w:rPr>
        <w:t xml:space="preserve"> </w:t>
      </w: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73430759" w14:textId="77777777" w:rsidR="00406F1F" w:rsidRPr="00406F1F" w:rsidRDefault="00406F1F" w:rsidP="00406F1F">
      <w:pPr>
        <w:pStyle w:val="Puslapioinaostekstas"/>
        <w:rPr>
          <w:rFonts w:ascii="Trebuchet MS" w:hAnsi="Trebuchet MS"/>
          <w:sz w:val="18"/>
          <w:szCs w:val="18"/>
          <w:lang w:val="lt-LT"/>
        </w:rPr>
      </w:pPr>
      <w:r w:rsidRPr="002963FA">
        <w:rPr>
          <w:rStyle w:val="Puslapioinaosnuoroda"/>
          <w:rFonts w:ascii="Trebuchet MS" w:hAnsi="Trebuchet MS"/>
          <w:sz w:val="18"/>
          <w:szCs w:val="18"/>
        </w:rPr>
        <w:footnoteRef/>
      </w:r>
      <w:r w:rsidRPr="002963FA">
        <w:rPr>
          <w:rFonts w:ascii="Trebuchet MS" w:hAnsi="Trebuchet MS"/>
          <w:sz w:val="18"/>
          <w:szCs w:val="18"/>
        </w:rPr>
        <w:t xml:space="preserve"> </w:t>
      </w:r>
      <w:r w:rsidRPr="00406F1F">
        <w:rPr>
          <w:rFonts w:ascii="Trebuchet MS" w:hAnsi="Trebuchet MS"/>
          <w:sz w:val="18"/>
          <w:szCs w:val="18"/>
          <w:lang w:val="lt-LT"/>
        </w:rPr>
        <w:t>Kiekvienos Paslaugos dalies realizacija ir įvykdymo terminai turi būti derinami su Pirkėju.</w:t>
      </w:r>
    </w:p>
  </w:footnote>
  <w:footnote w:id="2">
    <w:p w14:paraId="6D7DD6BE" w14:textId="77777777" w:rsidR="00406F1F" w:rsidRPr="00406F1F" w:rsidRDefault="00406F1F" w:rsidP="00406F1F">
      <w:pPr>
        <w:pStyle w:val="Puslapioinaostekstas"/>
        <w:rPr>
          <w:rFonts w:ascii="Trebuchet MS" w:hAnsi="Trebuchet MS"/>
          <w:sz w:val="18"/>
          <w:szCs w:val="18"/>
          <w:lang w:val="lt-LT"/>
        </w:rPr>
      </w:pPr>
      <w:r w:rsidRPr="00406F1F">
        <w:rPr>
          <w:rStyle w:val="Puslapioinaosnuoroda"/>
          <w:rFonts w:ascii="Trebuchet MS" w:hAnsi="Trebuchet MS"/>
          <w:sz w:val="18"/>
          <w:szCs w:val="18"/>
          <w:lang w:val="lt-LT"/>
        </w:rPr>
        <w:footnoteRef/>
      </w:r>
      <w:r w:rsidRPr="00406F1F">
        <w:rPr>
          <w:rFonts w:ascii="Trebuchet MS" w:hAnsi="Trebuchet MS"/>
          <w:sz w:val="18"/>
          <w:szCs w:val="18"/>
          <w:lang w:val="lt-LT"/>
        </w:rPr>
        <w:t xml:space="preserve"> Nurodomas orientacinis valandų skaičius gali būti 20 proc. mažesnis arba didesnis. </w:t>
      </w:r>
    </w:p>
    <w:p w14:paraId="0FA42924" w14:textId="77777777" w:rsidR="00406F1F" w:rsidRPr="00406F1F" w:rsidRDefault="00406F1F" w:rsidP="00406F1F">
      <w:pPr>
        <w:pStyle w:val="Puslapioinaostekstas"/>
        <w:rPr>
          <w:rFonts w:ascii="Trebuchet MS" w:hAnsi="Trebuchet MS"/>
          <w:sz w:val="18"/>
          <w:szCs w:val="18"/>
          <w:lang w:val="lt-LT"/>
        </w:rPr>
      </w:pPr>
      <w:r w:rsidRPr="00406F1F">
        <w:rPr>
          <w:rFonts w:ascii="Trebuchet MS" w:hAnsi="Trebuchet MS"/>
          <w:sz w:val="18"/>
          <w:szCs w:val="18"/>
          <w:vertAlign w:val="superscript"/>
          <w:lang w:val="lt-LT"/>
        </w:rPr>
        <w:t xml:space="preserve">3  </w:t>
      </w:r>
      <w:r w:rsidRPr="00406F1F">
        <w:rPr>
          <w:rFonts w:ascii="Trebuchet MS" w:hAnsi="Trebuchet MS"/>
          <w:sz w:val="18"/>
          <w:szCs w:val="18"/>
          <w:lang w:val="lt-LT"/>
        </w:rPr>
        <w:t>Skaičiuojamas nuo valandinio įkainio, valandinis įkainis taikomas vienodas.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B5D95"/>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0BE5"/>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47D1"/>
    <w:rsid w:val="003F7D32"/>
    <w:rsid w:val="003F7F89"/>
    <w:rsid w:val="00400D30"/>
    <w:rsid w:val="00402C58"/>
    <w:rsid w:val="0040411C"/>
    <w:rsid w:val="004054C1"/>
    <w:rsid w:val="00405F3C"/>
    <w:rsid w:val="00405FC6"/>
    <w:rsid w:val="00406952"/>
    <w:rsid w:val="00406F1F"/>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460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5B9B"/>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40D"/>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179D5"/>
    <w:rsid w:val="00B21831"/>
    <w:rsid w:val="00B241DA"/>
    <w:rsid w:val="00B25657"/>
    <w:rsid w:val="00B26421"/>
    <w:rsid w:val="00B270D8"/>
    <w:rsid w:val="00B27B22"/>
    <w:rsid w:val="00B30ADC"/>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25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3E35"/>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064E4"/>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4873"/>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iPriority w:val="99"/>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table" w:customStyle="1" w:styleId="Lentelstinklelis3">
    <w:name w:val="Lentelės tinklelis3"/>
    <w:basedOn w:val="prastojilentel"/>
    <w:next w:val="Lentelstinklelis"/>
    <w:uiPriority w:val="99"/>
    <w:rsid w:val="0040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770</Words>
  <Characters>5454</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6212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24</cp:revision>
  <cp:lastPrinted>2017-10-10T06:03:00Z</cp:lastPrinted>
  <dcterms:created xsi:type="dcterms:W3CDTF">2025-01-21T15:09:00Z</dcterms:created>
  <dcterms:modified xsi:type="dcterms:W3CDTF">2025-07-28T10:58:00Z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