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6B33E2B2"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B1109B" w:rsidRPr="00052468">
        <w:rPr>
          <w:rFonts w:ascii="Times New Roman" w:hAnsi="Times New Roman" w:cs="Times New Roman"/>
          <w:sz w:val="22"/>
          <w:szCs w:val="22"/>
        </w:rPr>
        <w:t>kaip 2</w:t>
      </w:r>
      <w:r w:rsidR="00B1109B" w:rsidRPr="006C4EC1">
        <w:rPr>
          <w:rFonts w:ascii="Times New Roman" w:hAnsi="Times New Roman" w:cs="Times New Roman"/>
          <w:sz w:val="22"/>
          <w:szCs w:val="22"/>
        </w:rPr>
        <w:t>2</w:t>
      </w:r>
      <w:r w:rsidR="00B1109B" w:rsidRPr="00052468">
        <w:rPr>
          <w:rFonts w:ascii="Times New Roman" w:hAnsi="Times New Roman" w:cs="Times New Roman"/>
          <w:sz w:val="22"/>
          <w:szCs w:val="22"/>
        </w:rPr>
        <w:t xml:space="preserve"> 000 Eur (dvidešimt </w:t>
      </w:r>
      <w:r w:rsidR="00B1109B" w:rsidRPr="006C4EC1">
        <w:rPr>
          <w:rFonts w:ascii="Times New Roman" w:hAnsi="Times New Roman" w:cs="Times New Roman"/>
          <w:sz w:val="22"/>
          <w:szCs w:val="22"/>
        </w:rPr>
        <w:t>du</w:t>
      </w:r>
      <w:r w:rsidR="00B1109B" w:rsidRPr="00052468">
        <w:rPr>
          <w:rFonts w:ascii="Times New Roman" w:hAnsi="Times New Roman" w:cs="Times New Roman"/>
          <w:sz w:val="22"/>
          <w:szCs w:val="22"/>
        </w:rPr>
        <w:t xml:space="preserve"> </w:t>
      </w:r>
      <w:r w:rsidR="00B1109B" w:rsidRPr="00052468">
        <w:rPr>
          <w:rFonts w:ascii="Times New Roman" w:hAnsi="Times New Roman" w:cs="Times New Roman"/>
          <w:sz w:val="22"/>
          <w:szCs w:val="22"/>
        </w:rPr>
        <w:t>tūkstanči</w:t>
      </w:r>
      <w:r w:rsidR="00B1109B" w:rsidRPr="006C4EC1">
        <w:rPr>
          <w:rFonts w:ascii="Times New Roman" w:hAnsi="Times New Roman" w:cs="Times New Roman"/>
          <w:sz w:val="22"/>
          <w:szCs w:val="22"/>
        </w:rPr>
        <w:t>ai</w:t>
      </w:r>
      <w:r w:rsidR="00B1109B" w:rsidRPr="00052468">
        <w:rPr>
          <w:rFonts w:ascii="Times New Roman" w:hAnsi="Times New Roman" w:cs="Times New Roman"/>
          <w:sz w:val="22"/>
          <w:szCs w:val="22"/>
        </w:rPr>
        <w:t xml:space="preserve"> eurų)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0700" w14:textId="77777777" w:rsidR="00182D25" w:rsidRDefault="00182D25" w:rsidP="00213F38">
      <w:pPr>
        <w:spacing w:after="0" w:line="240" w:lineRule="auto"/>
      </w:pPr>
      <w:r>
        <w:separator/>
      </w:r>
    </w:p>
  </w:endnote>
  <w:endnote w:type="continuationSeparator" w:id="0">
    <w:p w14:paraId="3D8AAB6E" w14:textId="77777777" w:rsidR="00182D25" w:rsidRDefault="00182D25"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8D19" w14:textId="77777777" w:rsidR="00182D25" w:rsidRDefault="00182D25" w:rsidP="00213F38">
      <w:pPr>
        <w:spacing w:after="0" w:line="240" w:lineRule="auto"/>
      </w:pPr>
      <w:r>
        <w:separator/>
      </w:r>
    </w:p>
  </w:footnote>
  <w:footnote w:type="continuationSeparator" w:id="0">
    <w:p w14:paraId="1935CFAE" w14:textId="77777777" w:rsidR="00182D25" w:rsidRDefault="00182D25"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56264"/>
    <w:rsid w:val="00182D25"/>
    <w:rsid w:val="0018596F"/>
    <w:rsid w:val="001E40DC"/>
    <w:rsid w:val="00213F38"/>
    <w:rsid w:val="002760CA"/>
    <w:rsid w:val="002873C4"/>
    <w:rsid w:val="00454BE7"/>
    <w:rsid w:val="004A463C"/>
    <w:rsid w:val="004F5DD9"/>
    <w:rsid w:val="005C16D9"/>
    <w:rsid w:val="00645421"/>
    <w:rsid w:val="006817FA"/>
    <w:rsid w:val="008806B4"/>
    <w:rsid w:val="008C4CE0"/>
    <w:rsid w:val="008D6DA0"/>
    <w:rsid w:val="008E64AF"/>
    <w:rsid w:val="009024A5"/>
    <w:rsid w:val="00971B66"/>
    <w:rsid w:val="00A2178C"/>
    <w:rsid w:val="00A8116B"/>
    <w:rsid w:val="00B1109B"/>
    <w:rsid w:val="00B478EA"/>
    <w:rsid w:val="00BB22EF"/>
    <w:rsid w:val="00C1038D"/>
    <w:rsid w:val="00C36CA0"/>
    <w:rsid w:val="00CB3890"/>
    <w:rsid w:val="00CC0BE4"/>
    <w:rsid w:val="00D47B35"/>
    <w:rsid w:val="00E479D2"/>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1143</Words>
  <Characters>653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17</cp:revision>
  <dcterms:created xsi:type="dcterms:W3CDTF">2024-09-12T05:48:00Z</dcterms:created>
  <dcterms:modified xsi:type="dcterms:W3CDTF">2025-07-23T12:23:00Z</dcterms:modified>
</cp:coreProperties>
</file>