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1D62A" w14:textId="77777777" w:rsidR="00F729CD" w:rsidRPr="00814A92" w:rsidRDefault="00F729CD">
      <w:pPr>
        <w:spacing w:after="120" w:line="20" w:lineRule="atLeast"/>
        <w:contextualSpacing/>
        <w:jc w:val="center"/>
        <w:rPr>
          <w:b/>
          <w:bCs/>
          <w:color w:val="00B050"/>
          <w:sz w:val="24"/>
          <w:szCs w:val="24"/>
          <w:lang w:val="en-GB"/>
        </w:rPr>
      </w:pPr>
    </w:p>
    <w:sdt>
      <w:sdtPr>
        <w:rPr>
          <w:rFonts w:cstheme="minorHAnsi"/>
          <w:b/>
          <w:bCs/>
          <w:sz w:val="24"/>
          <w:szCs w:val="24"/>
          <w:lang w:val="en-GB"/>
        </w:rPr>
        <w:id w:val="-808551268"/>
      </w:sdtPr>
      <w:sdtEndPr>
        <w:rPr>
          <w:b w:val="0"/>
          <w:bCs w:val="0"/>
          <w:sz w:val="21"/>
          <w:szCs w:val="21"/>
        </w:rPr>
      </w:sdtEndPr>
      <w:sdtContent>
        <w:p w14:paraId="5621CF8A" w14:textId="77777777" w:rsidR="00F729CD" w:rsidRPr="00814A92" w:rsidRDefault="00F729CD">
          <w:pPr>
            <w:spacing w:after="120" w:line="20" w:lineRule="atLeast"/>
            <w:contextualSpacing/>
            <w:rPr>
              <w:rFonts w:cstheme="minorHAnsi"/>
              <w:b/>
              <w:bCs/>
              <w:sz w:val="28"/>
              <w:szCs w:val="28"/>
              <w:lang w:val="en-GB"/>
            </w:rPr>
          </w:pPr>
        </w:p>
        <w:p w14:paraId="6A23C981" w14:textId="77777777" w:rsidR="00F729CD" w:rsidRPr="00814A92" w:rsidRDefault="00000000">
          <w:pPr>
            <w:pStyle w:val="Betarp"/>
            <w:jc w:val="center"/>
            <w:rPr>
              <w:b/>
              <w:bCs/>
              <w:sz w:val="28"/>
              <w:szCs w:val="28"/>
              <w:lang w:val="en-GB"/>
            </w:rPr>
          </w:pPr>
          <w:r w:rsidRPr="00814A92">
            <w:rPr>
              <w:b/>
              <w:bCs/>
              <w:sz w:val="28"/>
              <w:szCs w:val="28"/>
              <w:lang w:val="en-GB"/>
            </w:rPr>
            <w:t xml:space="preserve">STATE BORDER GUARD SERVICE </w:t>
          </w:r>
        </w:p>
        <w:p w14:paraId="79F65B09" w14:textId="77777777" w:rsidR="00F729CD" w:rsidRPr="00814A92" w:rsidRDefault="00000000">
          <w:pPr>
            <w:pStyle w:val="Betarp"/>
            <w:jc w:val="center"/>
            <w:rPr>
              <w:rFonts w:cstheme="minorHAnsi"/>
              <w:b/>
              <w:bCs/>
              <w:sz w:val="28"/>
              <w:szCs w:val="28"/>
              <w:lang w:val="en-GB"/>
            </w:rPr>
          </w:pPr>
          <w:r w:rsidRPr="00814A92">
            <w:rPr>
              <w:b/>
              <w:bCs/>
              <w:sz w:val="28"/>
              <w:szCs w:val="28"/>
              <w:lang w:val="en-GB"/>
            </w:rPr>
            <w:t>AT THE MINISTRY OF THE INTERIOR OF THE REPUBLIC OF LITHUANIA</w:t>
          </w:r>
        </w:p>
        <w:p w14:paraId="7B0F6E2A" w14:textId="77777777" w:rsidR="00F729CD" w:rsidRPr="00814A92" w:rsidRDefault="00000000">
          <w:pPr>
            <w:tabs>
              <w:tab w:val="left" w:pos="870"/>
            </w:tabs>
            <w:spacing w:after="0" w:line="240" w:lineRule="auto"/>
            <w:contextualSpacing/>
            <w:rPr>
              <w:rFonts w:cstheme="minorHAnsi"/>
              <w:sz w:val="24"/>
              <w:szCs w:val="24"/>
              <w:lang w:val="en-GB"/>
            </w:rPr>
          </w:pPr>
          <w:r w:rsidRPr="00814A92">
            <w:rPr>
              <w:rFonts w:cstheme="minorHAnsi"/>
              <w:sz w:val="24"/>
              <w:szCs w:val="24"/>
              <w:lang w:val="en-GB"/>
            </w:rPr>
            <w:tab/>
          </w:r>
        </w:p>
        <w:p w14:paraId="1A0231E1" w14:textId="77777777" w:rsidR="00F729CD" w:rsidRPr="00814A92" w:rsidRDefault="00F729CD">
          <w:pPr>
            <w:spacing w:after="0" w:line="240" w:lineRule="auto"/>
            <w:contextualSpacing/>
            <w:jc w:val="center"/>
            <w:rPr>
              <w:rFonts w:cstheme="minorHAnsi"/>
              <w:sz w:val="24"/>
              <w:szCs w:val="24"/>
              <w:lang w:val="en-GB"/>
            </w:rPr>
          </w:pPr>
        </w:p>
        <w:p w14:paraId="61403883" w14:textId="77777777" w:rsidR="00F729CD" w:rsidRPr="00814A92" w:rsidRDefault="00000000">
          <w:pPr>
            <w:spacing w:after="0" w:line="240" w:lineRule="auto"/>
            <w:ind w:left="5245"/>
            <w:contextualSpacing/>
            <w:rPr>
              <w:rFonts w:cstheme="minorHAnsi"/>
              <w:sz w:val="24"/>
              <w:szCs w:val="24"/>
              <w:lang w:val="en-GB"/>
            </w:rPr>
          </w:pPr>
          <w:r w:rsidRPr="00814A92">
            <w:rPr>
              <w:rFonts w:cstheme="minorHAnsi"/>
              <w:sz w:val="24"/>
              <w:szCs w:val="24"/>
              <w:lang w:val="en-GB"/>
            </w:rPr>
            <w:t xml:space="preserve">APPROVED BY </w:t>
          </w:r>
        </w:p>
        <w:p w14:paraId="77C4E722" w14:textId="3CDF1690" w:rsidR="00F729CD" w:rsidRPr="00814A92" w:rsidRDefault="00000000">
          <w:pPr>
            <w:spacing w:after="0" w:line="240" w:lineRule="auto"/>
            <w:ind w:left="5245"/>
            <w:contextualSpacing/>
            <w:rPr>
              <w:sz w:val="24"/>
              <w:szCs w:val="24"/>
              <w:lang w:val="en-GB"/>
            </w:rPr>
          </w:pPr>
          <w:r w:rsidRPr="00814A92">
            <w:rPr>
              <w:sz w:val="24"/>
              <w:szCs w:val="24"/>
              <w:lang w:val="en-GB"/>
            </w:rPr>
            <w:t xml:space="preserve">Protocol No. PRO-             of the </w:t>
          </w:r>
        </w:p>
        <w:p w14:paraId="57E3F29E" w14:textId="77777777" w:rsidR="00F729CD" w:rsidRPr="00814A92" w:rsidRDefault="00000000">
          <w:pPr>
            <w:spacing w:after="0" w:line="240" w:lineRule="auto"/>
            <w:ind w:left="5245"/>
            <w:contextualSpacing/>
            <w:rPr>
              <w:sz w:val="24"/>
              <w:szCs w:val="24"/>
              <w:lang w:val="en-GB"/>
            </w:rPr>
          </w:pPr>
          <w:r w:rsidRPr="00814A92">
            <w:rPr>
              <w:sz w:val="24"/>
              <w:szCs w:val="24"/>
              <w:lang w:val="en-GB"/>
            </w:rPr>
            <w:t xml:space="preserve">Public Procurement Commission meeting </w:t>
          </w:r>
        </w:p>
        <w:p w14:paraId="5EDF8D8F" w14:textId="77777777" w:rsidR="00F729CD" w:rsidRPr="00814A92" w:rsidRDefault="00000000">
          <w:pPr>
            <w:spacing w:after="0" w:line="240" w:lineRule="auto"/>
            <w:ind w:left="5245"/>
            <w:contextualSpacing/>
            <w:rPr>
              <w:rFonts w:cstheme="minorHAnsi"/>
              <w:sz w:val="24"/>
              <w:szCs w:val="24"/>
              <w:lang w:val="en-GB"/>
            </w:rPr>
          </w:pPr>
          <w:r w:rsidRPr="00814A92">
            <w:rPr>
              <w:sz w:val="24"/>
              <w:szCs w:val="24"/>
              <w:lang w:val="en-GB"/>
            </w:rPr>
            <w:t>No.          dated            /</w:t>
          </w:r>
          <w:r w:rsidRPr="00814A92">
            <w:rPr>
              <w:rFonts w:cstheme="minorHAnsi"/>
              <w:sz w:val="24"/>
              <w:szCs w:val="24"/>
              <w:lang w:val="en-GB"/>
            </w:rPr>
            <w:t>2024</w:t>
          </w:r>
        </w:p>
        <w:p w14:paraId="414691F2" w14:textId="77777777" w:rsidR="00F729CD" w:rsidRPr="00814A92" w:rsidRDefault="00F729CD">
          <w:pPr>
            <w:spacing w:after="0" w:line="240" w:lineRule="auto"/>
            <w:contextualSpacing/>
            <w:jc w:val="center"/>
            <w:rPr>
              <w:rFonts w:cstheme="minorHAnsi"/>
              <w:sz w:val="24"/>
              <w:szCs w:val="24"/>
              <w:lang w:val="en-GB"/>
            </w:rPr>
          </w:pPr>
        </w:p>
        <w:p w14:paraId="4B59D970" w14:textId="77777777" w:rsidR="00F729CD" w:rsidRPr="00814A92" w:rsidRDefault="00F729CD">
          <w:pPr>
            <w:spacing w:after="0" w:line="240" w:lineRule="auto"/>
            <w:contextualSpacing/>
            <w:jc w:val="center"/>
            <w:rPr>
              <w:rFonts w:cstheme="minorHAnsi"/>
              <w:sz w:val="24"/>
              <w:szCs w:val="24"/>
              <w:lang w:val="en-GB"/>
            </w:rPr>
          </w:pPr>
        </w:p>
        <w:p w14:paraId="50F78670" w14:textId="0C49C7FC" w:rsidR="00F729CD" w:rsidRPr="00814A92" w:rsidRDefault="00000000">
          <w:pPr>
            <w:contextualSpacing/>
            <w:jc w:val="center"/>
            <w:rPr>
              <w:b/>
              <w:lang w:val="en-GB"/>
            </w:rPr>
          </w:pPr>
          <w:r w:rsidRPr="00814A92">
            <w:rPr>
              <w:b/>
              <w:bCs/>
              <w:sz w:val="28"/>
              <w:szCs w:val="28"/>
              <w:lang w:val="en-GB"/>
            </w:rPr>
            <w:t xml:space="preserve">SPECIAL CONDITIONS FOR THE </w:t>
          </w:r>
          <w:r w:rsidR="00814A92" w:rsidRPr="00814A92">
            <w:rPr>
              <w:b/>
              <w:bCs/>
              <w:sz w:val="28"/>
              <w:szCs w:val="28"/>
              <w:lang w:val="en-GB"/>
            </w:rPr>
            <w:t xml:space="preserve">OPEN PUBLIC PROCUREMENT PROCEDURE </w:t>
          </w:r>
          <w:r w:rsidRPr="00814A92">
            <w:rPr>
              <w:b/>
              <w:bCs/>
              <w:sz w:val="28"/>
              <w:szCs w:val="28"/>
              <w:lang w:val="en-GB"/>
            </w:rPr>
            <w:t xml:space="preserve">“FLIGHT </w:t>
          </w:r>
          <w:r w:rsidR="00814A92" w:rsidRPr="00814A92">
            <w:rPr>
              <w:b/>
              <w:bCs/>
              <w:sz w:val="28"/>
              <w:szCs w:val="28"/>
              <w:lang w:val="en-GB"/>
            </w:rPr>
            <w:t xml:space="preserve">MAINTENANCE </w:t>
          </w:r>
          <w:r w:rsidRPr="00814A92">
            <w:rPr>
              <w:b/>
              <w:bCs/>
              <w:sz w:val="28"/>
              <w:szCs w:val="28"/>
              <w:lang w:val="en-GB"/>
            </w:rPr>
            <w:t xml:space="preserve">AND ADMINISTRATION SERVICES OF THE STATE BORDER GUARD SERVICE UNDER THE MINISTRY OF THE INTERIOR OF THE REPUBLIC OF LITHUANIA” </w:t>
          </w:r>
        </w:p>
        <w:p w14:paraId="42ED4DFB" w14:textId="04F25E04" w:rsidR="00F729CD" w:rsidRPr="00814A92" w:rsidRDefault="00000000">
          <w:pPr>
            <w:spacing w:after="0" w:line="240" w:lineRule="auto"/>
            <w:contextualSpacing/>
            <w:jc w:val="center"/>
            <w:rPr>
              <w:rFonts w:cstheme="minorHAnsi"/>
              <w:b/>
              <w:bCs/>
              <w:sz w:val="28"/>
              <w:szCs w:val="28"/>
              <w:lang w:val="en-GB"/>
            </w:rPr>
          </w:pPr>
          <w:r w:rsidRPr="00814A92">
            <w:rPr>
              <w:b/>
              <w:bCs/>
              <w:sz w:val="28"/>
              <w:szCs w:val="28"/>
              <w:lang w:val="en-GB"/>
            </w:rPr>
            <w:t>Version No.</w:t>
          </w:r>
          <w:r w:rsidRPr="00814A92">
            <w:rPr>
              <w:rFonts w:cstheme="minorHAnsi"/>
              <w:b/>
              <w:bCs/>
              <w:sz w:val="28"/>
              <w:szCs w:val="28"/>
              <w:lang w:val="en-GB"/>
            </w:rPr>
            <w:t xml:space="preserve"> </w:t>
          </w:r>
          <w:r w:rsidRPr="00814A92">
            <w:rPr>
              <w:rFonts w:cstheme="minorHAnsi"/>
              <w:sz w:val="28"/>
              <w:szCs w:val="28"/>
              <w:lang w:val="en-GB"/>
            </w:rPr>
            <w:t xml:space="preserve">1. </w:t>
          </w:r>
          <w:r w:rsidR="00814A92" w:rsidRPr="00814A92">
            <w:rPr>
              <w:rFonts w:cstheme="minorHAnsi"/>
              <w:sz w:val="28"/>
              <w:szCs w:val="28"/>
              <w:lang w:val="en-GB"/>
            </w:rPr>
            <w:t xml:space="preserve"> </w:t>
          </w:r>
        </w:p>
        <w:p w14:paraId="24D5611D" w14:textId="77777777" w:rsidR="00F729CD" w:rsidRPr="00814A92" w:rsidRDefault="00F729CD">
          <w:pPr>
            <w:spacing w:after="120" w:line="20" w:lineRule="atLeast"/>
            <w:contextualSpacing/>
            <w:jc w:val="center"/>
            <w:rPr>
              <w:rFonts w:cstheme="minorHAnsi"/>
              <w:sz w:val="28"/>
              <w:szCs w:val="28"/>
              <w:lang w:val="en-GB"/>
            </w:rPr>
          </w:pPr>
        </w:p>
        <w:p w14:paraId="28FB6197" w14:textId="77777777" w:rsidR="00F729CD" w:rsidRPr="00814A92" w:rsidRDefault="00000000">
          <w:pPr>
            <w:spacing w:after="120" w:line="20" w:lineRule="atLeast"/>
            <w:contextualSpacing/>
            <w:rPr>
              <w:rFonts w:cstheme="minorHAnsi"/>
              <w:lang w:val="en-GB"/>
            </w:rPr>
          </w:pPr>
          <w:r w:rsidRPr="00814A92">
            <w:rPr>
              <w:rFonts w:cstheme="minorHAnsi"/>
              <w:lang w:val="en-GB"/>
            </w:rPr>
            <w:br w:type="page"/>
          </w:r>
        </w:p>
        <w:sdt>
          <w:sdtPr>
            <w:rPr>
              <w:rFonts w:asciiTheme="minorHAnsi" w:eastAsiaTheme="minorEastAsia" w:hAnsiTheme="minorHAnsi" w:cstheme="minorHAnsi"/>
              <w:b/>
              <w:bCs/>
              <w:smallCaps/>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4EDB9F58" w14:textId="77777777" w:rsidR="00F729CD" w:rsidRPr="00814A92" w:rsidRDefault="00000000">
              <w:pPr>
                <w:pStyle w:val="TOCHeading1"/>
                <w:spacing w:before="0" w:line="20" w:lineRule="atLeast"/>
                <w:ind w:left="432" w:hanging="432"/>
                <w:contextualSpacing/>
                <w:rPr>
                  <w:rFonts w:asciiTheme="minorHAnsi" w:hAnsiTheme="minorHAnsi" w:cstheme="minorHAnsi"/>
                  <w:lang w:val="en-GB"/>
                </w:rPr>
              </w:pPr>
              <w:r w:rsidRPr="00814A92">
                <w:rPr>
                  <w:rFonts w:asciiTheme="minorHAnsi" w:hAnsiTheme="minorHAnsi"/>
                  <w:lang w:val="en-GB"/>
                </w:rPr>
                <w:t xml:space="preserve">CONTENT </w:t>
              </w:r>
            </w:p>
            <w:p w14:paraId="5A7CC35E" w14:textId="77777777" w:rsidR="00F729CD" w:rsidRPr="00814A92" w:rsidRDefault="00000000">
              <w:pPr>
                <w:pStyle w:val="Turinys1"/>
                <w:tabs>
                  <w:tab w:val="clear" w:pos="142"/>
                  <w:tab w:val="clear" w:pos="9962"/>
                  <w:tab w:val="right" w:leader="dot" w:pos="9972"/>
                </w:tabs>
                <w:rPr>
                  <w:lang w:val="en-GB"/>
                </w:rPr>
              </w:pPr>
              <w:r w:rsidRPr="00814A92">
                <w:rPr>
                  <w:rFonts w:cstheme="minorHAnsi"/>
                  <w:color w:val="2B579A"/>
                  <w:shd w:val="clear" w:color="auto" w:fill="E6E6E6"/>
                  <w:lang w:val="en-GB"/>
                </w:rPr>
                <w:fldChar w:fldCharType="begin"/>
              </w:r>
              <w:r w:rsidRPr="00814A92">
                <w:rPr>
                  <w:rFonts w:cstheme="minorHAnsi"/>
                  <w:lang w:val="en-GB"/>
                </w:rPr>
                <w:instrText xml:space="preserve"> TOC \o "1-3" \h \z \u </w:instrText>
              </w:r>
              <w:r w:rsidRPr="00814A92">
                <w:rPr>
                  <w:rFonts w:cstheme="minorHAnsi"/>
                  <w:color w:val="2B579A"/>
                  <w:shd w:val="clear" w:color="auto" w:fill="E6E6E6"/>
                  <w:lang w:val="en-GB"/>
                </w:rPr>
                <w:fldChar w:fldCharType="separate"/>
              </w:r>
              <w:hyperlink w:anchor="_Toc29907" w:history="1">
                <w:r w:rsidRPr="00814A92">
                  <w:rPr>
                    <w:lang w:val="en-GB"/>
                  </w:rPr>
                  <w:t>1. General information</w:t>
                </w:r>
                <w:r w:rsidRPr="00814A92">
                  <w:rPr>
                    <w:lang w:val="en-GB"/>
                  </w:rPr>
                  <w:tab/>
                </w:r>
                <w:r w:rsidRPr="00814A92">
                  <w:rPr>
                    <w:lang w:val="en-GB"/>
                  </w:rPr>
                  <w:fldChar w:fldCharType="begin"/>
                </w:r>
                <w:r w:rsidRPr="00814A92">
                  <w:rPr>
                    <w:lang w:val="en-GB"/>
                  </w:rPr>
                  <w:instrText xml:space="preserve"> PAGEREF _Toc29907 \h </w:instrText>
                </w:r>
                <w:r w:rsidRPr="00814A92">
                  <w:rPr>
                    <w:lang w:val="en-GB"/>
                  </w:rPr>
                </w:r>
                <w:r w:rsidRPr="00814A92">
                  <w:rPr>
                    <w:lang w:val="en-GB"/>
                  </w:rPr>
                  <w:fldChar w:fldCharType="separate"/>
                </w:r>
                <w:r w:rsidRPr="00814A92">
                  <w:rPr>
                    <w:lang w:val="en-GB"/>
                  </w:rPr>
                  <w:t>2</w:t>
                </w:r>
                <w:r w:rsidRPr="00814A92">
                  <w:rPr>
                    <w:lang w:val="en-GB"/>
                  </w:rPr>
                  <w:fldChar w:fldCharType="end"/>
                </w:r>
              </w:hyperlink>
            </w:p>
            <w:p w14:paraId="7F5FC32A" w14:textId="77777777" w:rsidR="00F729CD" w:rsidRPr="00814A92" w:rsidRDefault="00000000">
              <w:pPr>
                <w:pStyle w:val="Turinys1"/>
                <w:tabs>
                  <w:tab w:val="clear" w:pos="142"/>
                  <w:tab w:val="clear" w:pos="9962"/>
                  <w:tab w:val="right" w:leader="dot" w:pos="9972"/>
                </w:tabs>
                <w:rPr>
                  <w:lang w:val="en-GB"/>
                </w:rPr>
              </w:pPr>
              <w:hyperlink w:anchor="_Toc11434" w:history="1">
                <w:r w:rsidRPr="00814A92">
                  <w:rPr>
                    <w:rFonts w:ascii="Calibri" w:hAnsi="Calibri" w:cs="Calibri"/>
                    <w:lang w:val="en-GB"/>
                  </w:rPr>
                  <w:t>2</w:t>
                </w:r>
                <w:r w:rsidRPr="00814A92">
                  <w:rPr>
                    <w:lang w:val="en-GB"/>
                  </w:rPr>
                  <w:t>. Procurement object</w:t>
                </w:r>
                <w:r w:rsidRPr="00814A92">
                  <w:rPr>
                    <w:lang w:val="en-GB"/>
                  </w:rPr>
                  <w:tab/>
                </w:r>
                <w:r w:rsidRPr="00814A92">
                  <w:rPr>
                    <w:lang w:val="en-GB"/>
                  </w:rPr>
                  <w:fldChar w:fldCharType="begin"/>
                </w:r>
                <w:r w:rsidRPr="00814A92">
                  <w:rPr>
                    <w:lang w:val="en-GB"/>
                  </w:rPr>
                  <w:instrText xml:space="preserve"> PAGEREF _Toc11434 \h </w:instrText>
                </w:r>
                <w:r w:rsidRPr="00814A92">
                  <w:rPr>
                    <w:lang w:val="en-GB"/>
                  </w:rPr>
                </w:r>
                <w:r w:rsidRPr="00814A92">
                  <w:rPr>
                    <w:lang w:val="en-GB"/>
                  </w:rPr>
                  <w:fldChar w:fldCharType="separate"/>
                </w:r>
                <w:r w:rsidRPr="00814A92">
                  <w:rPr>
                    <w:lang w:val="en-GB"/>
                  </w:rPr>
                  <w:t>2</w:t>
                </w:r>
                <w:r w:rsidRPr="00814A92">
                  <w:rPr>
                    <w:lang w:val="en-GB"/>
                  </w:rPr>
                  <w:fldChar w:fldCharType="end"/>
                </w:r>
              </w:hyperlink>
            </w:p>
            <w:p w14:paraId="17CF102E" w14:textId="77777777" w:rsidR="00F729CD" w:rsidRPr="00814A92" w:rsidRDefault="00000000">
              <w:pPr>
                <w:pStyle w:val="Turinys1"/>
                <w:tabs>
                  <w:tab w:val="clear" w:pos="142"/>
                  <w:tab w:val="clear" w:pos="9962"/>
                  <w:tab w:val="right" w:leader="dot" w:pos="9972"/>
                </w:tabs>
                <w:rPr>
                  <w:lang w:val="en-GB"/>
                </w:rPr>
              </w:pPr>
              <w:hyperlink w:anchor="_Toc9172" w:history="1">
                <w:r w:rsidRPr="00814A92">
                  <w:rPr>
                    <w:rFonts w:cstheme="minorHAnsi"/>
                    <w:lang w:val="en-GB"/>
                  </w:rPr>
                  <w:t xml:space="preserve">3. </w:t>
                </w:r>
                <w:r w:rsidRPr="00814A92">
                  <w:rPr>
                    <w:lang w:val="en-GB"/>
                  </w:rPr>
                  <w:t>Meetings with suppliers and site inspections</w:t>
                </w:r>
                <w:r w:rsidRPr="00814A92">
                  <w:rPr>
                    <w:lang w:val="en-GB"/>
                  </w:rPr>
                  <w:tab/>
                </w:r>
                <w:r w:rsidRPr="00814A92">
                  <w:rPr>
                    <w:lang w:val="en-GB"/>
                  </w:rPr>
                  <w:fldChar w:fldCharType="begin"/>
                </w:r>
                <w:r w:rsidRPr="00814A92">
                  <w:rPr>
                    <w:lang w:val="en-GB"/>
                  </w:rPr>
                  <w:instrText xml:space="preserve"> PAGEREF _Toc9172 \h </w:instrText>
                </w:r>
                <w:r w:rsidRPr="00814A92">
                  <w:rPr>
                    <w:lang w:val="en-GB"/>
                  </w:rPr>
                </w:r>
                <w:r w:rsidRPr="00814A92">
                  <w:rPr>
                    <w:lang w:val="en-GB"/>
                  </w:rPr>
                  <w:fldChar w:fldCharType="separate"/>
                </w:r>
                <w:r w:rsidRPr="00814A92">
                  <w:rPr>
                    <w:lang w:val="en-GB"/>
                  </w:rPr>
                  <w:t>2</w:t>
                </w:r>
                <w:r w:rsidRPr="00814A92">
                  <w:rPr>
                    <w:lang w:val="en-GB"/>
                  </w:rPr>
                  <w:fldChar w:fldCharType="end"/>
                </w:r>
              </w:hyperlink>
            </w:p>
            <w:p w14:paraId="7DAC7A2B" w14:textId="77777777" w:rsidR="00F729CD" w:rsidRPr="00814A92" w:rsidRDefault="00000000">
              <w:pPr>
                <w:pStyle w:val="Turinys1"/>
                <w:tabs>
                  <w:tab w:val="clear" w:pos="142"/>
                  <w:tab w:val="clear" w:pos="9962"/>
                  <w:tab w:val="right" w:leader="dot" w:pos="9972"/>
                </w:tabs>
                <w:rPr>
                  <w:lang w:val="en-GB"/>
                </w:rPr>
              </w:pPr>
              <w:hyperlink w:anchor="_Toc23480" w:history="1">
                <w:r w:rsidRPr="00814A92">
                  <w:rPr>
                    <w:rFonts w:cstheme="majorHAnsi"/>
                    <w:lang w:val="en-GB"/>
                  </w:rPr>
                  <w:t xml:space="preserve">4. </w:t>
                </w:r>
                <w:r w:rsidRPr="00814A92">
                  <w:rPr>
                    <w:lang w:val="en-GB"/>
                  </w:rPr>
                  <w:t>Grounds for exclusion of suppliers and qualification requirements</w:t>
                </w:r>
                <w:r w:rsidRPr="00814A92">
                  <w:rPr>
                    <w:lang w:val="en-GB"/>
                  </w:rPr>
                  <w:tab/>
                </w:r>
                <w:r w:rsidRPr="00814A92">
                  <w:rPr>
                    <w:lang w:val="en-GB"/>
                  </w:rPr>
                  <w:fldChar w:fldCharType="begin"/>
                </w:r>
                <w:r w:rsidRPr="00814A92">
                  <w:rPr>
                    <w:lang w:val="en-GB"/>
                  </w:rPr>
                  <w:instrText xml:space="preserve"> PAGEREF _Toc23480 \h </w:instrText>
                </w:r>
                <w:r w:rsidRPr="00814A92">
                  <w:rPr>
                    <w:lang w:val="en-GB"/>
                  </w:rPr>
                </w:r>
                <w:r w:rsidRPr="00814A92">
                  <w:rPr>
                    <w:lang w:val="en-GB"/>
                  </w:rPr>
                  <w:fldChar w:fldCharType="separate"/>
                </w:r>
                <w:r w:rsidRPr="00814A92">
                  <w:rPr>
                    <w:lang w:val="en-GB"/>
                  </w:rPr>
                  <w:t>3</w:t>
                </w:r>
                <w:r w:rsidRPr="00814A92">
                  <w:rPr>
                    <w:lang w:val="en-GB"/>
                  </w:rPr>
                  <w:fldChar w:fldCharType="end"/>
                </w:r>
              </w:hyperlink>
            </w:p>
            <w:p w14:paraId="5CD7AC12" w14:textId="77777777" w:rsidR="00F729CD" w:rsidRPr="00814A92" w:rsidRDefault="00000000">
              <w:pPr>
                <w:pStyle w:val="Turinys1"/>
                <w:tabs>
                  <w:tab w:val="clear" w:pos="142"/>
                  <w:tab w:val="clear" w:pos="9962"/>
                  <w:tab w:val="right" w:leader="dot" w:pos="9972"/>
                </w:tabs>
                <w:rPr>
                  <w:lang w:val="en-GB"/>
                </w:rPr>
              </w:pPr>
              <w:hyperlink w:anchor="_Toc12184" w:history="1">
                <w:r w:rsidRPr="00814A92">
                  <w:rPr>
                    <w:rFonts w:cstheme="minorHAnsi"/>
                    <w:lang w:val="en-GB"/>
                  </w:rPr>
                  <w:t>5.</w:t>
                </w:r>
                <w:r w:rsidRPr="00814A92">
                  <w:rPr>
                    <w:rFonts w:ascii="Calibri" w:hAnsi="Calibri"/>
                    <w:lang w:val="en-GB"/>
                  </w:rPr>
                  <w:t>National security requirements</w:t>
                </w:r>
                <w:r w:rsidRPr="00814A92">
                  <w:rPr>
                    <w:lang w:val="en-GB"/>
                  </w:rPr>
                  <w:tab/>
                </w:r>
                <w:r w:rsidRPr="00814A92">
                  <w:rPr>
                    <w:lang w:val="en-GB"/>
                  </w:rPr>
                  <w:fldChar w:fldCharType="begin"/>
                </w:r>
                <w:r w:rsidRPr="00814A92">
                  <w:rPr>
                    <w:lang w:val="en-GB"/>
                  </w:rPr>
                  <w:instrText xml:space="preserve"> PAGEREF _Toc12184 \h </w:instrText>
                </w:r>
                <w:r w:rsidRPr="00814A92">
                  <w:rPr>
                    <w:lang w:val="en-GB"/>
                  </w:rPr>
                </w:r>
                <w:r w:rsidRPr="00814A92">
                  <w:rPr>
                    <w:lang w:val="en-GB"/>
                  </w:rPr>
                  <w:fldChar w:fldCharType="separate"/>
                </w:r>
                <w:r w:rsidRPr="00814A92">
                  <w:rPr>
                    <w:lang w:val="en-GB"/>
                  </w:rPr>
                  <w:t>3</w:t>
                </w:r>
                <w:r w:rsidRPr="00814A92">
                  <w:rPr>
                    <w:lang w:val="en-GB"/>
                  </w:rPr>
                  <w:fldChar w:fldCharType="end"/>
                </w:r>
              </w:hyperlink>
            </w:p>
            <w:p w14:paraId="58F11078" w14:textId="77777777" w:rsidR="00F729CD" w:rsidRPr="00814A92" w:rsidRDefault="00000000">
              <w:pPr>
                <w:pStyle w:val="Turinys1"/>
                <w:tabs>
                  <w:tab w:val="clear" w:pos="142"/>
                  <w:tab w:val="clear" w:pos="9962"/>
                  <w:tab w:val="right" w:leader="dot" w:pos="9972"/>
                </w:tabs>
                <w:rPr>
                  <w:lang w:val="en-GB"/>
                </w:rPr>
              </w:pPr>
              <w:hyperlink w:anchor="_Toc1602" w:history="1">
                <w:r w:rsidRPr="00814A92">
                  <w:rPr>
                    <w:lang w:val="en-GB"/>
                  </w:rPr>
                  <w:t>6. Special requirements for the preparation and submission of tenders</w:t>
                </w:r>
                <w:r w:rsidRPr="00814A92">
                  <w:rPr>
                    <w:lang w:val="en-GB"/>
                  </w:rPr>
                  <w:tab/>
                </w:r>
                <w:r w:rsidRPr="00814A92">
                  <w:rPr>
                    <w:lang w:val="en-GB"/>
                  </w:rPr>
                  <w:fldChar w:fldCharType="begin"/>
                </w:r>
                <w:r w:rsidRPr="00814A92">
                  <w:rPr>
                    <w:lang w:val="en-GB"/>
                  </w:rPr>
                  <w:instrText xml:space="preserve"> PAGEREF _Toc1602 \h </w:instrText>
                </w:r>
                <w:r w:rsidRPr="00814A92">
                  <w:rPr>
                    <w:lang w:val="en-GB"/>
                  </w:rPr>
                </w:r>
                <w:r w:rsidRPr="00814A92">
                  <w:rPr>
                    <w:lang w:val="en-GB"/>
                  </w:rPr>
                  <w:fldChar w:fldCharType="separate"/>
                </w:r>
                <w:r w:rsidRPr="00814A92">
                  <w:rPr>
                    <w:lang w:val="en-GB"/>
                  </w:rPr>
                  <w:t>4</w:t>
                </w:r>
                <w:r w:rsidRPr="00814A92">
                  <w:rPr>
                    <w:lang w:val="en-GB"/>
                  </w:rPr>
                  <w:fldChar w:fldCharType="end"/>
                </w:r>
              </w:hyperlink>
            </w:p>
            <w:p w14:paraId="3311B4F2" w14:textId="77777777" w:rsidR="00F729CD" w:rsidRPr="00814A92" w:rsidRDefault="00000000">
              <w:pPr>
                <w:pStyle w:val="Turinys1"/>
                <w:tabs>
                  <w:tab w:val="clear" w:pos="142"/>
                  <w:tab w:val="clear" w:pos="9962"/>
                  <w:tab w:val="right" w:leader="dot" w:pos="9972"/>
                </w:tabs>
                <w:rPr>
                  <w:lang w:val="en-GB"/>
                </w:rPr>
              </w:pPr>
              <w:hyperlink w:anchor="_Toc31892" w:history="1">
                <w:r w:rsidRPr="00814A92">
                  <w:rPr>
                    <w:rFonts w:eastAsia="Calibri" w:cstheme="minorHAnsi"/>
                    <w:lang w:val="en-GB"/>
                  </w:rPr>
                  <w:t xml:space="preserve">7. </w:t>
                </w:r>
                <w:r w:rsidRPr="00814A92">
                  <w:rPr>
                    <w:rFonts w:cstheme="minorHAnsi"/>
                    <w:lang w:val="en-GB"/>
                  </w:rPr>
                  <w:t>Ensuring the validity of the tender</w:t>
                </w:r>
                <w:r w:rsidRPr="00814A92">
                  <w:rPr>
                    <w:lang w:val="en-GB"/>
                  </w:rPr>
                  <w:tab/>
                </w:r>
                <w:r w:rsidRPr="00814A92">
                  <w:rPr>
                    <w:lang w:val="en-GB"/>
                  </w:rPr>
                  <w:fldChar w:fldCharType="begin"/>
                </w:r>
                <w:r w:rsidRPr="00814A92">
                  <w:rPr>
                    <w:lang w:val="en-GB"/>
                  </w:rPr>
                  <w:instrText xml:space="preserve"> PAGEREF _Toc31892 \h </w:instrText>
                </w:r>
                <w:r w:rsidRPr="00814A92">
                  <w:rPr>
                    <w:lang w:val="en-GB"/>
                  </w:rPr>
                </w:r>
                <w:r w:rsidRPr="00814A92">
                  <w:rPr>
                    <w:lang w:val="en-GB"/>
                  </w:rPr>
                  <w:fldChar w:fldCharType="separate"/>
                </w:r>
                <w:r w:rsidRPr="00814A92">
                  <w:rPr>
                    <w:lang w:val="en-GB"/>
                  </w:rPr>
                  <w:t>5</w:t>
                </w:r>
                <w:r w:rsidRPr="00814A92">
                  <w:rPr>
                    <w:lang w:val="en-GB"/>
                  </w:rPr>
                  <w:fldChar w:fldCharType="end"/>
                </w:r>
              </w:hyperlink>
            </w:p>
            <w:p w14:paraId="49576A3A" w14:textId="77777777" w:rsidR="00F729CD" w:rsidRPr="00814A92" w:rsidRDefault="00000000">
              <w:pPr>
                <w:pStyle w:val="Turinys1"/>
                <w:tabs>
                  <w:tab w:val="clear" w:pos="142"/>
                  <w:tab w:val="clear" w:pos="9962"/>
                  <w:tab w:val="right" w:leader="dot" w:pos="9972"/>
                </w:tabs>
                <w:rPr>
                  <w:lang w:val="en-GB"/>
                </w:rPr>
              </w:pPr>
              <w:hyperlink w:anchor="_Toc5918" w:history="1">
                <w:r w:rsidRPr="00814A92">
                  <w:rPr>
                    <w:rFonts w:eastAsia="Calibri" w:cstheme="minorHAnsi"/>
                    <w:lang w:val="en-GB"/>
                  </w:rPr>
                  <w:t xml:space="preserve">8. </w:t>
                </w:r>
                <w:r w:rsidRPr="00814A92">
                  <w:rPr>
                    <w:rFonts w:cstheme="minorHAnsi"/>
                    <w:lang w:val="en-GB"/>
                  </w:rPr>
                  <w:t>Electronic auction</w:t>
                </w:r>
                <w:r w:rsidRPr="00814A92">
                  <w:rPr>
                    <w:lang w:val="en-GB"/>
                  </w:rPr>
                  <w:tab/>
                </w:r>
                <w:r w:rsidRPr="00814A92">
                  <w:rPr>
                    <w:lang w:val="en-GB"/>
                  </w:rPr>
                  <w:fldChar w:fldCharType="begin"/>
                </w:r>
                <w:r w:rsidRPr="00814A92">
                  <w:rPr>
                    <w:lang w:val="en-GB"/>
                  </w:rPr>
                  <w:instrText xml:space="preserve"> PAGEREF _Toc5918 \h </w:instrText>
                </w:r>
                <w:r w:rsidRPr="00814A92">
                  <w:rPr>
                    <w:lang w:val="en-GB"/>
                  </w:rPr>
                </w:r>
                <w:r w:rsidRPr="00814A92">
                  <w:rPr>
                    <w:lang w:val="en-GB"/>
                  </w:rPr>
                  <w:fldChar w:fldCharType="separate"/>
                </w:r>
                <w:r w:rsidRPr="00814A92">
                  <w:rPr>
                    <w:lang w:val="en-GB"/>
                  </w:rPr>
                  <w:t>5</w:t>
                </w:r>
                <w:r w:rsidRPr="00814A92">
                  <w:rPr>
                    <w:lang w:val="en-GB"/>
                  </w:rPr>
                  <w:fldChar w:fldCharType="end"/>
                </w:r>
              </w:hyperlink>
            </w:p>
            <w:p w14:paraId="39930365" w14:textId="77777777" w:rsidR="00F729CD" w:rsidRPr="00814A92" w:rsidRDefault="00000000">
              <w:pPr>
                <w:pStyle w:val="Turinys1"/>
                <w:tabs>
                  <w:tab w:val="clear" w:pos="142"/>
                  <w:tab w:val="clear" w:pos="9962"/>
                  <w:tab w:val="right" w:leader="dot" w:pos="9972"/>
                </w:tabs>
                <w:rPr>
                  <w:lang w:val="en-GB"/>
                </w:rPr>
              </w:pPr>
              <w:hyperlink w:anchor="_Toc18867" w:history="1">
                <w:r w:rsidRPr="00814A92">
                  <w:rPr>
                    <w:rFonts w:eastAsia="Calibri" w:cstheme="minorHAnsi"/>
                    <w:lang w:val="en-GB"/>
                  </w:rPr>
                  <w:t xml:space="preserve">9. </w:t>
                </w:r>
                <w:r w:rsidRPr="00814A92">
                  <w:rPr>
                    <w:rFonts w:cstheme="minorHAnsi"/>
                    <w:lang w:val="en-GB"/>
                  </w:rPr>
                  <w:t>Evaluation of tenders</w:t>
                </w:r>
                <w:r w:rsidRPr="00814A92">
                  <w:rPr>
                    <w:lang w:val="en-GB"/>
                  </w:rPr>
                  <w:tab/>
                </w:r>
                <w:r w:rsidRPr="00814A92">
                  <w:rPr>
                    <w:lang w:val="en-GB"/>
                  </w:rPr>
                  <w:fldChar w:fldCharType="begin"/>
                </w:r>
                <w:r w:rsidRPr="00814A92">
                  <w:rPr>
                    <w:lang w:val="en-GB"/>
                  </w:rPr>
                  <w:instrText xml:space="preserve"> PAGEREF _Toc18867 \h </w:instrText>
                </w:r>
                <w:r w:rsidRPr="00814A92">
                  <w:rPr>
                    <w:lang w:val="en-GB"/>
                  </w:rPr>
                </w:r>
                <w:r w:rsidRPr="00814A92">
                  <w:rPr>
                    <w:lang w:val="en-GB"/>
                  </w:rPr>
                  <w:fldChar w:fldCharType="separate"/>
                </w:r>
                <w:r w:rsidRPr="00814A92">
                  <w:rPr>
                    <w:lang w:val="en-GB"/>
                  </w:rPr>
                  <w:t>5</w:t>
                </w:r>
                <w:r w:rsidRPr="00814A92">
                  <w:rPr>
                    <w:lang w:val="en-GB"/>
                  </w:rPr>
                  <w:fldChar w:fldCharType="end"/>
                </w:r>
              </w:hyperlink>
            </w:p>
            <w:p w14:paraId="57F608BD" w14:textId="77777777" w:rsidR="00F729CD" w:rsidRPr="00814A92" w:rsidRDefault="00000000">
              <w:pPr>
                <w:pStyle w:val="Turinys1"/>
                <w:tabs>
                  <w:tab w:val="clear" w:pos="142"/>
                  <w:tab w:val="clear" w:pos="9962"/>
                  <w:tab w:val="right" w:leader="dot" w:pos="9972"/>
                </w:tabs>
                <w:rPr>
                  <w:lang w:val="en-GB"/>
                </w:rPr>
              </w:pPr>
              <w:hyperlink w:anchor="_Toc31562" w:history="1">
                <w:r w:rsidRPr="00814A92">
                  <w:rPr>
                    <w:rFonts w:eastAsia="Calibri" w:cstheme="minorHAnsi"/>
                    <w:lang w:val="en-GB"/>
                  </w:rPr>
                  <w:t xml:space="preserve">10. </w:t>
                </w:r>
                <w:r w:rsidRPr="00814A92">
                  <w:rPr>
                    <w:rFonts w:cstheme="minorHAnsi"/>
                    <w:lang w:val="en-GB"/>
                  </w:rPr>
                  <w:t>Contract conclusion</w:t>
                </w:r>
                <w:r w:rsidRPr="00814A92">
                  <w:rPr>
                    <w:lang w:val="en-GB"/>
                  </w:rPr>
                  <w:tab/>
                </w:r>
                <w:r w:rsidRPr="00814A92">
                  <w:rPr>
                    <w:lang w:val="en-GB"/>
                  </w:rPr>
                  <w:fldChar w:fldCharType="begin"/>
                </w:r>
                <w:r w:rsidRPr="00814A92">
                  <w:rPr>
                    <w:lang w:val="en-GB"/>
                  </w:rPr>
                  <w:instrText xml:space="preserve"> PAGEREF _Toc31562 \h </w:instrText>
                </w:r>
                <w:r w:rsidRPr="00814A92">
                  <w:rPr>
                    <w:lang w:val="en-GB"/>
                  </w:rPr>
                </w:r>
                <w:r w:rsidRPr="00814A92">
                  <w:rPr>
                    <w:lang w:val="en-GB"/>
                  </w:rPr>
                  <w:fldChar w:fldCharType="separate"/>
                </w:r>
                <w:r w:rsidRPr="00814A92">
                  <w:rPr>
                    <w:lang w:val="en-GB"/>
                  </w:rPr>
                  <w:t>5</w:t>
                </w:r>
                <w:r w:rsidRPr="00814A92">
                  <w:rPr>
                    <w:lang w:val="en-GB"/>
                  </w:rPr>
                  <w:fldChar w:fldCharType="end"/>
                </w:r>
              </w:hyperlink>
            </w:p>
            <w:p w14:paraId="14BA2CB4" w14:textId="77777777" w:rsidR="00F729CD" w:rsidRPr="00814A92" w:rsidRDefault="00000000">
              <w:pPr>
                <w:pStyle w:val="Turinys1"/>
                <w:tabs>
                  <w:tab w:val="clear" w:pos="142"/>
                  <w:tab w:val="clear" w:pos="9962"/>
                  <w:tab w:val="right" w:leader="dot" w:pos="9972"/>
                </w:tabs>
                <w:rPr>
                  <w:lang w:val="en-GB"/>
                </w:rPr>
              </w:pPr>
              <w:hyperlink w:anchor="_Toc23217" w:history="1">
                <w:r w:rsidRPr="00814A92">
                  <w:rPr>
                    <w:rFonts w:cstheme="minorHAnsi"/>
                    <w:lang w:val="en-GB"/>
                  </w:rPr>
                  <w:t>11. Other conditions</w:t>
                </w:r>
                <w:r w:rsidRPr="00814A92">
                  <w:rPr>
                    <w:lang w:val="en-GB"/>
                  </w:rPr>
                  <w:tab/>
                </w:r>
                <w:r w:rsidRPr="00814A92">
                  <w:rPr>
                    <w:lang w:val="en-GB"/>
                  </w:rPr>
                  <w:fldChar w:fldCharType="begin"/>
                </w:r>
                <w:r w:rsidRPr="00814A92">
                  <w:rPr>
                    <w:lang w:val="en-GB"/>
                  </w:rPr>
                  <w:instrText xml:space="preserve"> PAGEREF _Toc23217 \h </w:instrText>
                </w:r>
                <w:r w:rsidRPr="00814A92">
                  <w:rPr>
                    <w:lang w:val="en-GB"/>
                  </w:rPr>
                </w:r>
                <w:r w:rsidRPr="00814A92">
                  <w:rPr>
                    <w:lang w:val="en-GB"/>
                  </w:rPr>
                  <w:fldChar w:fldCharType="separate"/>
                </w:r>
                <w:r w:rsidRPr="00814A92">
                  <w:rPr>
                    <w:lang w:val="en-GB"/>
                  </w:rPr>
                  <w:t>5</w:t>
                </w:r>
                <w:r w:rsidRPr="00814A92">
                  <w:rPr>
                    <w:lang w:val="en-GB"/>
                  </w:rPr>
                  <w:fldChar w:fldCharType="end"/>
                </w:r>
              </w:hyperlink>
            </w:p>
            <w:p w14:paraId="4551BA66" w14:textId="77777777" w:rsidR="00F729CD" w:rsidRPr="00814A92" w:rsidRDefault="00000000">
              <w:pPr>
                <w:pStyle w:val="Turinys1"/>
                <w:tabs>
                  <w:tab w:val="clear" w:pos="142"/>
                  <w:tab w:val="clear" w:pos="9962"/>
                  <w:tab w:val="right" w:leader="dot" w:pos="9972"/>
                </w:tabs>
                <w:rPr>
                  <w:lang w:val="en-GB"/>
                </w:rPr>
              </w:pPr>
              <w:hyperlink w:anchor="_Toc12134" w:history="1">
                <w:r w:rsidRPr="00814A92">
                  <w:rPr>
                    <w:rFonts w:cstheme="minorHAnsi"/>
                    <w:lang w:val="en-GB"/>
                  </w:rPr>
                  <w:t>Annex 1 “Terms” to the Procurement Conditions</w:t>
                </w:r>
                <w:r w:rsidRPr="00814A92">
                  <w:rPr>
                    <w:lang w:val="en-GB"/>
                  </w:rPr>
                  <w:tab/>
                </w:r>
                <w:r w:rsidRPr="00814A92">
                  <w:rPr>
                    <w:lang w:val="en-GB"/>
                  </w:rPr>
                  <w:fldChar w:fldCharType="begin"/>
                </w:r>
                <w:r w:rsidRPr="00814A92">
                  <w:rPr>
                    <w:lang w:val="en-GB"/>
                  </w:rPr>
                  <w:instrText xml:space="preserve"> PAGEREF _Toc12134 \h </w:instrText>
                </w:r>
                <w:r w:rsidRPr="00814A92">
                  <w:rPr>
                    <w:lang w:val="en-GB"/>
                  </w:rPr>
                </w:r>
                <w:r w:rsidRPr="00814A92">
                  <w:rPr>
                    <w:lang w:val="en-GB"/>
                  </w:rPr>
                  <w:fldChar w:fldCharType="separate"/>
                </w:r>
                <w:r w:rsidRPr="00814A92">
                  <w:rPr>
                    <w:lang w:val="en-GB"/>
                  </w:rPr>
                  <w:t>6</w:t>
                </w:r>
                <w:r w:rsidRPr="00814A92">
                  <w:rPr>
                    <w:lang w:val="en-GB"/>
                  </w:rPr>
                  <w:fldChar w:fldCharType="end"/>
                </w:r>
              </w:hyperlink>
            </w:p>
            <w:p w14:paraId="6B68C00E" w14:textId="77777777" w:rsidR="00F729CD" w:rsidRPr="00814A92" w:rsidRDefault="00000000">
              <w:pPr>
                <w:pStyle w:val="Turinys2"/>
                <w:tabs>
                  <w:tab w:val="clear" w:pos="9962"/>
                  <w:tab w:val="right" w:leader="dot" w:pos="9972"/>
                </w:tabs>
                <w:rPr>
                  <w:lang w:val="en-GB"/>
                </w:rPr>
              </w:pPr>
              <w:hyperlink w:anchor="_Toc10812" w:history="1">
                <w:r w:rsidRPr="00814A92">
                  <w:rPr>
                    <w:rFonts w:eastAsia="Calibri" w:cstheme="minorHAnsi"/>
                    <w:lang w:val="en-GB"/>
                  </w:rPr>
                  <w:t>Annex 2 “Technical Specification” to the Procurement Conditions</w:t>
                </w:r>
                <w:r w:rsidRPr="00814A92">
                  <w:rPr>
                    <w:lang w:val="en-GB"/>
                  </w:rPr>
                  <w:tab/>
                </w:r>
                <w:r w:rsidRPr="00814A92">
                  <w:rPr>
                    <w:lang w:val="en-GB"/>
                  </w:rPr>
                  <w:fldChar w:fldCharType="begin"/>
                </w:r>
                <w:r w:rsidRPr="00814A92">
                  <w:rPr>
                    <w:lang w:val="en-GB"/>
                  </w:rPr>
                  <w:instrText xml:space="preserve"> PAGEREF _Toc10812 \h </w:instrText>
                </w:r>
                <w:r w:rsidRPr="00814A92">
                  <w:rPr>
                    <w:lang w:val="en-GB"/>
                  </w:rPr>
                </w:r>
                <w:r w:rsidRPr="00814A92">
                  <w:rPr>
                    <w:lang w:val="en-GB"/>
                  </w:rPr>
                  <w:fldChar w:fldCharType="separate"/>
                </w:r>
                <w:r w:rsidRPr="00814A92">
                  <w:rPr>
                    <w:lang w:val="en-GB"/>
                  </w:rPr>
                  <w:t>9</w:t>
                </w:r>
                <w:r w:rsidRPr="00814A92">
                  <w:rPr>
                    <w:lang w:val="en-GB"/>
                  </w:rPr>
                  <w:fldChar w:fldCharType="end"/>
                </w:r>
              </w:hyperlink>
            </w:p>
            <w:p w14:paraId="2C9CD398" w14:textId="77777777" w:rsidR="00F729CD" w:rsidRPr="00814A92" w:rsidRDefault="00000000">
              <w:pPr>
                <w:pStyle w:val="Turinys2"/>
                <w:tabs>
                  <w:tab w:val="clear" w:pos="9962"/>
                  <w:tab w:val="right" w:leader="dot" w:pos="9972"/>
                </w:tabs>
                <w:rPr>
                  <w:lang w:val="en-GB"/>
                </w:rPr>
              </w:pPr>
              <w:hyperlink w:anchor="_Toc6601" w:history="1">
                <w:r w:rsidRPr="00814A92">
                  <w:rPr>
                    <w:rFonts w:eastAsia="Calibri"/>
                    <w:lang w:val="en-GB"/>
                  </w:rPr>
                  <w:t>Annex 3 “Grounds for Exclusion of Suppliers” to the Procurement Conditions</w:t>
                </w:r>
                <w:r w:rsidRPr="00814A92">
                  <w:rPr>
                    <w:lang w:val="en-GB"/>
                  </w:rPr>
                  <w:tab/>
                </w:r>
                <w:r w:rsidRPr="00814A92">
                  <w:rPr>
                    <w:lang w:val="en-GB"/>
                  </w:rPr>
                  <w:fldChar w:fldCharType="begin"/>
                </w:r>
                <w:r w:rsidRPr="00814A92">
                  <w:rPr>
                    <w:lang w:val="en-GB"/>
                  </w:rPr>
                  <w:instrText xml:space="preserve"> PAGEREF _Toc6601 \h </w:instrText>
                </w:r>
                <w:r w:rsidRPr="00814A92">
                  <w:rPr>
                    <w:lang w:val="en-GB"/>
                  </w:rPr>
                </w:r>
                <w:r w:rsidRPr="00814A92">
                  <w:rPr>
                    <w:lang w:val="en-GB"/>
                  </w:rPr>
                  <w:fldChar w:fldCharType="separate"/>
                </w:r>
                <w:r w:rsidRPr="00814A92">
                  <w:rPr>
                    <w:lang w:val="en-GB"/>
                  </w:rPr>
                  <w:t>13</w:t>
                </w:r>
                <w:r w:rsidRPr="00814A92">
                  <w:rPr>
                    <w:lang w:val="en-GB"/>
                  </w:rPr>
                  <w:fldChar w:fldCharType="end"/>
                </w:r>
              </w:hyperlink>
            </w:p>
            <w:p w14:paraId="176E4776" w14:textId="77777777" w:rsidR="00F729CD" w:rsidRPr="00814A92" w:rsidRDefault="00000000">
              <w:pPr>
                <w:pStyle w:val="Turinys2"/>
                <w:tabs>
                  <w:tab w:val="clear" w:pos="9962"/>
                  <w:tab w:val="right" w:leader="dot" w:pos="9972"/>
                </w:tabs>
                <w:rPr>
                  <w:lang w:val="en-GB"/>
                </w:rPr>
              </w:pPr>
              <w:hyperlink w:anchor="_Toc2600" w:history="1">
                <w:r w:rsidRPr="00814A92">
                  <w:rPr>
                    <w:rFonts w:eastAsia="Calibri"/>
                    <w:lang w:val="en-GB"/>
                  </w:rPr>
                  <w:t>Annex 4 “Qualification requirements of suppliers and required standards for quality and environmental management systems” to the Procurement Conditions</w:t>
                </w:r>
                <w:r w:rsidRPr="00814A92">
                  <w:rPr>
                    <w:lang w:val="en-GB"/>
                  </w:rPr>
                  <w:tab/>
                </w:r>
                <w:r w:rsidRPr="00814A92">
                  <w:rPr>
                    <w:lang w:val="en-GB"/>
                  </w:rPr>
                  <w:fldChar w:fldCharType="begin"/>
                </w:r>
                <w:r w:rsidRPr="00814A92">
                  <w:rPr>
                    <w:lang w:val="en-GB"/>
                  </w:rPr>
                  <w:instrText xml:space="preserve"> PAGEREF _Toc2600 \h </w:instrText>
                </w:r>
                <w:r w:rsidRPr="00814A92">
                  <w:rPr>
                    <w:lang w:val="en-GB"/>
                  </w:rPr>
                </w:r>
                <w:r w:rsidRPr="00814A92">
                  <w:rPr>
                    <w:lang w:val="en-GB"/>
                  </w:rPr>
                  <w:fldChar w:fldCharType="separate"/>
                </w:r>
                <w:r w:rsidRPr="00814A92">
                  <w:rPr>
                    <w:lang w:val="en-GB"/>
                  </w:rPr>
                  <w:t>14</w:t>
                </w:r>
                <w:r w:rsidRPr="00814A92">
                  <w:rPr>
                    <w:lang w:val="en-GB"/>
                  </w:rPr>
                  <w:fldChar w:fldCharType="end"/>
                </w:r>
              </w:hyperlink>
            </w:p>
            <w:p w14:paraId="7CB83A27" w14:textId="77777777" w:rsidR="00F729CD" w:rsidRPr="00814A92" w:rsidRDefault="00000000">
              <w:pPr>
                <w:pStyle w:val="Turinys2"/>
                <w:tabs>
                  <w:tab w:val="clear" w:pos="9962"/>
                  <w:tab w:val="right" w:leader="dot" w:pos="9972"/>
                </w:tabs>
                <w:rPr>
                  <w:lang w:val="en-GB"/>
                </w:rPr>
              </w:pPr>
              <w:hyperlink w:anchor="_Toc7785" w:history="1">
                <w:r w:rsidRPr="00814A92">
                  <w:rPr>
                    <w:rFonts w:eastAsia="Calibri"/>
                    <w:lang w:val="en-GB"/>
                  </w:rPr>
                  <w:t>Annex 5 “ESPD” to the Procurement Conditions (XML format)</w:t>
                </w:r>
                <w:r w:rsidRPr="00814A92">
                  <w:rPr>
                    <w:lang w:val="en-GB"/>
                  </w:rPr>
                  <w:tab/>
                </w:r>
                <w:r w:rsidRPr="00814A92">
                  <w:rPr>
                    <w:lang w:val="en-GB"/>
                  </w:rPr>
                  <w:fldChar w:fldCharType="begin"/>
                </w:r>
                <w:r w:rsidRPr="00814A92">
                  <w:rPr>
                    <w:lang w:val="en-GB"/>
                  </w:rPr>
                  <w:instrText xml:space="preserve"> PAGEREF _Toc7785 \h </w:instrText>
                </w:r>
                <w:r w:rsidRPr="00814A92">
                  <w:rPr>
                    <w:lang w:val="en-GB"/>
                  </w:rPr>
                </w:r>
                <w:r w:rsidRPr="00814A92">
                  <w:rPr>
                    <w:lang w:val="en-GB"/>
                  </w:rPr>
                  <w:fldChar w:fldCharType="separate"/>
                </w:r>
                <w:r w:rsidRPr="00814A92">
                  <w:rPr>
                    <w:lang w:val="en-GB"/>
                  </w:rPr>
                  <w:t>15</w:t>
                </w:r>
                <w:r w:rsidRPr="00814A92">
                  <w:rPr>
                    <w:lang w:val="en-GB"/>
                  </w:rPr>
                  <w:fldChar w:fldCharType="end"/>
                </w:r>
              </w:hyperlink>
            </w:p>
            <w:p w14:paraId="429BE487" w14:textId="77777777" w:rsidR="00F729CD" w:rsidRPr="00814A92" w:rsidRDefault="00000000">
              <w:pPr>
                <w:pStyle w:val="Turinys2"/>
                <w:tabs>
                  <w:tab w:val="clear" w:pos="9962"/>
                  <w:tab w:val="right" w:leader="dot" w:pos="9972"/>
                </w:tabs>
                <w:rPr>
                  <w:lang w:val="en-GB"/>
                </w:rPr>
              </w:pPr>
              <w:hyperlink w:anchor="_Toc2618" w:history="1">
                <w:r w:rsidRPr="00814A92">
                  <w:rPr>
                    <w:rFonts w:eastAsia="Calibri"/>
                    <w:lang w:val="en-GB"/>
                  </w:rPr>
                  <w:t>Annex 6 “Tender Form” to the Procurement Conditions</w:t>
                </w:r>
                <w:r w:rsidRPr="00814A92">
                  <w:rPr>
                    <w:lang w:val="en-GB"/>
                  </w:rPr>
                  <w:tab/>
                </w:r>
                <w:r w:rsidRPr="00814A92">
                  <w:rPr>
                    <w:lang w:val="en-GB"/>
                  </w:rPr>
                  <w:fldChar w:fldCharType="begin"/>
                </w:r>
                <w:r w:rsidRPr="00814A92">
                  <w:rPr>
                    <w:lang w:val="en-GB"/>
                  </w:rPr>
                  <w:instrText xml:space="preserve"> PAGEREF _Toc2618 \h </w:instrText>
                </w:r>
                <w:r w:rsidRPr="00814A92">
                  <w:rPr>
                    <w:lang w:val="en-GB"/>
                  </w:rPr>
                </w:r>
                <w:r w:rsidRPr="00814A92">
                  <w:rPr>
                    <w:lang w:val="en-GB"/>
                  </w:rPr>
                  <w:fldChar w:fldCharType="separate"/>
                </w:r>
                <w:r w:rsidRPr="00814A92">
                  <w:rPr>
                    <w:lang w:val="en-GB"/>
                  </w:rPr>
                  <w:t>16</w:t>
                </w:r>
                <w:r w:rsidRPr="00814A92">
                  <w:rPr>
                    <w:lang w:val="en-GB"/>
                  </w:rPr>
                  <w:fldChar w:fldCharType="end"/>
                </w:r>
              </w:hyperlink>
            </w:p>
            <w:p w14:paraId="719ADA58" w14:textId="77777777" w:rsidR="00F729CD" w:rsidRPr="00814A92" w:rsidRDefault="00000000">
              <w:pPr>
                <w:pStyle w:val="Turinys2"/>
                <w:tabs>
                  <w:tab w:val="clear" w:pos="9962"/>
                  <w:tab w:val="right" w:leader="dot" w:pos="9972"/>
                </w:tabs>
                <w:rPr>
                  <w:lang w:val="en-GB"/>
                </w:rPr>
              </w:pPr>
              <w:hyperlink w:anchor="_Toc761" w:history="1">
                <w:r w:rsidRPr="00814A92">
                  <w:rPr>
                    <w:rFonts w:eastAsia="Calibri"/>
                    <w:lang w:val="en-GB"/>
                  </w:rPr>
                  <w:t>Annex 7 “Criteria and conditions for evaluation of tenders” to the Procurement Conditions</w:t>
                </w:r>
                <w:r w:rsidRPr="00814A92">
                  <w:rPr>
                    <w:lang w:val="en-GB"/>
                  </w:rPr>
                  <w:tab/>
                </w:r>
                <w:r w:rsidRPr="00814A92">
                  <w:rPr>
                    <w:lang w:val="en-GB"/>
                  </w:rPr>
                  <w:fldChar w:fldCharType="begin"/>
                </w:r>
                <w:r w:rsidRPr="00814A92">
                  <w:rPr>
                    <w:lang w:val="en-GB"/>
                  </w:rPr>
                  <w:instrText xml:space="preserve"> PAGEREF _Toc761 \h </w:instrText>
                </w:r>
                <w:r w:rsidRPr="00814A92">
                  <w:rPr>
                    <w:lang w:val="en-GB"/>
                  </w:rPr>
                </w:r>
                <w:r w:rsidRPr="00814A92">
                  <w:rPr>
                    <w:lang w:val="en-GB"/>
                  </w:rPr>
                  <w:fldChar w:fldCharType="separate"/>
                </w:r>
                <w:r w:rsidRPr="00814A92">
                  <w:rPr>
                    <w:lang w:val="en-GB"/>
                  </w:rPr>
                  <w:t>17</w:t>
                </w:r>
                <w:r w:rsidRPr="00814A92">
                  <w:rPr>
                    <w:lang w:val="en-GB"/>
                  </w:rPr>
                  <w:fldChar w:fldCharType="end"/>
                </w:r>
              </w:hyperlink>
            </w:p>
            <w:p w14:paraId="5CB750DC" w14:textId="77777777" w:rsidR="00F729CD" w:rsidRPr="00814A92" w:rsidRDefault="00000000">
              <w:pPr>
                <w:pStyle w:val="Turinys2"/>
                <w:tabs>
                  <w:tab w:val="clear" w:pos="9962"/>
                  <w:tab w:val="right" w:leader="dot" w:pos="9972"/>
                </w:tabs>
                <w:rPr>
                  <w:lang w:val="en-GB"/>
                </w:rPr>
              </w:pPr>
              <w:hyperlink w:anchor="_Toc599" w:history="1">
                <w:r w:rsidRPr="00814A92">
                  <w:rPr>
                    <w:lang w:val="en-GB"/>
                  </w:rPr>
                  <w:t>Annex 8 “Declaration of Conformity” to the Procurement Conditions</w:t>
                </w:r>
                <w:r w:rsidRPr="00814A92">
                  <w:rPr>
                    <w:lang w:val="en-GB"/>
                  </w:rPr>
                  <w:tab/>
                </w:r>
                <w:r w:rsidRPr="00814A92">
                  <w:rPr>
                    <w:lang w:val="en-GB"/>
                  </w:rPr>
                  <w:fldChar w:fldCharType="begin"/>
                </w:r>
                <w:r w:rsidRPr="00814A92">
                  <w:rPr>
                    <w:lang w:val="en-GB"/>
                  </w:rPr>
                  <w:instrText xml:space="preserve"> PAGEREF _Toc599 \h </w:instrText>
                </w:r>
                <w:r w:rsidRPr="00814A92">
                  <w:rPr>
                    <w:lang w:val="en-GB"/>
                  </w:rPr>
                </w:r>
                <w:r w:rsidRPr="00814A92">
                  <w:rPr>
                    <w:lang w:val="en-GB"/>
                  </w:rPr>
                  <w:fldChar w:fldCharType="separate"/>
                </w:r>
                <w:r w:rsidRPr="00814A92">
                  <w:rPr>
                    <w:lang w:val="en-GB"/>
                  </w:rPr>
                  <w:t>18</w:t>
                </w:r>
                <w:r w:rsidRPr="00814A92">
                  <w:rPr>
                    <w:lang w:val="en-GB"/>
                  </w:rPr>
                  <w:fldChar w:fldCharType="end"/>
                </w:r>
              </w:hyperlink>
            </w:p>
            <w:p w14:paraId="7FA60187" w14:textId="77777777" w:rsidR="00F729CD" w:rsidRPr="00814A92" w:rsidRDefault="00000000">
              <w:pPr>
                <w:pStyle w:val="Turinys2"/>
                <w:tabs>
                  <w:tab w:val="clear" w:pos="9962"/>
                  <w:tab w:val="right" w:leader="dot" w:pos="9972"/>
                </w:tabs>
                <w:rPr>
                  <w:lang w:val="en-GB"/>
                </w:rPr>
              </w:pPr>
              <w:hyperlink w:anchor="_Toc11486" w:history="1">
                <w:r w:rsidRPr="00814A92">
                  <w:rPr>
                    <w:lang w:val="en-GB"/>
                  </w:rPr>
                  <w:t>Annex 9 “Declaration of non-performance of activities in countries conducting aggression against Ukraine” to the Procurement Conditions</w:t>
                </w:r>
                <w:r w:rsidRPr="00814A92">
                  <w:rPr>
                    <w:lang w:val="en-GB"/>
                  </w:rPr>
                  <w:tab/>
                </w:r>
                <w:r w:rsidRPr="00814A92">
                  <w:rPr>
                    <w:lang w:val="en-GB"/>
                  </w:rPr>
                  <w:fldChar w:fldCharType="begin"/>
                </w:r>
                <w:r w:rsidRPr="00814A92">
                  <w:rPr>
                    <w:lang w:val="en-GB"/>
                  </w:rPr>
                  <w:instrText xml:space="preserve"> PAGEREF _Toc11486 \h </w:instrText>
                </w:r>
                <w:r w:rsidRPr="00814A92">
                  <w:rPr>
                    <w:lang w:val="en-GB"/>
                  </w:rPr>
                </w:r>
                <w:r w:rsidRPr="00814A92">
                  <w:rPr>
                    <w:lang w:val="en-GB"/>
                  </w:rPr>
                  <w:fldChar w:fldCharType="separate"/>
                </w:r>
                <w:r w:rsidRPr="00814A92">
                  <w:rPr>
                    <w:lang w:val="en-GB"/>
                  </w:rPr>
                  <w:t>20</w:t>
                </w:r>
                <w:r w:rsidRPr="00814A92">
                  <w:rPr>
                    <w:lang w:val="en-GB"/>
                  </w:rPr>
                  <w:fldChar w:fldCharType="end"/>
                </w:r>
              </w:hyperlink>
            </w:p>
            <w:p w14:paraId="1E9590AE" w14:textId="77777777" w:rsidR="00F729CD" w:rsidRPr="00814A92" w:rsidRDefault="00000000">
              <w:pPr>
                <w:pStyle w:val="Turinys2"/>
                <w:tabs>
                  <w:tab w:val="clear" w:pos="9962"/>
                  <w:tab w:val="right" w:leader="dot" w:pos="9972"/>
                </w:tabs>
                <w:rPr>
                  <w:lang w:val="en-GB"/>
                </w:rPr>
              </w:pPr>
              <w:hyperlink w:anchor="_Toc17174" w:history="1">
                <w:r w:rsidRPr="00814A92">
                  <w:rPr>
                    <w:lang w:val="en-GB"/>
                  </w:rPr>
                  <w:t>Annex 10 “Draft Contract” to the Procurement Conditions</w:t>
                </w:r>
                <w:r w:rsidRPr="00814A92">
                  <w:rPr>
                    <w:lang w:val="en-GB"/>
                  </w:rPr>
                  <w:tab/>
                </w:r>
                <w:r w:rsidRPr="00814A92">
                  <w:rPr>
                    <w:lang w:val="en-GB"/>
                  </w:rPr>
                  <w:fldChar w:fldCharType="begin"/>
                </w:r>
                <w:r w:rsidRPr="00814A92">
                  <w:rPr>
                    <w:lang w:val="en-GB"/>
                  </w:rPr>
                  <w:instrText xml:space="preserve"> PAGEREF _Toc17174 \h </w:instrText>
                </w:r>
                <w:r w:rsidRPr="00814A92">
                  <w:rPr>
                    <w:lang w:val="en-GB"/>
                  </w:rPr>
                </w:r>
                <w:r w:rsidRPr="00814A92">
                  <w:rPr>
                    <w:lang w:val="en-GB"/>
                  </w:rPr>
                  <w:fldChar w:fldCharType="separate"/>
                </w:r>
                <w:r w:rsidRPr="00814A92">
                  <w:rPr>
                    <w:lang w:val="en-GB"/>
                  </w:rPr>
                  <w:t>22</w:t>
                </w:r>
                <w:r w:rsidRPr="00814A92">
                  <w:rPr>
                    <w:lang w:val="en-GB"/>
                  </w:rPr>
                  <w:fldChar w:fldCharType="end"/>
                </w:r>
              </w:hyperlink>
            </w:p>
            <w:p w14:paraId="6ADC27C5" w14:textId="77777777" w:rsidR="00F729CD" w:rsidRPr="00814A92" w:rsidRDefault="00000000">
              <w:pPr>
                <w:pStyle w:val="Turinys2"/>
                <w:tabs>
                  <w:tab w:val="clear" w:pos="9962"/>
                  <w:tab w:val="right" w:leader="dot" w:pos="9972"/>
                </w:tabs>
                <w:rPr>
                  <w:lang w:val="en-GB"/>
                </w:rPr>
              </w:pPr>
              <w:hyperlink w:anchor="_Toc20464" w:history="1">
                <w:r w:rsidRPr="00814A92">
                  <w:rPr>
                    <w:lang w:val="en-GB"/>
                  </w:rPr>
                  <w:t>Annex 11 “Supplier declaration of compliance with the provisions of the Regulation for a legal entity” to the Procurement Conditions</w:t>
                </w:r>
                <w:r w:rsidRPr="00814A92">
                  <w:rPr>
                    <w:lang w:val="en-GB"/>
                  </w:rPr>
                  <w:tab/>
                </w:r>
                <w:r w:rsidRPr="00814A92">
                  <w:rPr>
                    <w:lang w:val="en-GB"/>
                  </w:rPr>
                  <w:fldChar w:fldCharType="begin"/>
                </w:r>
                <w:r w:rsidRPr="00814A92">
                  <w:rPr>
                    <w:lang w:val="en-GB"/>
                  </w:rPr>
                  <w:instrText xml:space="preserve"> PAGEREF _Toc20464 \h </w:instrText>
                </w:r>
                <w:r w:rsidRPr="00814A92">
                  <w:rPr>
                    <w:lang w:val="en-GB"/>
                  </w:rPr>
                </w:r>
                <w:r w:rsidRPr="00814A92">
                  <w:rPr>
                    <w:lang w:val="en-GB"/>
                  </w:rPr>
                  <w:fldChar w:fldCharType="separate"/>
                </w:r>
                <w:r w:rsidRPr="00814A92">
                  <w:rPr>
                    <w:lang w:val="en-GB"/>
                  </w:rPr>
                  <w:t>23</w:t>
                </w:r>
                <w:r w:rsidRPr="00814A92">
                  <w:rPr>
                    <w:lang w:val="en-GB"/>
                  </w:rPr>
                  <w:fldChar w:fldCharType="end"/>
                </w:r>
              </w:hyperlink>
            </w:p>
            <w:p w14:paraId="1AEE9220" w14:textId="77777777" w:rsidR="00F729CD" w:rsidRPr="00814A92" w:rsidRDefault="00000000">
              <w:pPr>
                <w:pStyle w:val="Turinys2"/>
                <w:tabs>
                  <w:tab w:val="clear" w:pos="9962"/>
                  <w:tab w:val="right" w:leader="dot" w:pos="9972"/>
                </w:tabs>
                <w:rPr>
                  <w:lang w:val="en-GB"/>
                </w:rPr>
              </w:pPr>
              <w:hyperlink w:anchor="_Toc18446" w:history="1">
                <w:r w:rsidRPr="00814A92">
                  <w:rPr>
                    <w:lang w:val="en-GB"/>
                  </w:rPr>
                  <w:t>Annex 12 “Supplier declaration of compliance with the provisions of the Regulation for natural persons” to the Procurement Conditions</w:t>
                </w:r>
                <w:r w:rsidRPr="00814A92">
                  <w:rPr>
                    <w:lang w:val="en-GB"/>
                  </w:rPr>
                  <w:tab/>
                </w:r>
                <w:r w:rsidRPr="00814A92">
                  <w:rPr>
                    <w:lang w:val="en-GB"/>
                  </w:rPr>
                  <w:fldChar w:fldCharType="begin"/>
                </w:r>
                <w:r w:rsidRPr="00814A92">
                  <w:rPr>
                    <w:lang w:val="en-GB"/>
                  </w:rPr>
                  <w:instrText xml:space="preserve"> PAGEREF _Toc18446 \h </w:instrText>
                </w:r>
                <w:r w:rsidRPr="00814A92">
                  <w:rPr>
                    <w:lang w:val="en-GB"/>
                  </w:rPr>
                </w:r>
                <w:r w:rsidRPr="00814A92">
                  <w:rPr>
                    <w:lang w:val="en-GB"/>
                  </w:rPr>
                  <w:fldChar w:fldCharType="separate"/>
                </w:r>
                <w:r w:rsidRPr="00814A92">
                  <w:rPr>
                    <w:lang w:val="en-GB"/>
                  </w:rPr>
                  <w:t>25</w:t>
                </w:r>
                <w:r w:rsidRPr="00814A92">
                  <w:rPr>
                    <w:lang w:val="en-GB"/>
                  </w:rPr>
                  <w:fldChar w:fldCharType="end"/>
                </w:r>
              </w:hyperlink>
            </w:p>
            <w:p w14:paraId="4D689C48" w14:textId="77777777" w:rsidR="00F729CD" w:rsidRPr="00814A92" w:rsidRDefault="00000000">
              <w:pPr>
                <w:spacing w:after="120" w:line="20" w:lineRule="atLeast"/>
                <w:contextualSpacing/>
                <w:rPr>
                  <w:rFonts w:cstheme="minorHAnsi"/>
                  <w:lang w:val="en-GB"/>
                </w:rPr>
              </w:pPr>
              <w:r w:rsidRPr="00814A92">
                <w:rPr>
                  <w:rFonts w:cstheme="minorHAnsi"/>
                  <w:bCs/>
                  <w:color w:val="2B579A"/>
                  <w:shd w:val="clear" w:color="auto" w:fill="E6E6E6"/>
                  <w:lang w:val="en-GB"/>
                </w:rPr>
                <w:fldChar w:fldCharType="end"/>
              </w:r>
            </w:p>
          </w:sdtContent>
        </w:sdt>
        <w:p w14:paraId="41405B03" w14:textId="77777777" w:rsidR="00F729CD" w:rsidRPr="00814A92" w:rsidRDefault="00000000">
          <w:pPr>
            <w:spacing w:after="120" w:line="20" w:lineRule="atLeast"/>
            <w:contextualSpacing/>
            <w:rPr>
              <w:rFonts w:cstheme="minorHAnsi"/>
              <w:lang w:val="en-GB"/>
            </w:rPr>
          </w:pPr>
          <w:r w:rsidRPr="00814A92">
            <w:rPr>
              <w:rFonts w:cstheme="minorHAnsi"/>
              <w:lang w:val="en-GB"/>
            </w:rPr>
            <w:t xml:space="preserve">    </w:t>
          </w:r>
          <w:r w:rsidRPr="00814A92">
            <w:rPr>
              <w:rFonts w:cstheme="minorHAnsi"/>
              <w:lang w:val="en-GB"/>
            </w:rPr>
            <w:br w:type="page"/>
          </w:r>
        </w:p>
      </w:sdtContent>
    </w:sdt>
    <w:p w14:paraId="5CF0484C" w14:textId="77777777" w:rsidR="00F729CD" w:rsidRPr="00814A92" w:rsidRDefault="00000000">
      <w:pPr>
        <w:pStyle w:val="Antrat1"/>
        <w:numPr>
          <w:ilvl w:val="0"/>
          <w:numId w:val="2"/>
        </w:numPr>
        <w:spacing w:line="20" w:lineRule="atLeast"/>
        <w:ind w:left="567" w:hanging="567"/>
        <w:contextualSpacing/>
        <w:rPr>
          <w:rFonts w:asciiTheme="minorHAnsi" w:hAnsiTheme="minorHAnsi" w:cstheme="minorHAnsi"/>
          <w:lang w:val="en-GB"/>
        </w:rPr>
      </w:pPr>
      <w:bookmarkStart w:id="0" w:name="_Toc29907"/>
      <w:bookmarkStart w:id="1" w:name="_Toc335201954"/>
      <w:bookmarkStart w:id="2" w:name="_Toc147739116"/>
      <w:r w:rsidRPr="00814A92">
        <w:rPr>
          <w:rFonts w:asciiTheme="minorHAnsi" w:hAnsiTheme="minorHAnsi"/>
          <w:lang w:val="en-GB"/>
        </w:rPr>
        <w:lastRenderedPageBreak/>
        <w:t>General information</w:t>
      </w:r>
      <w:bookmarkEnd w:id="0"/>
      <w:r w:rsidRPr="00814A92">
        <w:rPr>
          <w:rFonts w:asciiTheme="minorHAnsi" w:hAnsiTheme="minorHAnsi"/>
          <w:lang w:val="en-GB"/>
        </w:rPr>
        <w:t xml:space="preserve"> </w:t>
      </w:r>
    </w:p>
    <w:p w14:paraId="09126D05"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 xml:space="preserve">Contracting Authority - State Border Guard Service under the Ministry of the Interior of the Republic of Lithuania, legal entity code 188608252, address Savanorių pr. 2, LT-03116 Vilnius. The contracting authority is a VAT payer. </w:t>
      </w:r>
    </w:p>
    <w:p w14:paraId="22ED1164"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color w:val="000000" w:themeColor="text1"/>
          <w:lang w:val="en-GB"/>
        </w:rPr>
        <w:t>The procurement is not carried out using a centralised procurement catalogue, as the subject of the contract is not included in the CPO.LT or VRS CPO catalogues.</w:t>
      </w:r>
    </w:p>
    <w:p w14:paraId="7BC0E21F"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rFonts w:eastAsia="Times New Roman"/>
          <w:lang w:val="en-GB"/>
        </w:rPr>
        <w:t>The Contracting Authority does not reserve the right to participate in the procurement.</w:t>
      </w:r>
    </w:p>
    <w:p w14:paraId="31AFB354"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Observers are not invited to attend Commission meetings.</w:t>
      </w:r>
    </w:p>
    <w:p w14:paraId="3C7F5EEE"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Green Procurement is carried out. The procurement shall be carried out in accordance with clause 4.4.4.1 of the description of the procedure for the application of environmental criteria in green procurement, approved by Order No. D1-508 of 28 June 2011 of the Minister of the Environment of the Republic of Lithuania “On the approval of the description of the procedure for the application of environmental criteria in green procurement” (the product shall be produced and/or supplied, the service provided or the work carried out shall use fewer natural resources and/or contain re-used and/or recycled materials).</w:t>
      </w:r>
      <w:r w:rsidRPr="00814A92">
        <w:rPr>
          <w:rFonts w:cstheme="minorHAnsi"/>
          <w:lang w:val="en-GB"/>
        </w:rPr>
        <w:t xml:space="preserve"> </w:t>
      </w:r>
      <w:r w:rsidRPr="00814A92">
        <w:rPr>
          <w:lang w:val="en-GB"/>
        </w:rPr>
        <w:t>The environmental criteria are set out in clause 3.1.10 of Annex 10 "Draft Contract" of the Special Conditions of the Procurement.</w:t>
      </w:r>
      <w:r w:rsidRPr="00814A92">
        <w:rPr>
          <w:rFonts w:cstheme="minorHAnsi"/>
          <w:i/>
          <w:iCs/>
          <w:color w:val="FF0000"/>
          <w:sz w:val="22"/>
          <w:szCs w:val="22"/>
          <w:lang w:val="en-GB"/>
        </w:rPr>
        <w:tab/>
      </w:r>
    </w:p>
    <w:p w14:paraId="7D6999E3" w14:textId="77777777" w:rsidR="00F729CD" w:rsidRPr="00814A92" w:rsidRDefault="00000000">
      <w:pPr>
        <w:pStyle w:val="Sraopastraipa"/>
        <w:numPr>
          <w:ilvl w:val="1"/>
          <w:numId w:val="3"/>
        </w:numPr>
        <w:tabs>
          <w:tab w:val="left" w:pos="993"/>
        </w:tabs>
        <w:spacing w:after="0" w:line="240" w:lineRule="auto"/>
        <w:ind w:left="0" w:firstLine="567"/>
        <w:jc w:val="both"/>
        <w:rPr>
          <w:rFonts w:eastAsia="Arial"/>
          <w:lang w:val="en-GB"/>
        </w:rPr>
      </w:pPr>
      <w:r w:rsidRPr="00814A92">
        <w:rPr>
          <w:rFonts w:eastAsia="Arial"/>
          <w:lang w:val="en-GB"/>
        </w:rPr>
        <w:t>No advance notice was published.</w:t>
      </w:r>
    </w:p>
    <w:p w14:paraId="574199F7" w14:textId="77777777" w:rsidR="00F729CD" w:rsidRPr="00814A92" w:rsidRDefault="00000000">
      <w:pPr>
        <w:pStyle w:val="Sraopastraipa"/>
        <w:numPr>
          <w:ilvl w:val="1"/>
          <w:numId w:val="3"/>
        </w:numPr>
        <w:tabs>
          <w:tab w:val="left" w:pos="851"/>
          <w:tab w:val="left" w:pos="993"/>
        </w:tabs>
        <w:spacing w:after="0" w:line="240" w:lineRule="auto"/>
        <w:ind w:firstLine="207"/>
        <w:jc w:val="both"/>
        <w:rPr>
          <w:rFonts w:cstheme="minorHAnsi"/>
          <w:lang w:val="en-GB"/>
        </w:rPr>
      </w:pPr>
      <w:r w:rsidRPr="00814A92">
        <w:rPr>
          <w:lang w:val="en-GB" w:eastAsia="en-US"/>
        </w:rPr>
        <w:t>The Contracting Authority does not foresee the publication of a notice on voluntary ex ante transparency in the procurement.</w:t>
      </w:r>
    </w:p>
    <w:p w14:paraId="0ABC865B" w14:textId="77777777" w:rsidR="00F729CD" w:rsidRPr="00814A92" w:rsidRDefault="00000000">
      <w:pPr>
        <w:pStyle w:val="Sraopastraipa"/>
        <w:numPr>
          <w:ilvl w:val="1"/>
          <w:numId w:val="3"/>
        </w:numPr>
        <w:tabs>
          <w:tab w:val="left" w:pos="851"/>
          <w:tab w:val="left" w:pos="993"/>
        </w:tabs>
        <w:spacing w:after="0" w:line="240" w:lineRule="auto"/>
        <w:ind w:left="0" w:firstLine="567"/>
        <w:jc w:val="both"/>
        <w:rPr>
          <w:rFonts w:cstheme="minorHAnsi"/>
          <w:color w:val="7030A0"/>
          <w:lang w:val="en-GB"/>
        </w:rPr>
      </w:pPr>
      <w:r w:rsidRPr="00814A92">
        <w:rPr>
          <w:lang w:val="en-GB"/>
        </w:rPr>
        <w:t xml:space="preserve">The procurement does not allow alternative tenders. </w:t>
      </w:r>
      <w:r w:rsidRPr="00814A92">
        <w:rPr>
          <w:rFonts w:cstheme="minorHAnsi"/>
          <w:sz w:val="22"/>
          <w:szCs w:val="22"/>
          <w:lang w:val="en-GB"/>
        </w:rPr>
        <w:t xml:space="preserve"> </w:t>
      </w:r>
    </w:p>
    <w:p w14:paraId="7D7AFA91" w14:textId="77777777" w:rsidR="00F729CD" w:rsidRPr="00814A92" w:rsidRDefault="00000000">
      <w:pPr>
        <w:pStyle w:val="Sraopastraipa"/>
        <w:numPr>
          <w:ilvl w:val="1"/>
          <w:numId w:val="3"/>
        </w:numPr>
        <w:tabs>
          <w:tab w:val="left" w:pos="993"/>
        </w:tabs>
        <w:spacing w:after="0" w:line="240" w:lineRule="auto"/>
        <w:ind w:firstLine="207"/>
        <w:jc w:val="both"/>
        <w:rPr>
          <w:rFonts w:cstheme="minorHAnsi"/>
          <w:lang w:val="en-GB"/>
        </w:rPr>
      </w:pPr>
      <w:r w:rsidRPr="00814A92">
        <w:rPr>
          <w:rFonts w:eastAsia="Arial" w:cstheme="minorHAnsi"/>
          <w:color w:val="333333"/>
          <w:lang w:val="en-GB"/>
        </w:rPr>
        <w:t xml:space="preserve"> </w:t>
      </w:r>
      <w:r w:rsidRPr="00814A92">
        <w:rPr>
          <w:rFonts w:eastAsia="Arial"/>
          <w:color w:val="333333"/>
          <w:lang w:val="en-GB"/>
        </w:rPr>
        <w:t>The General Conditions of the Procurement form an integral part of these Procurement Conditions.</w:t>
      </w:r>
    </w:p>
    <w:p w14:paraId="71EB7EA4" w14:textId="77777777" w:rsidR="00F729CD" w:rsidRPr="00814A92" w:rsidRDefault="00000000">
      <w:pPr>
        <w:pStyle w:val="Antrat1"/>
        <w:spacing w:line="20" w:lineRule="atLeast"/>
        <w:contextualSpacing/>
        <w:rPr>
          <w:lang w:val="en-GB"/>
        </w:rPr>
      </w:pPr>
      <w:bookmarkStart w:id="3" w:name="_Ref39426332"/>
      <w:bookmarkStart w:id="4" w:name="_Ref39426338"/>
      <w:bookmarkStart w:id="5" w:name="_Toc11434"/>
      <w:bookmarkEnd w:id="1"/>
      <w:r w:rsidRPr="00814A92">
        <w:rPr>
          <w:rFonts w:ascii="Calibri" w:hAnsi="Calibri" w:cs="Calibri"/>
          <w:lang w:val="en-GB"/>
        </w:rPr>
        <w:t>2</w:t>
      </w:r>
      <w:r w:rsidRPr="00814A92">
        <w:rPr>
          <w:lang w:val="en-GB"/>
        </w:rPr>
        <w:t xml:space="preserve">. </w:t>
      </w:r>
      <w:bookmarkEnd w:id="3"/>
      <w:bookmarkEnd w:id="4"/>
      <w:r w:rsidRPr="00814A92">
        <w:rPr>
          <w:rFonts w:asciiTheme="minorHAnsi" w:hAnsiTheme="minorHAnsi"/>
          <w:lang w:val="en-GB"/>
        </w:rPr>
        <w:t>Procurement object</w:t>
      </w:r>
      <w:bookmarkEnd w:id="5"/>
    </w:p>
    <w:p w14:paraId="72663E0E"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rFonts w:eastAsia="Calibri"/>
          <w:color w:val="000000" w:themeColor="text1"/>
          <w:lang w:val="en-GB"/>
        </w:rPr>
        <w:t>The Contracting Authority intends to procure flight maintenance and administration services for the State Border Guard Service under the Ministry of the Interior of the Republic of Lithuania.</w:t>
      </w:r>
      <w:r w:rsidRPr="00814A92">
        <w:rPr>
          <w:rFonts w:cstheme="minorHAnsi"/>
          <w:lang w:val="en-GB"/>
        </w:rPr>
        <w:t xml:space="preserve"> </w:t>
      </w:r>
    </w:p>
    <w:p w14:paraId="57678F41"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 xml:space="preserve">The procurement object shall not be subdivided into parts. The scope, requirements and technical specifications are defined in Annex 2 to the Special Conditions. </w:t>
      </w:r>
    </w:p>
    <w:p w14:paraId="3AEF874E"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 xml:space="preserve">If, when describing the object of the procurement, the technical specification refers to a particular model or source of supply, a particular process specific to the goods or services supplied by a particular supplier, or to a trademark, patent, types, specific origin or manufacture, each such reference shall be deemed to be accompanied by the words “or equivalent”. </w:t>
      </w:r>
      <w:r w:rsidRPr="00814A92">
        <w:rPr>
          <w:rFonts w:cstheme="minorHAnsi"/>
          <w:lang w:val="en-GB"/>
        </w:rPr>
        <w:t xml:space="preserve">    </w:t>
      </w:r>
    </w:p>
    <w:p w14:paraId="12269B3F"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If, when describing the object of the procurement, a technical specification refers to a standard, technical certificate or general technical specification (a Lithuanian standard transposing a European standard, a European Technical Assessment Approval Document, a general technical specification for information and communication technologies, an international standard, other systems of technical norms established by the European Standardisation Organisations, a national standard, a national technical certificate or a national technical specification relating to the design of the works, the calculation and execution of the estimates, and the use of the goods), it shall be understood that each such reference is accompanied by the word "or equivalent".</w:t>
      </w:r>
      <w:r w:rsidRPr="00814A92">
        <w:rPr>
          <w:rFonts w:cstheme="minorHAnsi"/>
          <w:lang w:val="en-GB"/>
        </w:rPr>
        <w:t xml:space="preserve"> </w:t>
      </w:r>
    </w:p>
    <w:p w14:paraId="6E1E868B" w14:textId="77777777" w:rsidR="00F729CD" w:rsidRPr="00814A92" w:rsidRDefault="00000000">
      <w:pPr>
        <w:pStyle w:val="Betarp"/>
        <w:numPr>
          <w:ilvl w:val="1"/>
          <w:numId w:val="4"/>
        </w:numPr>
        <w:ind w:left="0" w:firstLine="709"/>
        <w:contextualSpacing/>
        <w:jc w:val="both"/>
        <w:rPr>
          <w:rFonts w:cstheme="minorHAnsi"/>
          <w:lang w:val="en-GB"/>
        </w:rPr>
      </w:pPr>
      <w:r w:rsidRPr="00814A92">
        <w:rPr>
          <w:b/>
          <w:bCs/>
          <w:lang w:val="en-GB"/>
        </w:rPr>
        <w:t xml:space="preserve">The amount of funds available for the procurement is EUR 500 000,00 including VAT.   </w:t>
      </w:r>
    </w:p>
    <w:p w14:paraId="241C675A" w14:textId="77777777" w:rsidR="00F729CD" w:rsidRPr="00814A92" w:rsidRDefault="00000000">
      <w:pPr>
        <w:pStyle w:val="Antrat1"/>
        <w:spacing w:line="20" w:lineRule="atLeast"/>
        <w:contextualSpacing/>
        <w:rPr>
          <w:rFonts w:asciiTheme="minorHAnsi" w:hAnsiTheme="minorHAnsi" w:cstheme="minorHAnsi"/>
          <w:lang w:val="en-GB"/>
        </w:rPr>
      </w:pPr>
      <w:bookmarkStart w:id="6" w:name="_Toc9172"/>
      <w:r w:rsidRPr="00814A92">
        <w:rPr>
          <w:rFonts w:asciiTheme="minorHAnsi" w:hAnsiTheme="minorHAnsi" w:cstheme="minorHAnsi"/>
          <w:lang w:val="en-GB"/>
        </w:rPr>
        <w:t xml:space="preserve">3. </w:t>
      </w:r>
      <w:r w:rsidRPr="00814A92">
        <w:rPr>
          <w:rFonts w:asciiTheme="minorHAnsi" w:hAnsiTheme="minorHAnsi"/>
          <w:lang w:val="en-GB"/>
        </w:rPr>
        <w:t>Meetings with suppliers and site inspections</w:t>
      </w:r>
      <w:bookmarkEnd w:id="6"/>
    </w:p>
    <w:p w14:paraId="70B5AE0D" w14:textId="77777777" w:rsidR="00F729CD" w:rsidRPr="00814A92" w:rsidRDefault="00000000">
      <w:pPr>
        <w:pStyle w:val="Sraopastraipa"/>
        <w:spacing w:after="0"/>
        <w:ind w:left="0" w:firstLine="567"/>
        <w:jc w:val="both"/>
        <w:rPr>
          <w:rFonts w:cstheme="minorHAnsi"/>
          <w:i/>
          <w:color w:val="FF0000"/>
          <w:lang w:val="en-GB"/>
        </w:rPr>
      </w:pPr>
      <w:r w:rsidRPr="00814A92">
        <w:rPr>
          <w:rFonts w:cstheme="minorHAnsi"/>
          <w:iCs/>
          <w:lang w:val="en-GB"/>
        </w:rPr>
        <w:t xml:space="preserve">   3.1.</w:t>
      </w:r>
      <w:r w:rsidRPr="00814A92">
        <w:rPr>
          <w:rFonts w:cstheme="minorHAnsi"/>
          <w:i/>
          <w:color w:val="FF0000"/>
          <w:lang w:val="en-GB"/>
        </w:rPr>
        <w:t xml:space="preserve">     </w:t>
      </w:r>
      <w:r w:rsidRPr="00814A92">
        <w:rPr>
          <w:lang w:val="en-GB"/>
        </w:rPr>
        <w:t>The Contracting Authority will not hold a meeting with suppliers to clarify the terms of the procurement.</w:t>
      </w:r>
    </w:p>
    <w:p w14:paraId="04E31812" w14:textId="77777777" w:rsidR="00F729CD" w:rsidRPr="00814A92" w:rsidRDefault="00000000">
      <w:pPr>
        <w:pStyle w:val="Body2"/>
        <w:numPr>
          <w:ilvl w:val="1"/>
          <w:numId w:val="5"/>
        </w:numPr>
        <w:tabs>
          <w:tab w:val="left" w:pos="993"/>
        </w:tabs>
        <w:spacing w:after="0"/>
        <w:ind w:left="0" w:firstLine="709"/>
        <w:rPr>
          <w:rFonts w:asciiTheme="minorHAnsi" w:hAnsiTheme="minorHAnsi" w:cstheme="minorHAnsi"/>
          <w:lang w:val="en-GB"/>
        </w:rPr>
      </w:pPr>
      <w:bookmarkStart w:id="7" w:name="_Ref39473761"/>
      <w:bookmarkStart w:id="8" w:name="_Ref39474188"/>
      <w:bookmarkStart w:id="9" w:name="_Ref39473754"/>
      <w:r w:rsidRPr="00814A92">
        <w:rPr>
          <w:rFonts w:asciiTheme="minorHAnsi" w:eastAsiaTheme="minorEastAsia" w:hAnsiTheme="minorHAnsi"/>
          <w:lang w:val="en-GB" w:eastAsia="lt-LT"/>
        </w:rPr>
        <w:t>The Contracting Authority will not carry out a site inspection.</w:t>
      </w:r>
    </w:p>
    <w:p w14:paraId="171F1B05" w14:textId="77777777" w:rsidR="00F729CD" w:rsidRPr="00814A92" w:rsidRDefault="00000000">
      <w:pPr>
        <w:pStyle w:val="Antrat1"/>
        <w:spacing w:line="20" w:lineRule="atLeast"/>
        <w:contextualSpacing/>
        <w:rPr>
          <w:rFonts w:asciiTheme="minorHAnsi" w:hAnsiTheme="minorHAnsi" w:cstheme="minorHAnsi"/>
          <w:lang w:val="en-GB"/>
        </w:rPr>
      </w:pPr>
      <w:bookmarkStart w:id="10" w:name="_Toc23480"/>
      <w:r w:rsidRPr="00814A92">
        <w:rPr>
          <w:rFonts w:cstheme="majorHAnsi"/>
          <w:lang w:val="en-GB"/>
        </w:rPr>
        <w:lastRenderedPageBreak/>
        <w:t xml:space="preserve">4. </w:t>
      </w:r>
      <w:bookmarkEnd w:id="7"/>
      <w:bookmarkEnd w:id="8"/>
      <w:bookmarkEnd w:id="9"/>
      <w:r w:rsidRPr="00814A92">
        <w:rPr>
          <w:rFonts w:asciiTheme="minorHAnsi" w:hAnsiTheme="minorHAnsi"/>
          <w:lang w:val="en-GB"/>
        </w:rPr>
        <w:t>Grounds for exclusion of suppliers and qualification requirements</w:t>
      </w:r>
      <w:bookmarkEnd w:id="10"/>
    </w:p>
    <w:p w14:paraId="1F5C564D" w14:textId="77777777" w:rsidR="00F729CD" w:rsidRPr="00814A92" w:rsidRDefault="00000000">
      <w:pPr>
        <w:pStyle w:val="Sraopastraipa"/>
        <w:spacing w:after="120" w:line="20" w:lineRule="atLeast"/>
        <w:ind w:left="0" w:firstLine="567"/>
        <w:jc w:val="both"/>
        <w:rPr>
          <w:lang w:val="en-GB"/>
        </w:rPr>
      </w:pPr>
      <w:r w:rsidRPr="00814A92">
        <w:rPr>
          <w:lang w:val="en-GB"/>
        </w:rPr>
        <w:t xml:space="preserve">4.1. The requirements regarding the absence of grounds for exclusion of the supplier and of subcontractors (if applicable), the absence of economic operators on whose capacity the supplier relies, and the documents confirming their absence, are set out in Annex 3 to the Special Conditions. </w:t>
      </w:r>
    </w:p>
    <w:p w14:paraId="34678664" w14:textId="0589BCC8" w:rsidR="00F729CD" w:rsidRPr="00814A92" w:rsidRDefault="00000000">
      <w:pPr>
        <w:pStyle w:val="Sraopastraipa"/>
        <w:tabs>
          <w:tab w:val="left" w:pos="851"/>
        </w:tabs>
        <w:spacing w:after="0" w:line="20" w:lineRule="atLeast"/>
        <w:ind w:left="0" w:firstLine="567"/>
        <w:jc w:val="both"/>
        <w:rPr>
          <w:highlight w:val="yellow"/>
          <w:lang w:val="en-GB"/>
        </w:rPr>
      </w:pPr>
      <w:r w:rsidRPr="00814A92">
        <w:rPr>
          <w:lang w:val="en-GB"/>
        </w:rPr>
        <w:t>4.2.</w:t>
      </w:r>
      <w:r w:rsidR="00814A92" w:rsidRPr="00814A92">
        <w:rPr>
          <w:lang w:val="en-GB"/>
        </w:rPr>
        <w:t xml:space="preserve"> </w:t>
      </w:r>
      <w:r w:rsidRPr="00814A92">
        <w:rPr>
          <w:lang w:val="en-GB"/>
        </w:rPr>
        <w:t xml:space="preserve">There are no qualification requirements for suppliers. </w:t>
      </w:r>
    </w:p>
    <w:p w14:paraId="029B6992" w14:textId="101BFAE8" w:rsidR="00F729CD" w:rsidRPr="00814A92" w:rsidRDefault="00000000">
      <w:pPr>
        <w:pStyle w:val="Antrat1"/>
        <w:tabs>
          <w:tab w:val="left" w:pos="567"/>
        </w:tabs>
        <w:spacing w:after="0"/>
        <w:contextualSpacing/>
        <w:jc w:val="both"/>
        <w:rPr>
          <w:rFonts w:cstheme="minorBidi"/>
          <w:lang w:val="en-GB"/>
        </w:rPr>
      </w:pPr>
      <w:bookmarkStart w:id="11" w:name="_Toc12184"/>
      <w:r w:rsidRPr="00814A92">
        <w:rPr>
          <w:rFonts w:asciiTheme="minorHAnsi" w:hAnsiTheme="minorHAnsi" w:cstheme="minorHAnsi"/>
          <w:lang w:val="en-GB"/>
        </w:rPr>
        <w:t>5.</w:t>
      </w:r>
      <w:r w:rsidR="00814A92" w:rsidRPr="00814A92">
        <w:rPr>
          <w:rFonts w:asciiTheme="minorHAnsi" w:hAnsiTheme="minorHAnsi" w:cstheme="minorHAnsi"/>
          <w:lang w:val="en-GB"/>
        </w:rPr>
        <w:t xml:space="preserve"> </w:t>
      </w:r>
      <w:r w:rsidRPr="00814A92">
        <w:rPr>
          <w:rFonts w:ascii="Calibri" w:hAnsi="Calibri"/>
          <w:lang w:val="en-GB"/>
        </w:rPr>
        <w:t>National security requirements</w:t>
      </w:r>
      <w:bookmarkEnd w:id="11"/>
    </w:p>
    <w:p w14:paraId="1F2DC535"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5.1. </w:t>
      </w:r>
      <w:r w:rsidRPr="00814A92">
        <w:rPr>
          <w:color w:val="000000" w:themeColor="text1"/>
          <w:lang w:val="en-GB"/>
        </w:rPr>
        <w:t xml:space="preserve">The provisions of the Regulation apply to the procurement. Together with the tender, the supplier must submit a completed declaration of (non-)compliance with the provisions of the Regulation, which is set out in Annex 11 (for a legal person) and Annex 12 (for a natural person) to the Special Conditions. In case of doubt as to the supplier’s (non-)compliance with the provisions of the Regulation, the Contracting Authority will request the potential successful tenderer to provide documents proving the correctness of the information given in the declaration.    </w:t>
      </w:r>
    </w:p>
    <w:p w14:paraId="39F33A74"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5.2. </w:t>
      </w:r>
      <w:r w:rsidRPr="00814A92">
        <w:rPr>
          <w:color w:val="000000" w:themeColor="text1"/>
          <w:lang w:val="en-GB"/>
        </w:rPr>
        <w:t>When the Contracting Authority has established that a subcontractor or an economic operator whose capacities are relied on by the supplier meets the restrictions laid down in Article 5k of the Regulation, it will require the supplier to replace them with other entities which comply with the requirements of the Procurement Conditions.</w:t>
      </w:r>
    </w:p>
    <w:p w14:paraId="43164776"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5.3. </w:t>
      </w:r>
      <w:r w:rsidRPr="00814A92">
        <w:rPr>
          <w:iCs/>
          <w:color w:val="000000" w:themeColor="text1"/>
          <w:lang w:val="en-GB"/>
        </w:rPr>
        <w:t>The Contracting Authority will reject the supplier’s tender if at least one of the conditions referred to in Article 45(2</w:t>
      </w:r>
      <w:r w:rsidRPr="00814A92">
        <w:rPr>
          <w:iCs/>
          <w:color w:val="000000" w:themeColor="text1"/>
          <w:vertAlign w:val="superscript"/>
          <w:lang w:val="en-GB"/>
        </w:rPr>
        <w:t>1</w:t>
      </w:r>
      <w:r w:rsidRPr="00814A92">
        <w:rPr>
          <w:iCs/>
          <w:color w:val="000000" w:themeColor="text1"/>
          <w:lang w:val="en-GB"/>
        </w:rPr>
        <w:t xml:space="preserve">)(1) to (6) of the Public Procurement Law is not fulfilled. </w:t>
      </w:r>
      <w:r w:rsidRPr="00814A92">
        <w:rPr>
          <w:b/>
          <w:bCs/>
          <w:iCs/>
          <w:color w:val="000000" w:themeColor="text1"/>
          <w:lang w:val="en-GB"/>
        </w:rPr>
        <w:t>The supplier must submit with the tender a free-form declaration of conformity</w:t>
      </w:r>
      <w:r w:rsidRPr="00814A92">
        <w:rPr>
          <w:iCs/>
          <w:color w:val="000000" w:themeColor="text1"/>
          <w:lang w:val="en-GB"/>
        </w:rPr>
        <w:t xml:space="preserve"> (see sample form in Annex 8 to the Special Conditions).   </w:t>
      </w:r>
    </w:p>
    <w:p w14:paraId="48C0531B"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5.4. </w:t>
      </w:r>
      <w:r w:rsidRPr="00814A92">
        <w:rPr>
          <w:lang w:val="en-GB"/>
        </w:rPr>
        <w:t>If the Contracting Authority has doubts as to the correctness of the information provided in the supplier’s free-form declaration, it will ask the supplier submitting the most economically advantageous tender to provide</w:t>
      </w:r>
      <w:r w:rsidRPr="00814A92">
        <w:rPr>
          <w:rFonts w:cstheme="minorHAnsi"/>
          <w:bCs/>
          <w:vertAlign w:val="superscript"/>
          <w:lang w:val="en-GB"/>
        </w:rPr>
        <w:footnoteReference w:id="1"/>
      </w:r>
      <w:r w:rsidRPr="00814A92">
        <w:rPr>
          <w:rFonts w:cstheme="minorHAnsi"/>
          <w:bCs/>
          <w:iCs/>
          <w:lang w:val="en-GB"/>
        </w:rPr>
        <w:t xml:space="preserve"> </w:t>
      </w:r>
      <w:r w:rsidRPr="00814A92">
        <w:rPr>
          <w:lang w:val="en-GB"/>
        </w:rPr>
        <w:t>the documents and/or explanations referred to in Article 51(12) of the Public Procurement Law (a copy of the legal entity’s constitutional documents, certified by the head of the legal entity, an extended extract from the Register of Legal Entities with a history, an extract from the Information System for Participants in Legal Entities, a copy of the identity document (ID card or passport), a copy of the authorisation to engage in the relevant economic activity (e.g. a copy of a business license, individual activity certificate, etc.), a statement of declared place of residence, or the relevant documents from a Member State or third country), or any other documents and/or explanations to the satisfaction of the contracting authority, to confirm the information provided in this declaration.</w:t>
      </w:r>
      <w:r w:rsidRPr="00814A92">
        <w:rPr>
          <w:rFonts w:cstheme="minorHAnsi"/>
          <w:lang w:val="en-GB"/>
        </w:rPr>
        <w:t xml:space="preserve"> </w:t>
      </w:r>
      <w:r w:rsidRPr="00814A92">
        <w:rPr>
          <w:lang w:val="en-GB"/>
        </w:rPr>
        <w:t xml:space="preserve">The Contracting Authority may request such documents and/or clarifications at any time during the procurement procedure in order to ensure the proper conduct of the procurement procedure. Documents which do not specify a time limit for their validity must be issued or printed from the information system not earlier than 3 months before the date on which the supplier is requested by the Contracting Authority to provide the documents.  </w:t>
      </w:r>
    </w:p>
    <w:p w14:paraId="15411977" w14:textId="77777777" w:rsidR="00F729CD" w:rsidRPr="00814A92" w:rsidRDefault="00000000">
      <w:pPr>
        <w:pStyle w:val="Sraopastraipa"/>
        <w:spacing w:after="0" w:line="240" w:lineRule="auto"/>
        <w:ind w:left="0" w:firstLine="567"/>
        <w:jc w:val="both"/>
        <w:rPr>
          <w:iCs/>
          <w:lang w:val="en-GB"/>
        </w:rPr>
      </w:pPr>
      <w:r w:rsidRPr="00814A92">
        <w:rPr>
          <w:iCs/>
          <w:lang w:val="en-GB"/>
        </w:rPr>
        <w:t>5.5.</w:t>
      </w:r>
      <w:r w:rsidRPr="00814A92">
        <w:rPr>
          <w:rFonts w:ascii="Times New Roman" w:hAnsi="Times New Roman" w:cs="Times New Roman"/>
          <w:iCs/>
          <w:sz w:val="24"/>
          <w:szCs w:val="24"/>
          <w:lang w:val="en-GB"/>
        </w:rPr>
        <w:t xml:space="preserve"> </w:t>
      </w:r>
      <w:r w:rsidRPr="00814A92">
        <w:rPr>
          <w:bCs/>
          <w:iCs/>
          <w:lang w:val="en-GB"/>
        </w:rPr>
        <w:t xml:space="preserve">The Contracting Authority may, in order to assess the conformity of the supplier, its subcontractor, the entity whose capacities are relied upon, the manufacturers of the goods (including their components, packaging) </w:t>
      </w:r>
      <w:r w:rsidRPr="00814A92">
        <w:rPr>
          <w:bCs/>
          <w:iCs/>
          <w:lang w:val="en-GB"/>
        </w:rPr>
        <w:lastRenderedPageBreak/>
        <w:t>proposed by the supplier, or the persons controlling them, with the requirement, request the competent authorities to provide information concerning these entities.</w:t>
      </w:r>
    </w:p>
    <w:p w14:paraId="7D7A97DC" w14:textId="77777777" w:rsidR="00F729CD" w:rsidRPr="00814A92" w:rsidRDefault="00000000">
      <w:pPr>
        <w:pStyle w:val="Sraopastraipa"/>
        <w:spacing w:after="0" w:line="240" w:lineRule="auto"/>
        <w:ind w:left="0" w:firstLine="567"/>
        <w:jc w:val="both"/>
        <w:rPr>
          <w:lang w:val="en-GB"/>
        </w:rPr>
      </w:pPr>
      <w:r w:rsidRPr="00814A92">
        <w:rPr>
          <w:lang w:val="en-GB"/>
        </w:rPr>
        <w:t>5.6.</w:t>
      </w:r>
      <w:r w:rsidRPr="00814A92">
        <w:rPr>
          <w:rFonts w:ascii="Times New Roman" w:eastAsia="Times New Roman" w:hAnsi="Times New Roman" w:cs="Times New Roman"/>
          <w:sz w:val="24"/>
          <w:szCs w:val="24"/>
          <w:lang w:val="en-GB"/>
        </w:rPr>
        <w:t xml:space="preserve"> </w:t>
      </w:r>
      <w:r w:rsidRPr="00814A92">
        <w:rPr>
          <w:lang w:val="en-GB"/>
        </w:rPr>
        <w:t>In order to ensure that only reliable suppliers, whose activities do not conflict with the national security interests and policies of the Republic of Lithuania, perform the procurement contract, the contracting authority requires the supplier to comply with the provisions of clause 49 of the Code of Ethics for Suppliers (hereafter referred to as the Code) during the performance of the contract (https://vpt.lrv.lt/media/viesa/saugykla/2024/1/w2fscibRf-4. pdf), that is, the Supplier must not carry out activities in countries conducting military aggression against Ukraine and/or not be a member of a group of companies, any member of which carries out activities in countries conducting military aggression against Ukraine and/or not participate in the activities of such a group of companies through its manager, members of any other management or supervisory body, or any other person(s) having the right to represent or control the supplier, to take a decision on its behalf, to enter into a transaction, or to draw up and sign the supplier's financial accounting documents. The supplier must also not rely on the capacities and/or enter into subcontracting agreement(s) with subsupplier(s) not fulfilling this condition. The supplier must ensure that all third parties (subsuppliers and other economic operators on whose behalf the supplier relies) used by the supplier comply with the above-mentioned provisions of the Code.</w:t>
      </w:r>
      <w:r w:rsidRPr="00814A92">
        <w:rPr>
          <w:b/>
          <w:bCs/>
          <w:lang w:val="en-GB"/>
        </w:rPr>
        <w:t xml:space="preserve"> Suppliers must submit with their tender a declaration of non-aggression against Ukraine in accordance with the form set out in Annex 9 to the Special Procurement Conditions. In the case of a group of suppliers, the declaration shall be signed by an authorised participant.     </w:t>
      </w:r>
    </w:p>
    <w:p w14:paraId="6320C483" w14:textId="77777777" w:rsidR="00F729CD" w:rsidRPr="00814A92" w:rsidRDefault="00000000">
      <w:pPr>
        <w:pStyle w:val="Antrat1"/>
        <w:spacing w:line="20" w:lineRule="atLeast"/>
        <w:contextualSpacing/>
        <w:rPr>
          <w:rFonts w:asciiTheme="minorHAnsi" w:hAnsiTheme="minorHAnsi" w:cstheme="minorBidi"/>
          <w:lang w:val="en-GB"/>
        </w:rPr>
      </w:pPr>
      <w:bookmarkStart w:id="12" w:name="_Ref39666794"/>
      <w:bookmarkStart w:id="13" w:name="_Ref39666796"/>
      <w:bookmarkStart w:id="14" w:name="_Toc1602"/>
      <w:r w:rsidRPr="00814A92">
        <w:rPr>
          <w:rFonts w:asciiTheme="minorHAnsi" w:hAnsiTheme="minorHAnsi" w:cstheme="minorBidi"/>
          <w:lang w:val="en-GB"/>
        </w:rPr>
        <w:t xml:space="preserve">6. </w:t>
      </w:r>
      <w:bookmarkEnd w:id="12"/>
      <w:bookmarkEnd w:id="13"/>
      <w:r w:rsidRPr="00814A92">
        <w:rPr>
          <w:rFonts w:asciiTheme="minorHAnsi" w:hAnsiTheme="minorHAnsi" w:cstheme="minorBidi"/>
          <w:lang w:val="en-GB"/>
        </w:rPr>
        <w:t>Special requirements for the preparation and submission of tenders</w:t>
      </w:r>
      <w:bookmarkEnd w:id="14"/>
    </w:p>
    <w:p w14:paraId="7B1FBD83" w14:textId="77777777" w:rsidR="00F729CD" w:rsidRPr="00814A92" w:rsidRDefault="00000000">
      <w:pPr>
        <w:spacing w:after="0" w:line="20" w:lineRule="atLeast"/>
        <w:ind w:firstLine="709"/>
        <w:jc w:val="both"/>
        <w:rPr>
          <w:rFonts w:ascii="Calibri" w:hAnsi="Calibri" w:cs="Calibri"/>
          <w:i/>
          <w:iCs/>
          <w:color w:val="7030A0"/>
          <w:lang w:val="en-GB"/>
        </w:rPr>
      </w:pPr>
      <w:r w:rsidRPr="00814A92">
        <w:rPr>
          <w:rFonts w:ascii="Calibri" w:hAnsi="Calibri" w:cs="Calibri"/>
          <w:lang w:val="en-GB"/>
        </w:rPr>
        <w:t>6.1. The supplier’s tender shall consist of a set of documents to be submitted to the CPP IS and listed below:</w:t>
      </w:r>
    </w:p>
    <w:p w14:paraId="0BB64853"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lang w:val="en-GB"/>
        </w:rPr>
        <w:t>a tender signed by the supplier in accordance with the tender form set out in Annex 6 to the Special Procurement Conditions.</w:t>
      </w:r>
    </w:p>
    <w:p w14:paraId="6B0143D5"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 xml:space="preserve">a completed ESPD (Annex 5 to the Special Procurement Conditions). By signing the tender, the supplier shall also certify the authenticity of the ESPD; </w:t>
      </w:r>
    </w:p>
    <w:p w14:paraId="2A943E9D"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copy of the joint-operation agreement (if the procurement involves a group of economic operators on the basis of a joint-operation agreement);</w:t>
      </w:r>
    </w:p>
    <w:p w14:paraId="1432C6CF"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document certifying that the person who signed the tender (if other than the supplier's manager) was authorised to sign it;</w:t>
      </w:r>
    </w:p>
    <w:p w14:paraId="7B01A865"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if the supplier uses economic operators on whose behalf it relies, evidence that these resources will be available throughout the period of performance of the contractual obligations;</w:t>
      </w:r>
    </w:p>
    <w:p w14:paraId="09A6298C"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 xml:space="preserve"> if the supplier uses subcontractors, a declaration by the subcontractor or any other document confirming his agreement to be a subcontractor in the contract;</w:t>
      </w:r>
    </w:p>
    <w:p w14:paraId="4694A744"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free-form declaration of compliance with the conditions referred to in Article 45(2</w:t>
      </w:r>
      <w:r w:rsidRPr="00814A92">
        <w:rPr>
          <w:rFonts w:cstheme="minorHAnsi"/>
          <w:vertAlign w:val="superscript"/>
          <w:lang w:val="en-GB"/>
        </w:rPr>
        <w:t>1</w:t>
      </w:r>
      <w:r w:rsidRPr="00814A92">
        <w:rPr>
          <w:rFonts w:cstheme="minorHAnsi"/>
          <w:lang w:val="en-GB"/>
        </w:rPr>
        <w:t>)(1), (3), (6) of the Public Procurement Law;</w:t>
      </w:r>
    </w:p>
    <w:p w14:paraId="4FE1B983" w14:textId="77777777" w:rsidR="00F729CD" w:rsidRPr="00814A92" w:rsidRDefault="00000000">
      <w:pPr>
        <w:pStyle w:val="Sraopastraipa"/>
        <w:numPr>
          <w:ilvl w:val="2"/>
          <w:numId w:val="6"/>
        </w:numPr>
        <w:spacing w:after="0" w:line="240" w:lineRule="auto"/>
        <w:ind w:left="0" w:firstLine="709"/>
        <w:jc w:val="both"/>
        <w:rPr>
          <w:rFonts w:cstheme="minorHAnsi"/>
          <w:lang w:val="en-GB"/>
        </w:rPr>
      </w:pPr>
      <w:r w:rsidRPr="00814A92">
        <w:rPr>
          <w:rFonts w:cstheme="minorHAnsi"/>
          <w:lang w:val="en-GB"/>
        </w:rPr>
        <w:t>a declaration of non-performance of activities in countries conducting aggression against Ukraine (in accordance with the form set out in Annex 9 to the Special Procurement Conditions);</w:t>
      </w:r>
    </w:p>
    <w:p w14:paraId="2196C051" w14:textId="77777777" w:rsidR="00F729CD" w:rsidRPr="00814A92" w:rsidRDefault="00000000">
      <w:pPr>
        <w:pStyle w:val="Sraopastraipa"/>
        <w:numPr>
          <w:ilvl w:val="2"/>
          <w:numId w:val="6"/>
        </w:numPr>
        <w:spacing w:after="0" w:line="240" w:lineRule="auto"/>
        <w:ind w:left="0" w:firstLine="709"/>
        <w:jc w:val="both"/>
        <w:rPr>
          <w:rFonts w:cstheme="minorHAnsi"/>
          <w:lang w:val="en-GB"/>
        </w:rPr>
      </w:pPr>
      <w:r w:rsidRPr="00814A92">
        <w:rPr>
          <w:rFonts w:cstheme="minorHAnsi"/>
          <w:lang w:val="en-GB"/>
        </w:rPr>
        <w:t>a declaration of (non-)compliance with the provisions of the Regulation (drawn up in accordance with the form set out in Annex 11 (for a legal person) and Annex 12 (for a natural person) to the Special Procurement Conditions);</w:t>
      </w:r>
    </w:p>
    <w:p w14:paraId="2F5CA238" w14:textId="77777777" w:rsidR="00F729CD" w:rsidRPr="00814A92" w:rsidRDefault="00000000">
      <w:pPr>
        <w:pStyle w:val="Sraopastraipa"/>
        <w:numPr>
          <w:ilvl w:val="2"/>
          <w:numId w:val="6"/>
        </w:numPr>
        <w:spacing w:after="0" w:line="240" w:lineRule="auto"/>
        <w:ind w:left="0" w:firstLine="709"/>
        <w:jc w:val="both"/>
        <w:rPr>
          <w:rFonts w:cstheme="minorHAnsi"/>
          <w:lang w:val="en-GB"/>
        </w:rPr>
      </w:pPr>
      <w:bookmarkStart w:id="15" w:name="_Hlk181607729"/>
      <w:r w:rsidRPr="00814A92">
        <w:rPr>
          <w:rFonts w:cstheme="minorHAnsi"/>
          <w:lang w:val="en-GB"/>
        </w:rPr>
        <w:t xml:space="preserve"> documentation demonstrating that the supplier has its own 24/7 operational support and dispatch centre.</w:t>
      </w:r>
    </w:p>
    <w:bookmarkEnd w:id="15"/>
    <w:p w14:paraId="0FC7FA11" w14:textId="77777777" w:rsidR="00F729CD" w:rsidRPr="00814A92" w:rsidRDefault="00000000">
      <w:pPr>
        <w:spacing w:after="0" w:line="240" w:lineRule="auto"/>
        <w:ind w:firstLine="709"/>
        <w:jc w:val="both"/>
        <w:rPr>
          <w:u w:val="single"/>
          <w:lang w:val="en-GB"/>
        </w:rPr>
      </w:pPr>
      <w:r w:rsidRPr="00814A92">
        <w:rPr>
          <w:rFonts w:cstheme="minorHAnsi"/>
          <w:lang w:val="en-GB"/>
        </w:rPr>
        <w:t xml:space="preserve">6.2. </w:t>
      </w:r>
      <w:r w:rsidRPr="00814A92">
        <w:rPr>
          <w:rFonts w:eastAsia="Calibri" w:cstheme="minorHAnsi"/>
          <w:lang w:val="en-GB"/>
        </w:rPr>
        <w:t xml:space="preserve">The tender may be signed with a physical signature or with a qualified electronic signature. If the supplier certifies the documents by means of an electronic signature rather than a physical signature, the electronic signature shall comply with the requirements laid down in Article 22(11)(2) and (3) of the Public Procurement Law. If the </w:t>
      </w:r>
      <w:r w:rsidRPr="00814A92">
        <w:rPr>
          <w:rFonts w:eastAsia="Calibri" w:cstheme="minorHAnsi"/>
          <w:lang w:val="en-GB"/>
        </w:rPr>
        <w:lastRenderedPageBreak/>
        <w:t>Contracting Authority has doubts as to the authenticity of the documents, it shall have the right to request the original documents.</w:t>
      </w:r>
      <w:r w:rsidRPr="00814A92">
        <w:rPr>
          <w:rFonts w:eastAsia="Calibri"/>
          <w:lang w:val="en-GB"/>
        </w:rPr>
        <w:t xml:space="preserve"> May be:</w:t>
      </w:r>
    </w:p>
    <w:p w14:paraId="05D108BD" w14:textId="77777777" w:rsidR="00F729CD" w:rsidRPr="00814A92" w:rsidRDefault="00000000">
      <w:pPr>
        <w:pStyle w:val="Sraopastraipa"/>
        <w:spacing w:after="0" w:line="240" w:lineRule="auto"/>
        <w:ind w:left="0" w:firstLine="709"/>
        <w:jc w:val="both"/>
        <w:rPr>
          <w:rFonts w:cstheme="minorHAnsi"/>
          <w:bCs/>
          <w:iCs/>
          <w:u w:val="single"/>
          <w:lang w:val="en-GB"/>
        </w:rPr>
      </w:pPr>
      <w:r w:rsidRPr="00814A92">
        <w:rPr>
          <w:rFonts w:eastAsia="Calibri" w:cstheme="minorHAnsi"/>
          <w:bCs/>
          <w:iCs/>
          <w:lang w:val="en-GB"/>
        </w:rPr>
        <w:t>6.2.1 documents generated by electronic means and signed with a qualified electronic signature;</w:t>
      </w:r>
    </w:p>
    <w:p w14:paraId="3F48F4BB" w14:textId="77777777" w:rsidR="00F729CD" w:rsidRPr="00814A92" w:rsidRDefault="00000000">
      <w:pPr>
        <w:pStyle w:val="Sraopastraipa"/>
        <w:numPr>
          <w:ilvl w:val="2"/>
          <w:numId w:val="7"/>
        </w:numPr>
        <w:tabs>
          <w:tab w:val="left" w:pos="1418"/>
        </w:tabs>
        <w:spacing w:after="0" w:line="240" w:lineRule="auto"/>
        <w:ind w:left="0" w:firstLine="709"/>
        <w:jc w:val="both"/>
        <w:rPr>
          <w:rFonts w:cstheme="minorHAnsi"/>
          <w:bCs/>
          <w:iCs/>
          <w:lang w:val="en-GB"/>
        </w:rPr>
      </w:pPr>
      <w:r w:rsidRPr="00814A92">
        <w:rPr>
          <w:rFonts w:eastAsia="Calibri" w:cstheme="minorHAnsi"/>
          <w:bCs/>
          <w:iCs/>
          <w:lang w:val="en-GB"/>
        </w:rPr>
        <w:t>digital copies of documents (documents certified by a physical signature must be signed and scanned).</w:t>
      </w:r>
    </w:p>
    <w:p w14:paraId="6CE17B01" w14:textId="77777777" w:rsidR="00F729CD" w:rsidRPr="00814A92" w:rsidRDefault="00000000">
      <w:pPr>
        <w:pStyle w:val="Sraopastraipa"/>
        <w:numPr>
          <w:ilvl w:val="1"/>
          <w:numId w:val="8"/>
        </w:numPr>
        <w:spacing w:after="0" w:line="240" w:lineRule="auto"/>
        <w:ind w:left="0" w:firstLine="709"/>
        <w:jc w:val="both"/>
        <w:rPr>
          <w:lang w:val="en-GB"/>
        </w:rPr>
      </w:pPr>
      <w:r w:rsidRPr="00814A92">
        <w:rPr>
          <w:lang w:val="en-GB"/>
        </w:rPr>
        <w:t>The tender must be written in Lithuanian or English. If any of the documents submitted with the tender are not in the language requested, an accurate translation into the language requested must be provided. If the Contracting Authority has doubts as to the quality of the translation of a document in the tender and/or its conformity with the content of the original document, it shall require that the signature of the person who carried out the translation be notarised.</w:t>
      </w:r>
    </w:p>
    <w:p w14:paraId="2138C3BC" w14:textId="77777777" w:rsidR="00F729CD" w:rsidRPr="00814A92" w:rsidRDefault="00000000">
      <w:pPr>
        <w:pStyle w:val="Sraopastraipa"/>
        <w:numPr>
          <w:ilvl w:val="1"/>
          <w:numId w:val="9"/>
        </w:numPr>
        <w:spacing w:after="0" w:line="240" w:lineRule="auto"/>
        <w:ind w:left="0" w:firstLine="709"/>
        <w:jc w:val="both"/>
        <w:rPr>
          <w:rFonts w:cstheme="minorHAnsi"/>
          <w:lang w:val="en-GB"/>
        </w:rPr>
      </w:pPr>
      <w:r w:rsidRPr="00814A92">
        <w:rPr>
          <w:rFonts w:eastAsia="Arial"/>
          <w:lang w:val="en-GB"/>
        </w:rPr>
        <w:t>The total price (cost) of the tender, including VAT, must be indicated to two decimal places. The price components or rates constituting this price may be expressed without limitation as to the number of decimal places.</w:t>
      </w:r>
      <w:r w:rsidRPr="00814A92">
        <w:rPr>
          <w:rFonts w:ascii="Arial" w:eastAsia="Arial" w:hAnsi="Arial" w:cs="Arial"/>
          <w:lang w:val="en-GB"/>
        </w:rPr>
        <w:t xml:space="preserve"> </w:t>
      </w:r>
    </w:p>
    <w:p w14:paraId="19B9CC34" w14:textId="77777777" w:rsidR="00F729CD" w:rsidRPr="00814A92" w:rsidRDefault="00000000">
      <w:pPr>
        <w:pStyle w:val="Sraopastraipa"/>
        <w:numPr>
          <w:ilvl w:val="1"/>
          <w:numId w:val="9"/>
        </w:numPr>
        <w:spacing w:line="240" w:lineRule="auto"/>
        <w:ind w:left="0" w:firstLine="710"/>
        <w:jc w:val="both"/>
        <w:rPr>
          <w:rFonts w:cstheme="minorHAnsi"/>
          <w:lang w:val="en-GB"/>
        </w:rPr>
      </w:pPr>
      <w:r w:rsidRPr="00814A92">
        <w:rPr>
          <w:rFonts w:eastAsia="Arial"/>
          <w:lang w:val="en-GB"/>
        </w:rPr>
        <w:t>The prices quoted in the suppliers’ tenders will be evaluated and compared with all taxes, including VAT.</w:t>
      </w:r>
    </w:p>
    <w:p w14:paraId="07DBB69E" w14:textId="77777777" w:rsidR="00F729CD" w:rsidRPr="00814A92" w:rsidRDefault="00000000">
      <w:pPr>
        <w:pStyle w:val="Antrat1"/>
        <w:numPr>
          <w:ilvl w:val="0"/>
          <w:numId w:val="9"/>
        </w:numPr>
        <w:tabs>
          <w:tab w:val="left" w:pos="709"/>
        </w:tabs>
        <w:rPr>
          <w:rFonts w:asciiTheme="minorHAnsi" w:hAnsiTheme="minorHAnsi" w:cstheme="minorHAnsi"/>
          <w:lang w:val="en-GB"/>
        </w:rPr>
      </w:pPr>
      <w:bookmarkStart w:id="16" w:name="_Toc91497105"/>
      <w:bookmarkStart w:id="17" w:name="_Toc91497104"/>
      <w:bookmarkStart w:id="18" w:name="_Toc91497106"/>
      <w:bookmarkStart w:id="19" w:name="_Toc91497103"/>
      <w:bookmarkStart w:id="20" w:name="_Toc91497102"/>
      <w:bookmarkStart w:id="21" w:name="_Toc31892"/>
      <w:bookmarkEnd w:id="16"/>
      <w:bookmarkEnd w:id="17"/>
      <w:bookmarkEnd w:id="18"/>
      <w:bookmarkEnd w:id="19"/>
      <w:bookmarkEnd w:id="20"/>
      <w:r w:rsidRPr="00814A92">
        <w:rPr>
          <w:rFonts w:asciiTheme="minorHAnsi" w:hAnsiTheme="minorHAnsi" w:cstheme="minorHAnsi"/>
          <w:lang w:val="en-GB"/>
        </w:rPr>
        <w:t>Ensuring the validity of the tender</w:t>
      </w:r>
      <w:bookmarkEnd w:id="21"/>
    </w:p>
    <w:p w14:paraId="12F98911" w14:textId="77777777" w:rsidR="00F729CD" w:rsidRPr="00814A92" w:rsidRDefault="00000000">
      <w:pPr>
        <w:spacing w:after="0" w:line="240" w:lineRule="auto"/>
        <w:jc w:val="both"/>
        <w:rPr>
          <w:rFonts w:eastAsia="Calibri"/>
          <w:lang w:val="en-GB"/>
        </w:rPr>
      </w:pPr>
      <w:r w:rsidRPr="00814A92">
        <w:rPr>
          <w:lang w:val="en-GB"/>
        </w:rPr>
        <w:t xml:space="preserve">               7.1.  </w:t>
      </w:r>
      <w:r w:rsidRPr="00814A92">
        <w:rPr>
          <w:rFonts w:eastAsia="Calibri"/>
          <w:lang w:val="en-GB"/>
        </w:rPr>
        <w:t>The Contracting Authority does not require the validity of the tender to be guaranteed, but reserves the right to apply to the courts for compensation for damages resulting from the supplier’s modification or withdrawal of its tender or the successful tenderer’s refusal to award the contract during the period of validity of the tender.</w:t>
      </w:r>
    </w:p>
    <w:p w14:paraId="0A0C1776" w14:textId="77777777" w:rsidR="00F729CD" w:rsidRPr="00814A92" w:rsidRDefault="00000000">
      <w:pPr>
        <w:pStyle w:val="Antrat1"/>
        <w:numPr>
          <w:ilvl w:val="0"/>
          <w:numId w:val="9"/>
        </w:numPr>
        <w:tabs>
          <w:tab w:val="left" w:pos="709"/>
        </w:tabs>
        <w:spacing w:line="20" w:lineRule="atLeast"/>
        <w:contextualSpacing/>
        <w:rPr>
          <w:rFonts w:asciiTheme="minorHAnsi" w:hAnsiTheme="minorHAnsi" w:cstheme="minorHAnsi"/>
          <w:lang w:val="en-GB"/>
        </w:rPr>
      </w:pPr>
      <w:bookmarkStart w:id="22" w:name="_Toc5918"/>
      <w:bookmarkStart w:id="23" w:name="_Ref39485250"/>
      <w:bookmarkStart w:id="24" w:name="_Ref39485258"/>
      <w:r w:rsidRPr="00814A92">
        <w:rPr>
          <w:rFonts w:asciiTheme="minorHAnsi" w:hAnsiTheme="minorHAnsi" w:cstheme="minorHAnsi"/>
          <w:lang w:val="en-GB"/>
        </w:rPr>
        <w:t>Electronic auction</w:t>
      </w:r>
      <w:bookmarkEnd w:id="22"/>
    </w:p>
    <w:p w14:paraId="0CECCBE2" w14:textId="77777777" w:rsidR="00F729CD" w:rsidRPr="00814A92" w:rsidRDefault="00000000">
      <w:pPr>
        <w:spacing w:after="0" w:line="240" w:lineRule="auto"/>
        <w:ind w:left="710"/>
        <w:rPr>
          <w:rFonts w:cstheme="minorHAnsi"/>
          <w:lang w:val="en-GB"/>
        </w:rPr>
      </w:pPr>
      <w:r w:rsidRPr="00814A92">
        <w:rPr>
          <w:rFonts w:cstheme="minorHAnsi"/>
          <w:lang w:val="en-GB"/>
        </w:rPr>
        <w:t>8.1. The Contracting Authority will not use electronic auctioning in the procurement.</w:t>
      </w:r>
    </w:p>
    <w:p w14:paraId="7356518C" w14:textId="77777777" w:rsidR="00F729CD" w:rsidRPr="00814A92" w:rsidRDefault="00000000">
      <w:pPr>
        <w:pStyle w:val="Antrat1"/>
        <w:numPr>
          <w:ilvl w:val="0"/>
          <w:numId w:val="9"/>
        </w:numPr>
        <w:tabs>
          <w:tab w:val="left" w:pos="709"/>
        </w:tabs>
        <w:spacing w:line="20" w:lineRule="atLeast"/>
        <w:contextualSpacing/>
        <w:rPr>
          <w:rFonts w:asciiTheme="minorHAnsi" w:hAnsiTheme="minorHAnsi" w:cstheme="minorHAnsi"/>
          <w:lang w:val="en-GB"/>
        </w:rPr>
      </w:pPr>
      <w:bookmarkStart w:id="25" w:name="_Toc18867"/>
      <w:bookmarkEnd w:id="23"/>
      <w:bookmarkEnd w:id="24"/>
      <w:r w:rsidRPr="00814A92">
        <w:rPr>
          <w:rFonts w:asciiTheme="minorHAnsi" w:hAnsiTheme="minorHAnsi" w:cstheme="minorHAnsi"/>
          <w:lang w:val="en-GB"/>
        </w:rPr>
        <w:t>Evaluation of tenders</w:t>
      </w:r>
      <w:bookmarkEnd w:id="25"/>
    </w:p>
    <w:p w14:paraId="51836DC1" w14:textId="77777777" w:rsidR="00F729CD" w:rsidRPr="00814A92" w:rsidRDefault="00000000">
      <w:pPr>
        <w:spacing w:after="0" w:line="240" w:lineRule="auto"/>
        <w:ind w:firstLine="709"/>
        <w:jc w:val="both"/>
        <w:rPr>
          <w:rFonts w:eastAsia="Calibri"/>
          <w:lang w:val="en-GB"/>
        </w:rPr>
      </w:pPr>
      <w:r w:rsidRPr="00814A92">
        <w:rPr>
          <w:rFonts w:cstheme="minorHAnsi"/>
          <w:lang w:val="en-GB"/>
        </w:rPr>
        <w:t xml:space="preserve">9.1. </w:t>
      </w:r>
      <w:r w:rsidRPr="00814A92">
        <w:rPr>
          <w:rFonts w:eastAsia="Calibri"/>
          <w:lang w:val="en-GB"/>
        </w:rPr>
        <w:t xml:space="preserve">The Contracting Authority shall select the most economically advantageous tender on the basis of the lowest price offered. The data to be provided by the supplier in its tender, the evaluation criteria and the procedure for evaluating the data provided by the supplier are set out in Annex 6 to the Special Procurement Conditions. </w:t>
      </w:r>
    </w:p>
    <w:p w14:paraId="3A1675BB" w14:textId="77777777" w:rsidR="00F729CD" w:rsidRPr="00814A92" w:rsidRDefault="00000000">
      <w:pPr>
        <w:spacing w:after="0" w:line="240" w:lineRule="auto"/>
        <w:ind w:firstLine="709"/>
        <w:jc w:val="both"/>
        <w:rPr>
          <w:rFonts w:eastAsia="Calibri"/>
          <w:lang w:val="en-GB"/>
        </w:rPr>
      </w:pPr>
      <w:r w:rsidRPr="00814A92">
        <w:rPr>
          <w:rFonts w:eastAsia="Calibri"/>
          <w:lang w:val="en-GB"/>
        </w:rPr>
        <w:t xml:space="preserve">9.2. </w:t>
      </w:r>
      <w:r w:rsidRPr="00814A92">
        <w:rPr>
          <w:rFonts w:cstheme="minorHAnsi"/>
          <w:lang w:val="en-GB"/>
        </w:rPr>
        <w:t>Only the 1 (one) most economically advantageous tender at the top of the tender queue can be declared the successful tender.</w:t>
      </w:r>
    </w:p>
    <w:p w14:paraId="0AAF6100" w14:textId="77777777" w:rsidR="00F729CD" w:rsidRPr="00814A92" w:rsidRDefault="00000000">
      <w:pPr>
        <w:pStyle w:val="Antrat1"/>
        <w:numPr>
          <w:ilvl w:val="0"/>
          <w:numId w:val="9"/>
        </w:numPr>
        <w:tabs>
          <w:tab w:val="left" w:pos="567"/>
        </w:tabs>
        <w:spacing w:line="20" w:lineRule="atLeast"/>
        <w:contextualSpacing/>
        <w:rPr>
          <w:rFonts w:asciiTheme="minorHAnsi" w:hAnsiTheme="minorHAnsi" w:cstheme="minorHAnsi"/>
          <w:lang w:val="en-GB"/>
        </w:rPr>
      </w:pPr>
      <w:bookmarkStart w:id="26" w:name="_Toc31562"/>
      <w:r w:rsidRPr="00814A92">
        <w:rPr>
          <w:rFonts w:asciiTheme="minorHAnsi" w:hAnsiTheme="minorHAnsi" w:cstheme="minorHAnsi"/>
          <w:lang w:val="en-GB"/>
        </w:rPr>
        <w:t>Contract conclusion</w:t>
      </w:r>
      <w:bookmarkEnd w:id="26"/>
    </w:p>
    <w:p w14:paraId="0528FD38" w14:textId="77777777" w:rsidR="00F729CD" w:rsidRPr="00814A92" w:rsidRDefault="00000000">
      <w:pPr>
        <w:pStyle w:val="Sraopastraipa"/>
        <w:numPr>
          <w:ilvl w:val="1"/>
          <w:numId w:val="10"/>
        </w:numPr>
        <w:spacing w:after="0" w:line="240" w:lineRule="auto"/>
        <w:ind w:left="0" w:firstLine="567"/>
        <w:jc w:val="both"/>
        <w:rPr>
          <w:lang w:val="en-GB"/>
        </w:rPr>
      </w:pPr>
      <w:r w:rsidRPr="00814A92">
        <w:rPr>
          <w:lang w:val="en-GB"/>
        </w:rPr>
        <w:t>This procurement procedure is carried out with a clear view to concluding a contract with the suppliers whose tenders are declared successful. The terms of the contract are set out in Annex 10 “Draft Contract” to the Special Procurement Conditions.</w:t>
      </w:r>
    </w:p>
    <w:p w14:paraId="1086F403" w14:textId="77777777" w:rsidR="00F729CD" w:rsidRPr="00814A92" w:rsidRDefault="00000000">
      <w:pPr>
        <w:pStyle w:val="Antrat1"/>
        <w:numPr>
          <w:ilvl w:val="0"/>
          <w:numId w:val="10"/>
        </w:numPr>
        <w:tabs>
          <w:tab w:val="left" w:pos="567"/>
        </w:tabs>
        <w:spacing w:line="20" w:lineRule="atLeast"/>
        <w:contextualSpacing/>
        <w:jc w:val="both"/>
        <w:rPr>
          <w:rFonts w:asciiTheme="minorHAnsi" w:hAnsiTheme="minorHAnsi" w:cstheme="minorHAnsi"/>
          <w:b/>
          <w:bCs/>
          <w:lang w:val="en-GB"/>
        </w:rPr>
      </w:pPr>
      <w:bookmarkStart w:id="27" w:name="_Toc23217"/>
      <w:bookmarkEnd w:id="2"/>
      <w:r w:rsidRPr="00814A92">
        <w:rPr>
          <w:rFonts w:asciiTheme="minorHAnsi" w:hAnsiTheme="minorHAnsi" w:cstheme="minorHAnsi"/>
          <w:lang w:val="en-GB"/>
        </w:rPr>
        <w:t>Other conditions</w:t>
      </w:r>
      <w:bookmarkEnd w:id="27"/>
      <w:r w:rsidRPr="00814A92">
        <w:rPr>
          <w:rFonts w:asciiTheme="minorHAnsi" w:hAnsiTheme="minorHAnsi" w:cstheme="minorHAnsi"/>
          <w:lang w:val="en-GB"/>
        </w:rPr>
        <w:t xml:space="preserve"> </w:t>
      </w:r>
    </w:p>
    <w:p w14:paraId="244BC014"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b/>
          <w:bCs/>
          <w:lang w:val="en-GB"/>
        </w:rPr>
        <w:t xml:space="preserve">The declaration by the Supplier, submitted together with the tender, on the non-performance of activities in countries conducting aggression against Ukraine, in accordance with the form set out in Annex 9 to the Special Procurement Conditions, shall form an integral part of the contract to be concluded, without which the </w:t>
      </w:r>
      <w:r w:rsidRPr="00814A92">
        <w:rPr>
          <w:rFonts w:eastAsia="Times New Roman" w:cstheme="minorHAnsi"/>
          <w:b/>
          <w:bCs/>
          <w:lang w:val="en-GB"/>
        </w:rPr>
        <w:lastRenderedPageBreak/>
        <w:t>conclusion and entry into force of the contract shall be impossible.</w:t>
      </w:r>
      <w:r w:rsidRPr="00814A92">
        <w:rPr>
          <w:rFonts w:eastAsia="Times New Roman" w:cstheme="minorHAnsi"/>
          <w:lang w:val="en-GB"/>
        </w:rPr>
        <w:t xml:space="preserve"> If the declaration is found to be false, the contract will be deemed not to have been concluded.  If the declaration is found to be false after the start of the contract, the contract will be terminated.</w:t>
      </w:r>
    </w:p>
    <w:p w14:paraId="09148075"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lang w:val="en-GB"/>
        </w:rPr>
        <w:t>The supplier’s declaration will be considered false if the list of military supporters: https://sanctions.nazk.govua/en/boycott/ includes the supplier himself and/or any member of a group of companies of which the supplier is a member and/or any member of a group of companies if the supplier participates in the activities of that group of companies through his manager, other members of the management or supervisory body, or any other person(s), the person(s) having the power to represent or control the supplier, to take a decision on its behalf, to enter into a transaction, the person(s) having the power to draw up and sign the supplier’s financial accounting documents, and/or any third party used by the supplier (a sub-supplier or any other economic operator on whose behalf the supplier draws). The supplier’s declaration will also be considered false if information is received from the competent authorities concerning any activities of the supplier or its related entities in countries engaged in military aggression against Ukraine.  Unless the supplier provides documentation proving that the activities in the countries conducting military aggression against Ukraine are not taking place (e.g. have already ceased, etc.). In this case, the supplier must provide the Contracting Authority, together with the declaration, with a document proving that the supplier has not carried out activities in countries that are engaged in military aggression against Ukraine. Should the supplier and/or the other entities mentioned above be included in the above list of supporters of the war during the performance of the contract, or should any other information come to light concerning the activities carried out in countries engaged in military aggression against Ukraine, the contract with the supplier will be terminated unless the supplier immediately submits documents proving the non-performance of the said activities.</w:t>
      </w:r>
    </w:p>
    <w:p w14:paraId="7290BD07"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lang w:val="en-GB"/>
        </w:rPr>
        <w:t>The Parties acknowledge and expressly agree that any restrictions imposed by a State on the movement of persons or similar restrictions already in place by States prior to the signing of this Contract shall not be considered a force majeure event if such or similar restrictions are imposed during the performance of the Contract. Nor shall shortages of materials, facilities or labour on the market resulting from the restrictions imposed be considered as force majeure.</w:t>
      </w:r>
    </w:p>
    <w:p w14:paraId="35B09C0C"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sz w:val="22"/>
          <w:szCs w:val="22"/>
          <w:lang w:val="en-GB"/>
        </w:rPr>
        <w:t xml:space="preserve">Contact details of the Contracting Authority’s </w:t>
      </w:r>
      <w:r w:rsidRPr="00814A92">
        <w:rPr>
          <w:rFonts w:eastAsia="Times New Roman" w:cstheme="minorHAnsi"/>
          <w:b/>
          <w:bCs/>
          <w:sz w:val="22"/>
          <w:szCs w:val="22"/>
          <w:lang w:val="en-GB"/>
        </w:rPr>
        <w:t>representative authorised to liaise directly with suppliers</w:t>
      </w:r>
      <w:r w:rsidRPr="00814A92">
        <w:rPr>
          <w:rFonts w:eastAsia="Times New Roman" w:cstheme="minorHAnsi"/>
          <w:sz w:val="22"/>
          <w:szCs w:val="22"/>
          <w:lang w:val="en-GB"/>
        </w:rPr>
        <w:t>:</w:t>
      </w:r>
    </w:p>
    <w:p w14:paraId="535F3E6B" w14:textId="77777777" w:rsidR="00F729CD" w:rsidRPr="00814A92" w:rsidRDefault="00000000">
      <w:pPr>
        <w:pStyle w:val="Sraopastraipa"/>
        <w:numPr>
          <w:ilvl w:val="2"/>
          <w:numId w:val="10"/>
        </w:numPr>
        <w:shd w:val="clear" w:color="auto" w:fill="FFFFFF"/>
        <w:tabs>
          <w:tab w:val="left" w:pos="1560"/>
        </w:tabs>
        <w:spacing w:after="0" w:line="240" w:lineRule="auto"/>
        <w:ind w:left="0" w:firstLine="567"/>
        <w:jc w:val="both"/>
        <w:rPr>
          <w:lang w:val="en-GB"/>
        </w:rPr>
      </w:pPr>
      <w:r w:rsidRPr="00814A92">
        <w:rPr>
          <w:rFonts w:eastAsia="Times New Roman" w:cstheme="minorHAnsi"/>
          <w:b/>
          <w:bCs/>
          <w:sz w:val="22"/>
          <w:szCs w:val="22"/>
          <w:lang w:val="en-GB"/>
        </w:rPr>
        <w:t>for general procurement procedures - Anastasija Daubarienė</w:t>
      </w:r>
      <w:r w:rsidRPr="00814A92">
        <w:rPr>
          <w:rFonts w:eastAsia="Times New Roman" w:cstheme="minorHAnsi"/>
          <w:sz w:val="22"/>
          <w:szCs w:val="22"/>
          <w:lang w:val="en-GB"/>
        </w:rPr>
        <w:t xml:space="preserve">, Senior Specialist, Public Procurement Division, State Border Guard Service, tel. 0 707 42 172, mob. 0 683 70212, email </w:t>
      </w:r>
      <w:hyperlink r:id="rId7" w:history="1">
        <w:r w:rsidRPr="00814A92">
          <w:rPr>
            <w:rStyle w:val="Hipersaitas"/>
            <w:rFonts w:cstheme="minorHAnsi"/>
            <w:sz w:val="22"/>
            <w:szCs w:val="22"/>
            <w:lang w:val="en-GB"/>
          </w:rPr>
          <w:t>anastasija.daubariene@vsat.vrm.lt</w:t>
        </w:r>
      </w:hyperlink>
      <w:r w:rsidRPr="00814A92">
        <w:rPr>
          <w:rFonts w:cstheme="minorHAnsi"/>
          <w:sz w:val="22"/>
          <w:szCs w:val="22"/>
          <w:lang w:val="en-GB"/>
        </w:rPr>
        <w:t>;</w:t>
      </w:r>
    </w:p>
    <w:p w14:paraId="07EA6258" w14:textId="77777777" w:rsidR="00F729CD" w:rsidRPr="00814A92" w:rsidRDefault="00000000">
      <w:pPr>
        <w:pStyle w:val="Sraopastraipa"/>
        <w:numPr>
          <w:ilvl w:val="2"/>
          <w:numId w:val="10"/>
        </w:numPr>
        <w:shd w:val="clear" w:color="auto" w:fill="FFFFFF"/>
        <w:tabs>
          <w:tab w:val="left" w:pos="1560"/>
        </w:tabs>
        <w:spacing w:after="0" w:line="240" w:lineRule="auto"/>
        <w:ind w:left="0" w:firstLine="567"/>
        <w:jc w:val="both"/>
        <w:rPr>
          <w:rFonts w:eastAsia="Calibri" w:cstheme="minorHAnsi"/>
          <w:lang w:val="en-GB"/>
        </w:rPr>
      </w:pPr>
      <w:r w:rsidRPr="00814A92">
        <w:rPr>
          <w:rFonts w:eastAsia="Times New Roman" w:cstheme="minorHAnsi"/>
          <w:b/>
          <w:bCs/>
          <w:lang w:val="en-GB"/>
        </w:rPr>
        <w:t>for technical specifications - Ingrida Kazėnaitė</w:t>
      </w:r>
      <w:r w:rsidRPr="00814A92">
        <w:rPr>
          <w:rFonts w:eastAsia="Times New Roman" w:cstheme="minorHAnsi"/>
          <w:lang w:val="en-GB"/>
        </w:rPr>
        <w:t xml:space="preserve">, Management Consultant, Aviation Planning Division, Aviation Directorate, State Border Guard Aviation Authority, tel. 0 707 48171, mob. 0 673 17339, </w:t>
      </w:r>
      <w:r w:rsidRPr="00814A92">
        <w:rPr>
          <w:rFonts w:eastAsia="Times New Roman" w:cstheme="minorHAnsi"/>
          <w:sz w:val="22"/>
          <w:szCs w:val="22"/>
          <w:lang w:val="en-GB"/>
        </w:rPr>
        <w:t xml:space="preserve">email </w:t>
      </w:r>
      <w:hyperlink r:id="rId8" w:history="1">
        <w:r w:rsidRPr="00814A92">
          <w:rPr>
            <w:rStyle w:val="Hipersaitas"/>
            <w:rFonts w:eastAsia="Times New Roman" w:cstheme="minorHAnsi"/>
            <w:lang w:val="en-GB"/>
          </w:rPr>
          <w:t>ingrida.kazenaite@vsat.vrm.lt</w:t>
        </w:r>
      </w:hyperlink>
      <w:r w:rsidRPr="00814A92">
        <w:rPr>
          <w:rFonts w:eastAsia="Times New Roman" w:cstheme="minorHAnsi"/>
          <w:lang w:val="en-GB"/>
        </w:rPr>
        <w:t xml:space="preserve">. </w:t>
      </w:r>
    </w:p>
    <w:p w14:paraId="45CB8AC8" w14:textId="77777777" w:rsidR="00F729CD" w:rsidRPr="00814A92" w:rsidRDefault="00F729CD">
      <w:pPr>
        <w:pStyle w:val="Sraopastraipa"/>
        <w:shd w:val="clear" w:color="auto" w:fill="FFFFFF"/>
        <w:tabs>
          <w:tab w:val="left" w:pos="1560"/>
        </w:tabs>
        <w:spacing w:after="0" w:line="240" w:lineRule="auto"/>
        <w:ind w:left="567"/>
        <w:jc w:val="both"/>
        <w:rPr>
          <w:rFonts w:eastAsia="Calibri" w:cstheme="minorHAnsi"/>
          <w:lang w:val="en-GB"/>
        </w:rPr>
      </w:pPr>
    </w:p>
    <w:p w14:paraId="2C97F911" w14:textId="77777777" w:rsidR="00F729CD" w:rsidRPr="00814A92" w:rsidRDefault="00F729CD">
      <w:pPr>
        <w:shd w:val="clear" w:color="auto" w:fill="FFFFFF"/>
        <w:spacing w:after="0" w:line="240" w:lineRule="auto"/>
        <w:jc w:val="both"/>
        <w:rPr>
          <w:rFonts w:eastAsia="Times New Roman" w:cstheme="minorHAnsi"/>
          <w:lang w:val="en-GB"/>
        </w:rPr>
      </w:pPr>
    </w:p>
    <w:p w14:paraId="5D3AD5EB" w14:textId="77777777" w:rsidR="00F729CD" w:rsidRPr="00814A92" w:rsidRDefault="00000000">
      <w:pPr>
        <w:shd w:val="clear" w:color="auto" w:fill="FFFFFF"/>
        <w:spacing w:after="0" w:line="240" w:lineRule="auto"/>
        <w:jc w:val="both"/>
        <w:rPr>
          <w:rFonts w:eastAsia="Times New Roman" w:cstheme="minorHAnsi"/>
          <w:lang w:val="en-GB"/>
        </w:rPr>
        <w:sectPr w:rsidR="00F729CD" w:rsidRPr="00814A92">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814A92">
        <w:rPr>
          <w:rFonts w:eastAsia="Times New Roman" w:cstheme="minorHAnsi"/>
          <w:lang w:val="en-GB"/>
        </w:rPr>
        <w:t xml:space="preserve">           </w:t>
      </w:r>
    </w:p>
    <w:p w14:paraId="352D82EC" w14:textId="77777777" w:rsidR="00F729CD" w:rsidRPr="00814A92" w:rsidRDefault="00000000">
      <w:pPr>
        <w:pStyle w:val="Antrat1"/>
        <w:jc w:val="right"/>
        <w:rPr>
          <w:rFonts w:asciiTheme="minorHAnsi" w:hAnsiTheme="minorHAnsi" w:cstheme="minorHAnsi"/>
          <w:sz w:val="21"/>
          <w:szCs w:val="21"/>
          <w:lang w:val="en-GB"/>
        </w:rPr>
      </w:pPr>
      <w:bookmarkStart w:id="28" w:name="_Toc12134"/>
      <w:r w:rsidRPr="00814A92">
        <w:rPr>
          <w:rFonts w:asciiTheme="minorHAnsi" w:hAnsiTheme="minorHAnsi" w:cstheme="minorHAnsi"/>
          <w:color w:val="0070C0"/>
          <w:sz w:val="21"/>
          <w:szCs w:val="21"/>
          <w:lang w:val="en-GB"/>
          <w14:textFill>
            <w14:solidFill>
              <w14:srgbClr w14:val="0070C0">
                <w14:lumMod w14:val="85000"/>
                <w14:lumOff w14:val="15000"/>
              </w14:srgbClr>
            </w14:solidFill>
          </w14:textFill>
        </w:rPr>
        <w:lastRenderedPageBreak/>
        <w:t>Annex 1 “Terms” to the Procurement Conditions</w:t>
      </w:r>
      <w:bookmarkEnd w:id="28"/>
    </w:p>
    <w:p w14:paraId="2E045673" w14:textId="77777777" w:rsidR="00F729CD" w:rsidRPr="00814A92" w:rsidRDefault="00F729CD">
      <w:pPr>
        <w:shd w:val="clear" w:color="auto" w:fill="FFFFFF"/>
        <w:spacing w:after="0" w:line="240" w:lineRule="auto"/>
        <w:jc w:val="right"/>
        <w:rPr>
          <w:rFonts w:eastAsia="Calibri" w:cstheme="minorHAnsi"/>
          <w:color w:val="0070C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F729CD" w:rsidRPr="00814A92" w14:paraId="4D79BBB9" w14:textId="77777777">
        <w:trPr>
          <w:trHeight w:val="20"/>
        </w:trPr>
        <w:tc>
          <w:tcPr>
            <w:tcW w:w="726" w:type="dxa"/>
            <w:shd w:val="clear" w:color="auto" w:fill="D9D9D9" w:themeFill="background1" w:themeFillShade="D9"/>
            <w:tcMar>
              <w:top w:w="0" w:type="dxa"/>
              <w:left w:w="108" w:type="dxa"/>
              <w:bottom w:w="0" w:type="dxa"/>
              <w:right w:w="108" w:type="dxa"/>
            </w:tcMar>
          </w:tcPr>
          <w:p w14:paraId="777554E3" w14:textId="77777777" w:rsidR="00F729CD" w:rsidRPr="00814A92" w:rsidRDefault="00000000">
            <w:pPr>
              <w:jc w:val="center"/>
              <w:rPr>
                <w:rFonts w:cstheme="minorHAnsi"/>
                <w:b/>
                <w:bCs/>
                <w:lang w:val="en-GB"/>
              </w:rPr>
            </w:pPr>
            <w:r w:rsidRPr="00814A92">
              <w:rPr>
                <w:rFonts w:cstheme="minorHAnsi"/>
                <w:b/>
                <w:bCs/>
                <w:lang w:val="en-GB"/>
              </w:rPr>
              <w:t>No.</w:t>
            </w:r>
          </w:p>
        </w:tc>
        <w:tc>
          <w:tcPr>
            <w:tcW w:w="2531" w:type="dxa"/>
            <w:shd w:val="clear" w:color="auto" w:fill="D9D9D9" w:themeFill="background1" w:themeFillShade="D9"/>
            <w:tcMar>
              <w:top w:w="0" w:type="dxa"/>
              <w:left w:w="108" w:type="dxa"/>
              <w:bottom w:w="0" w:type="dxa"/>
              <w:right w:w="108" w:type="dxa"/>
            </w:tcMar>
          </w:tcPr>
          <w:p w14:paraId="6B4683DF" w14:textId="77777777" w:rsidR="00F729CD" w:rsidRPr="00814A92" w:rsidRDefault="00000000">
            <w:pPr>
              <w:jc w:val="center"/>
              <w:rPr>
                <w:rFonts w:cstheme="minorHAnsi"/>
                <w:b/>
                <w:bCs/>
                <w:lang w:val="en-GB"/>
              </w:rPr>
            </w:pPr>
            <w:r w:rsidRPr="00814A92">
              <w:rPr>
                <w:rFonts w:cstheme="minorHAnsi"/>
                <w:b/>
                <w:bCs/>
                <w:lang w:val="en-GB"/>
              </w:rPr>
              <w:t>OPERATION</w:t>
            </w:r>
          </w:p>
        </w:tc>
        <w:tc>
          <w:tcPr>
            <w:tcW w:w="3643" w:type="dxa"/>
            <w:shd w:val="clear" w:color="auto" w:fill="D9D9D9" w:themeFill="background1" w:themeFillShade="D9"/>
            <w:tcMar>
              <w:top w:w="0" w:type="dxa"/>
              <w:left w:w="108" w:type="dxa"/>
              <w:bottom w:w="0" w:type="dxa"/>
              <w:right w:w="108" w:type="dxa"/>
            </w:tcMar>
          </w:tcPr>
          <w:p w14:paraId="0B3DE226" w14:textId="77777777" w:rsidR="00F729CD" w:rsidRPr="00814A92" w:rsidRDefault="00000000">
            <w:pPr>
              <w:spacing w:after="0"/>
              <w:jc w:val="center"/>
              <w:rPr>
                <w:rFonts w:cstheme="minorHAnsi"/>
                <w:lang w:val="en-GB"/>
              </w:rPr>
            </w:pPr>
            <w:r w:rsidRPr="00814A92">
              <w:rPr>
                <w:rFonts w:cstheme="minorHAnsi"/>
                <w:b/>
                <w:lang w:val="en-GB"/>
              </w:rPr>
              <w:t xml:space="preserve">DATE/NUMBER OF DAYS/TIME </w:t>
            </w:r>
            <w:r w:rsidRPr="00814A92">
              <w:rPr>
                <w:rFonts w:cstheme="minorHAnsi"/>
                <w:lang w:val="en-GB"/>
              </w:rPr>
              <w:t>(Lithuanian time)</w:t>
            </w:r>
          </w:p>
        </w:tc>
        <w:tc>
          <w:tcPr>
            <w:tcW w:w="2954" w:type="dxa"/>
            <w:shd w:val="clear" w:color="auto" w:fill="D9D9D9" w:themeFill="background1" w:themeFillShade="D9"/>
            <w:tcMar>
              <w:top w:w="0" w:type="dxa"/>
              <w:left w:w="108" w:type="dxa"/>
              <w:bottom w:w="0" w:type="dxa"/>
              <w:right w:w="108" w:type="dxa"/>
            </w:tcMar>
          </w:tcPr>
          <w:p w14:paraId="60198114" w14:textId="77777777" w:rsidR="00F729CD" w:rsidRPr="00814A92" w:rsidRDefault="00000000">
            <w:pPr>
              <w:jc w:val="center"/>
              <w:rPr>
                <w:rFonts w:cstheme="minorHAnsi"/>
                <w:b/>
                <w:lang w:val="en-GB"/>
              </w:rPr>
            </w:pPr>
            <w:r w:rsidRPr="00814A92">
              <w:rPr>
                <w:rFonts w:cstheme="minorHAnsi"/>
                <w:b/>
                <w:lang w:val="en-GB"/>
              </w:rPr>
              <w:t>NOTES</w:t>
            </w:r>
          </w:p>
        </w:tc>
      </w:tr>
      <w:tr w:rsidR="00F729CD" w:rsidRPr="00814A92" w14:paraId="5014F9FC" w14:textId="77777777">
        <w:trPr>
          <w:trHeight w:val="20"/>
        </w:trPr>
        <w:tc>
          <w:tcPr>
            <w:tcW w:w="726" w:type="dxa"/>
            <w:shd w:val="clear" w:color="auto" w:fill="auto"/>
            <w:tcMar>
              <w:top w:w="0" w:type="dxa"/>
              <w:left w:w="108" w:type="dxa"/>
              <w:bottom w:w="0" w:type="dxa"/>
              <w:right w:w="108" w:type="dxa"/>
            </w:tcMar>
          </w:tcPr>
          <w:p w14:paraId="522391C8" w14:textId="77777777" w:rsidR="00F729CD" w:rsidRPr="00814A92" w:rsidRDefault="00000000">
            <w:pPr>
              <w:keepNext/>
              <w:spacing w:after="0" w:line="240" w:lineRule="auto"/>
              <w:rPr>
                <w:rFonts w:cstheme="minorHAnsi"/>
                <w:bCs/>
                <w:lang w:val="en-GB"/>
              </w:rPr>
            </w:pPr>
            <w:r w:rsidRPr="00814A92">
              <w:rPr>
                <w:rFonts w:cstheme="minorHAnsi"/>
                <w:bCs/>
                <w:lang w:val="en-GB"/>
              </w:rPr>
              <w:t>1.</w:t>
            </w:r>
          </w:p>
        </w:tc>
        <w:tc>
          <w:tcPr>
            <w:tcW w:w="2531" w:type="dxa"/>
            <w:shd w:val="clear" w:color="auto" w:fill="auto"/>
            <w:tcMar>
              <w:top w:w="0" w:type="dxa"/>
              <w:left w:w="108" w:type="dxa"/>
              <w:bottom w:w="0" w:type="dxa"/>
              <w:right w:w="108" w:type="dxa"/>
            </w:tcMar>
          </w:tcPr>
          <w:p w14:paraId="399C7CE0" w14:textId="77777777" w:rsidR="00F729CD" w:rsidRPr="00814A92" w:rsidRDefault="00000000">
            <w:pPr>
              <w:keepNext/>
              <w:spacing w:after="0" w:line="240" w:lineRule="auto"/>
              <w:rPr>
                <w:rFonts w:cstheme="minorHAnsi"/>
                <w:sz w:val="22"/>
                <w:szCs w:val="22"/>
                <w:lang w:val="en-GB"/>
              </w:rPr>
            </w:pPr>
            <w:r w:rsidRPr="00814A92">
              <w:rPr>
                <w:rFonts w:cstheme="minorHAnsi"/>
                <w:bCs/>
                <w:lang w:val="en-GB"/>
              </w:rPr>
              <w:t>Deadline for submission of tenders</w:t>
            </w:r>
          </w:p>
        </w:tc>
        <w:tc>
          <w:tcPr>
            <w:tcW w:w="3643" w:type="dxa"/>
            <w:shd w:val="clear" w:color="auto" w:fill="auto"/>
            <w:tcMar>
              <w:top w:w="0" w:type="dxa"/>
              <w:left w:w="108" w:type="dxa"/>
              <w:bottom w:w="0" w:type="dxa"/>
              <w:right w:w="108" w:type="dxa"/>
            </w:tcMar>
          </w:tcPr>
          <w:p w14:paraId="436F6156" w14:textId="77777777" w:rsidR="00F729CD" w:rsidRPr="00814A92" w:rsidRDefault="00000000">
            <w:pPr>
              <w:spacing w:after="0" w:line="240" w:lineRule="auto"/>
              <w:rPr>
                <w:rFonts w:cstheme="minorHAnsi"/>
                <w:lang w:val="en-GB"/>
              </w:rPr>
            </w:pPr>
            <w:r w:rsidRPr="00814A92">
              <w:rPr>
                <w:rFonts w:cs="Times New Roman"/>
                <w:lang w:val="en-GB"/>
              </w:rPr>
              <w:t>specified in the notice</w:t>
            </w:r>
          </w:p>
        </w:tc>
        <w:tc>
          <w:tcPr>
            <w:tcW w:w="2954" w:type="dxa"/>
            <w:shd w:val="clear" w:color="auto" w:fill="auto"/>
            <w:tcMar>
              <w:top w:w="0" w:type="dxa"/>
              <w:left w:w="108" w:type="dxa"/>
              <w:bottom w:w="0" w:type="dxa"/>
              <w:right w:w="108" w:type="dxa"/>
            </w:tcMar>
          </w:tcPr>
          <w:p w14:paraId="22F5F06B" w14:textId="77777777" w:rsidR="00F729CD" w:rsidRPr="00814A92" w:rsidRDefault="00000000">
            <w:pPr>
              <w:spacing w:after="0" w:line="240" w:lineRule="auto"/>
              <w:rPr>
                <w:rFonts w:cstheme="minorHAnsi"/>
                <w:iCs/>
                <w:lang w:val="en-GB"/>
              </w:rPr>
            </w:pPr>
            <w:r w:rsidRPr="00814A92">
              <w:rPr>
                <w:rFonts w:cstheme="minorHAnsi"/>
                <w:lang w:val="en-GB"/>
              </w:rPr>
              <w:t>The Contracting Authority has the right to extend the time limit for the submission of tenders.</w:t>
            </w:r>
          </w:p>
        </w:tc>
      </w:tr>
      <w:tr w:rsidR="00F729CD" w:rsidRPr="00814A92" w14:paraId="147DB060" w14:textId="77777777">
        <w:trPr>
          <w:trHeight w:val="20"/>
        </w:trPr>
        <w:tc>
          <w:tcPr>
            <w:tcW w:w="726" w:type="dxa"/>
            <w:shd w:val="clear" w:color="auto" w:fill="auto"/>
            <w:tcMar>
              <w:top w:w="0" w:type="dxa"/>
              <w:left w:w="108" w:type="dxa"/>
              <w:bottom w:w="0" w:type="dxa"/>
              <w:right w:w="108" w:type="dxa"/>
            </w:tcMar>
          </w:tcPr>
          <w:p w14:paraId="4FC70C77" w14:textId="77777777" w:rsidR="00F729CD" w:rsidRPr="00814A92" w:rsidRDefault="00000000">
            <w:pPr>
              <w:keepNext/>
              <w:spacing w:after="0" w:line="240" w:lineRule="auto"/>
              <w:rPr>
                <w:rFonts w:cstheme="minorHAnsi"/>
                <w:bCs/>
                <w:lang w:val="en-GB"/>
              </w:rPr>
            </w:pPr>
            <w:r w:rsidRPr="00814A92">
              <w:rPr>
                <w:rFonts w:cstheme="minorHAnsi"/>
                <w:bCs/>
                <w:lang w:val="en-GB"/>
              </w:rPr>
              <w:t>2.</w:t>
            </w:r>
          </w:p>
        </w:tc>
        <w:tc>
          <w:tcPr>
            <w:tcW w:w="2531" w:type="dxa"/>
            <w:shd w:val="clear" w:color="auto" w:fill="auto"/>
            <w:tcMar>
              <w:top w:w="0" w:type="dxa"/>
              <w:left w:w="108" w:type="dxa"/>
              <w:bottom w:w="0" w:type="dxa"/>
              <w:right w:w="108" w:type="dxa"/>
            </w:tcMar>
          </w:tcPr>
          <w:p w14:paraId="22361BDB" w14:textId="77777777" w:rsidR="00F729CD" w:rsidRPr="00814A92" w:rsidRDefault="00000000">
            <w:pPr>
              <w:keepNext/>
              <w:spacing w:after="0" w:line="240" w:lineRule="auto"/>
              <w:rPr>
                <w:rFonts w:cstheme="minorHAnsi"/>
                <w:sz w:val="22"/>
                <w:szCs w:val="22"/>
                <w:lang w:val="en-GB"/>
              </w:rPr>
            </w:pPr>
            <w:r w:rsidRPr="00814A92">
              <w:rPr>
                <w:rFonts w:eastAsia="Times New Roman" w:cstheme="minorHAnsi"/>
                <w:lang w:val="en-GB"/>
              </w:rPr>
              <w:t>Initial familiarisation with tenders received via CPP IS</w:t>
            </w:r>
          </w:p>
        </w:tc>
        <w:tc>
          <w:tcPr>
            <w:tcW w:w="3643" w:type="dxa"/>
            <w:shd w:val="clear" w:color="auto" w:fill="auto"/>
            <w:tcMar>
              <w:top w:w="0" w:type="dxa"/>
              <w:left w:w="108" w:type="dxa"/>
              <w:bottom w:w="0" w:type="dxa"/>
              <w:right w:w="108" w:type="dxa"/>
            </w:tcMar>
          </w:tcPr>
          <w:p w14:paraId="10D7663F" w14:textId="0E8F362A" w:rsidR="00F729CD" w:rsidRPr="00814A92" w:rsidRDefault="00000000">
            <w:pPr>
              <w:spacing w:after="0" w:line="240" w:lineRule="auto"/>
              <w:rPr>
                <w:rFonts w:cstheme="minorHAnsi"/>
                <w:lang w:val="en-GB"/>
              </w:rPr>
            </w:pPr>
            <w:r w:rsidRPr="00814A92">
              <w:rPr>
                <w:rFonts w:cstheme="minorHAnsi"/>
                <w:lang w:val="en-GB"/>
              </w:rPr>
              <w:t xml:space="preserve">Starting not earlier than </w:t>
            </w:r>
            <w:r w:rsidR="00A53C8A">
              <w:rPr>
                <w:rFonts w:cstheme="minorHAnsi"/>
                <w:lang w:val="en-GB"/>
              </w:rPr>
              <w:t>30</w:t>
            </w:r>
            <w:r w:rsidRPr="00814A92">
              <w:rPr>
                <w:rFonts w:cstheme="minorHAnsi"/>
                <w:lang w:val="en-GB"/>
              </w:rPr>
              <w:t xml:space="preserve"> minutes after the expiry of the time limit for the submission of tenders</w:t>
            </w:r>
          </w:p>
        </w:tc>
        <w:tc>
          <w:tcPr>
            <w:tcW w:w="2954" w:type="dxa"/>
            <w:shd w:val="clear" w:color="auto" w:fill="auto"/>
            <w:tcMar>
              <w:top w:w="0" w:type="dxa"/>
              <w:left w:w="108" w:type="dxa"/>
              <w:bottom w:w="0" w:type="dxa"/>
              <w:right w:w="108" w:type="dxa"/>
            </w:tcMar>
          </w:tcPr>
          <w:p w14:paraId="327A2F84" w14:textId="77777777" w:rsidR="00F729CD" w:rsidRPr="00814A92" w:rsidRDefault="00F729CD">
            <w:pPr>
              <w:spacing w:after="0" w:line="240" w:lineRule="auto"/>
              <w:rPr>
                <w:rFonts w:cstheme="minorHAnsi"/>
                <w:iCs/>
                <w:lang w:val="en-GB"/>
              </w:rPr>
            </w:pPr>
          </w:p>
        </w:tc>
      </w:tr>
      <w:tr w:rsidR="00F729CD" w:rsidRPr="00814A92" w14:paraId="6EF0AC77" w14:textId="77777777">
        <w:trPr>
          <w:trHeight w:val="20"/>
        </w:trPr>
        <w:tc>
          <w:tcPr>
            <w:tcW w:w="726" w:type="dxa"/>
            <w:shd w:val="clear" w:color="auto" w:fill="auto"/>
            <w:tcMar>
              <w:top w:w="0" w:type="dxa"/>
              <w:left w:w="108" w:type="dxa"/>
              <w:bottom w:w="0" w:type="dxa"/>
              <w:right w:w="108" w:type="dxa"/>
            </w:tcMar>
          </w:tcPr>
          <w:p w14:paraId="34E4090D" w14:textId="77777777" w:rsidR="00F729CD" w:rsidRPr="00814A92" w:rsidRDefault="00000000">
            <w:pPr>
              <w:keepNext/>
              <w:spacing w:after="0" w:line="240" w:lineRule="auto"/>
              <w:rPr>
                <w:rFonts w:cstheme="minorHAnsi"/>
                <w:bCs/>
                <w:lang w:val="en-GB"/>
              </w:rPr>
            </w:pPr>
            <w:r w:rsidRPr="00814A92">
              <w:rPr>
                <w:rFonts w:cstheme="minorHAnsi"/>
                <w:bCs/>
                <w:lang w:val="en-GB"/>
              </w:rPr>
              <w:t>3.</w:t>
            </w:r>
          </w:p>
        </w:tc>
        <w:tc>
          <w:tcPr>
            <w:tcW w:w="2531" w:type="dxa"/>
            <w:shd w:val="clear" w:color="auto" w:fill="auto"/>
            <w:tcMar>
              <w:top w:w="0" w:type="dxa"/>
              <w:left w:w="108" w:type="dxa"/>
              <w:bottom w:w="0" w:type="dxa"/>
              <w:right w:w="108" w:type="dxa"/>
            </w:tcMar>
          </w:tcPr>
          <w:p w14:paraId="2B3BF7B7" w14:textId="77777777" w:rsidR="00F729CD" w:rsidRPr="00814A92" w:rsidRDefault="00000000">
            <w:pPr>
              <w:keepNext/>
              <w:spacing w:after="0" w:line="240" w:lineRule="auto"/>
              <w:rPr>
                <w:rFonts w:cstheme="minorHAnsi"/>
                <w:bCs/>
                <w:lang w:val="en-GB"/>
              </w:rPr>
            </w:pPr>
            <w:r w:rsidRPr="00814A92">
              <w:rPr>
                <w:rFonts w:cstheme="minorHAnsi"/>
                <w:lang w:val="en-GB"/>
              </w:rPr>
              <w:t>A request for clarification or revision of the procurement conditions must be submitted by the supplier no later than:</w:t>
            </w:r>
          </w:p>
        </w:tc>
        <w:tc>
          <w:tcPr>
            <w:tcW w:w="3643" w:type="dxa"/>
            <w:shd w:val="clear" w:color="auto" w:fill="auto"/>
            <w:tcMar>
              <w:top w:w="0" w:type="dxa"/>
              <w:left w:w="108" w:type="dxa"/>
              <w:bottom w:w="0" w:type="dxa"/>
              <w:right w:w="108" w:type="dxa"/>
            </w:tcMar>
          </w:tcPr>
          <w:p w14:paraId="369ADF9A" w14:textId="77777777" w:rsidR="00F729CD" w:rsidRPr="00814A92" w:rsidRDefault="00000000">
            <w:pPr>
              <w:spacing w:after="0" w:line="240" w:lineRule="auto"/>
              <w:rPr>
                <w:rFonts w:cstheme="minorHAnsi"/>
                <w:lang w:val="en-GB"/>
              </w:rPr>
            </w:pPr>
            <w:r w:rsidRPr="00814A92">
              <w:rPr>
                <w:rFonts w:cstheme="minorHAnsi"/>
                <w:lang w:val="en-GB"/>
              </w:rPr>
              <w:t>10 (ten) days before the deadline for submission of tenders</w:t>
            </w:r>
          </w:p>
          <w:p w14:paraId="6E80F2A8" w14:textId="77777777" w:rsidR="00F729CD" w:rsidRPr="00814A92" w:rsidRDefault="00F729CD">
            <w:pPr>
              <w:spacing w:after="0" w:line="240" w:lineRule="auto"/>
              <w:rPr>
                <w:rFonts w:cstheme="minorHAnsi"/>
                <w:lang w:val="en-GB"/>
              </w:rPr>
            </w:pPr>
          </w:p>
        </w:tc>
        <w:tc>
          <w:tcPr>
            <w:tcW w:w="2954" w:type="dxa"/>
            <w:shd w:val="clear" w:color="auto" w:fill="auto"/>
            <w:tcMar>
              <w:top w:w="0" w:type="dxa"/>
              <w:left w:w="108" w:type="dxa"/>
              <w:bottom w:w="0" w:type="dxa"/>
              <w:right w:w="108" w:type="dxa"/>
            </w:tcMar>
          </w:tcPr>
          <w:p w14:paraId="63E9FD75" w14:textId="77777777" w:rsidR="00F729CD" w:rsidRPr="00814A92" w:rsidRDefault="00F729CD">
            <w:pPr>
              <w:spacing w:after="0" w:line="240" w:lineRule="auto"/>
              <w:rPr>
                <w:rFonts w:cstheme="minorHAnsi"/>
                <w:color w:val="7030A0"/>
                <w:lang w:val="en-GB"/>
              </w:rPr>
            </w:pPr>
          </w:p>
          <w:p w14:paraId="22AD5709" w14:textId="77777777" w:rsidR="00F729CD" w:rsidRPr="00814A92" w:rsidRDefault="00F729CD">
            <w:pPr>
              <w:spacing w:after="0" w:line="240" w:lineRule="auto"/>
              <w:rPr>
                <w:rFonts w:cstheme="minorHAnsi"/>
                <w:iCs/>
                <w:color w:val="7030A0"/>
                <w:lang w:val="en-GB"/>
              </w:rPr>
            </w:pPr>
          </w:p>
        </w:tc>
      </w:tr>
      <w:tr w:rsidR="00F729CD" w:rsidRPr="00814A92" w14:paraId="3495BB00" w14:textId="77777777">
        <w:trPr>
          <w:trHeight w:val="20"/>
        </w:trPr>
        <w:tc>
          <w:tcPr>
            <w:tcW w:w="726" w:type="dxa"/>
            <w:shd w:val="clear" w:color="auto" w:fill="auto"/>
            <w:tcMar>
              <w:top w:w="0" w:type="dxa"/>
              <w:left w:w="108" w:type="dxa"/>
              <w:bottom w:w="0" w:type="dxa"/>
              <w:right w:w="108" w:type="dxa"/>
            </w:tcMar>
          </w:tcPr>
          <w:p w14:paraId="221533EA"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2755407" w14:textId="77777777" w:rsidR="00F729CD" w:rsidRPr="00814A92" w:rsidRDefault="00000000">
            <w:pPr>
              <w:spacing w:after="0" w:line="240" w:lineRule="auto"/>
              <w:rPr>
                <w:rFonts w:cstheme="minorHAnsi"/>
                <w:lang w:val="en-GB"/>
              </w:rPr>
            </w:pPr>
            <w:r w:rsidRPr="00814A92">
              <w:rPr>
                <w:rFonts w:cstheme="minorHAnsi"/>
                <w:sz w:val="22"/>
                <w:szCs w:val="22"/>
                <w:lang w:val="en-GB"/>
              </w:rPr>
              <w:t>The Contracting Authority shall communicate the clarification or revision of the contract terms to all suppliers no later than:</w:t>
            </w:r>
          </w:p>
        </w:tc>
        <w:tc>
          <w:tcPr>
            <w:tcW w:w="3643" w:type="dxa"/>
            <w:shd w:val="clear" w:color="auto" w:fill="auto"/>
            <w:tcMar>
              <w:top w:w="0" w:type="dxa"/>
              <w:left w:w="108" w:type="dxa"/>
              <w:bottom w:w="0" w:type="dxa"/>
              <w:right w:w="108" w:type="dxa"/>
            </w:tcMar>
          </w:tcPr>
          <w:p w14:paraId="0A2556FB" w14:textId="77777777" w:rsidR="00F729CD" w:rsidRPr="00814A92" w:rsidRDefault="00000000">
            <w:pPr>
              <w:spacing w:after="0" w:line="240" w:lineRule="auto"/>
              <w:rPr>
                <w:rFonts w:cstheme="minorHAnsi"/>
                <w:lang w:val="en-GB"/>
              </w:rPr>
            </w:pPr>
            <w:r w:rsidRPr="00814A92">
              <w:rPr>
                <w:rFonts w:cstheme="minorHAnsi"/>
                <w:lang w:val="en-GB"/>
              </w:rPr>
              <w:t>6 (six) days before the deadline for submission of tenders</w:t>
            </w:r>
          </w:p>
          <w:p w14:paraId="558684C5" w14:textId="77777777" w:rsidR="00F729CD" w:rsidRPr="00814A92" w:rsidRDefault="00F729CD">
            <w:pPr>
              <w:spacing w:after="0" w:line="240" w:lineRule="auto"/>
              <w:rPr>
                <w:rFonts w:cstheme="minorHAnsi"/>
                <w:lang w:val="en-GB"/>
              </w:rPr>
            </w:pPr>
          </w:p>
        </w:tc>
        <w:tc>
          <w:tcPr>
            <w:tcW w:w="2954" w:type="dxa"/>
            <w:shd w:val="clear" w:color="auto" w:fill="auto"/>
            <w:tcMar>
              <w:top w:w="0" w:type="dxa"/>
              <w:left w:w="108" w:type="dxa"/>
              <w:bottom w:w="0" w:type="dxa"/>
              <w:right w:w="108" w:type="dxa"/>
            </w:tcMar>
          </w:tcPr>
          <w:p w14:paraId="24A04C24" w14:textId="77777777" w:rsidR="00F729CD" w:rsidRPr="00814A92" w:rsidRDefault="00F729CD">
            <w:pPr>
              <w:spacing w:after="0" w:line="240" w:lineRule="auto"/>
              <w:rPr>
                <w:rFonts w:cstheme="minorHAnsi"/>
                <w:color w:val="7030A0"/>
                <w:lang w:val="en-GB"/>
              </w:rPr>
            </w:pPr>
          </w:p>
        </w:tc>
      </w:tr>
      <w:tr w:rsidR="00F729CD" w:rsidRPr="00814A92" w14:paraId="03B14850" w14:textId="77777777">
        <w:trPr>
          <w:trHeight w:val="20"/>
        </w:trPr>
        <w:tc>
          <w:tcPr>
            <w:tcW w:w="726" w:type="dxa"/>
            <w:shd w:val="clear" w:color="auto" w:fill="auto"/>
            <w:tcMar>
              <w:top w:w="0" w:type="dxa"/>
              <w:left w:w="108" w:type="dxa"/>
              <w:bottom w:w="0" w:type="dxa"/>
              <w:right w:w="108" w:type="dxa"/>
            </w:tcMar>
          </w:tcPr>
          <w:p w14:paraId="6F33B222"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D45B8F7" w14:textId="77777777" w:rsidR="00F729CD" w:rsidRPr="00814A92" w:rsidRDefault="00000000">
            <w:pPr>
              <w:spacing w:after="0" w:line="240" w:lineRule="auto"/>
              <w:rPr>
                <w:rFonts w:cstheme="minorHAnsi"/>
                <w:sz w:val="22"/>
                <w:szCs w:val="22"/>
                <w:lang w:val="en-GB"/>
              </w:rPr>
            </w:pPr>
            <w:r w:rsidRPr="00814A92">
              <w:rPr>
                <w:rFonts w:cstheme="minorHAnsi"/>
                <w:sz w:val="22"/>
                <w:szCs w:val="22"/>
                <w:lang w:val="en-GB"/>
              </w:rPr>
              <w:t>Site visits will be carried out:</w:t>
            </w:r>
          </w:p>
        </w:tc>
        <w:tc>
          <w:tcPr>
            <w:tcW w:w="3643" w:type="dxa"/>
            <w:shd w:val="clear" w:color="auto" w:fill="auto"/>
            <w:tcMar>
              <w:top w:w="0" w:type="dxa"/>
              <w:left w:w="108" w:type="dxa"/>
              <w:bottom w:w="0" w:type="dxa"/>
              <w:right w:w="108" w:type="dxa"/>
            </w:tcMar>
          </w:tcPr>
          <w:p w14:paraId="66D5A3E2" w14:textId="77777777" w:rsidR="00F729CD" w:rsidRPr="00814A92" w:rsidRDefault="00000000">
            <w:pPr>
              <w:spacing w:after="0" w:line="240" w:lineRule="auto"/>
              <w:rPr>
                <w:rFonts w:cstheme="minorHAnsi"/>
                <w:iCs/>
                <w:color w:val="FF0000"/>
                <w:lang w:val="en-GB"/>
              </w:rPr>
            </w:pPr>
            <w:r w:rsidRPr="00814A92">
              <w:rPr>
                <w:rFonts w:cstheme="minorHAnsi"/>
                <w:iCs/>
                <w:lang w:val="en-GB"/>
              </w:rPr>
              <w:t>NOT APPLICABLE</w:t>
            </w:r>
          </w:p>
        </w:tc>
        <w:tc>
          <w:tcPr>
            <w:tcW w:w="2954" w:type="dxa"/>
            <w:shd w:val="clear" w:color="auto" w:fill="auto"/>
            <w:tcMar>
              <w:top w:w="0" w:type="dxa"/>
              <w:left w:w="108" w:type="dxa"/>
              <w:bottom w:w="0" w:type="dxa"/>
              <w:right w:w="108" w:type="dxa"/>
            </w:tcMar>
          </w:tcPr>
          <w:p w14:paraId="2CFD123C" w14:textId="77777777" w:rsidR="00F729CD" w:rsidRPr="00814A92" w:rsidRDefault="00F729CD">
            <w:pPr>
              <w:spacing w:after="0" w:line="240" w:lineRule="auto"/>
              <w:rPr>
                <w:rFonts w:cstheme="minorHAnsi"/>
                <w:lang w:val="en-GB"/>
              </w:rPr>
            </w:pPr>
          </w:p>
        </w:tc>
      </w:tr>
      <w:tr w:rsidR="00F729CD" w:rsidRPr="00814A92" w14:paraId="350CB688" w14:textId="77777777">
        <w:trPr>
          <w:trHeight w:val="20"/>
        </w:trPr>
        <w:tc>
          <w:tcPr>
            <w:tcW w:w="726" w:type="dxa"/>
            <w:shd w:val="clear" w:color="auto" w:fill="auto"/>
            <w:tcMar>
              <w:top w:w="0" w:type="dxa"/>
              <w:left w:w="108" w:type="dxa"/>
              <w:bottom w:w="0" w:type="dxa"/>
              <w:right w:w="108" w:type="dxa"/>
            </w:tcMar>
          </w:tcPr>
          <w:p w14:paraId="432FE799"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1FD4BDD0" w14:textId="77777777" w:rsidR="00F729CD" w:rsidRPr="00814A92" w:rsidRDefault="00000000">
            <w:pPr>
              <w:spacing w:after="0" w:line="240" w:lineRule="auto"/>
              <w:rPr>
                <w:rFonts w:cstheme="minorHAnsi"/>
                <w:lang w:val="en-GB"/>
              </w:rPr>
            </w:pPr>
            <w:r w:rsidRPr="00814A92">
              <w:rPr>
                <w:rFonts w:cstheme="minorHAnsi"/>
                <w:lang w:val="en-GB"/>
              </w:rPr>
              <w:t>The Contracting Authority will hold meetings with suppliers to clarify the terms of the contract</w:t>
            </w:r>
          </w:p>
        </w:tc>
        <w:tc>
          <w:tcPr>
            <w:tcW w:w="3643" w:type="dxa"/>
            <w:shd w:val="clear" w:color="auto" w:fill="auto"/>
            <w:tcMar>
              <w:top w:w="0" w:type="dxa"/>
              <w:left w:w="108" w:type="dxa"/>
              <w:bottom w:w="0" w:type="dxa"/>
              <w:right w:w="108" w:type="dxa"/>
            </w:tcMar>
          </w:tcPr>
          <w:p w14:paraId="3F829740" w14:textId="77777777" w:rsidR="00F729CD" w:rsidRPr="00814A92" w:rsidRDefault="00000000">
            <w:pPr>
              <w:spacing w:after="0" w:line="240" w:lineRule="auto"/>
              <w:rPr>
                <w:rFonts w:cstheme="minorHAnsi"/>
                <w:iCs/>
                <w:lang w:val="en-GB"/>
              </w:rPr>
            </w:pPr>
            <w:r w:rsidRPr="00814A92">
              <w:rPr>
                <w:rFonts w:cstheme="minorHAnsi"/>
                <w:iCs/>
                <w:lang w:val="en-GB"/>
              </w:rPr>
              <w:t>NOT APPLICABLE</w:t>
            </w:r>
          </w:p>
        </w:tc>
        <w:tc>
          <w:tcPr>
            <w:tcW w:w="2954" w:type="dxa"/>
            <w:shd w:val="clear" w:color="auto" w:fill="auto"/>
            <w:tcMar>
              <w:top w:w="0" w:type="dxa"/>
              <w:left w:w="108" w:type="dxa"/>
              <w:bottom w:w="0" w:type="dxa"/>
              <w:right w:w="108" w:type="dxa"/>
            </w:tcMar>
          </w:tcPr>
          <w:p w14:paraId="0FF13F0E" w14:textId="77777777" w:rsidR="00F729CD" w:rsidRPr="00814A92" w:rsidRDefault="00F729CD">
            <w:pPr>
              <w:spacing w:after="0" w:line="240" w:lineRule="auto"/>
              <w:rPr>
                <w:rFonts w:cstheme="minorHAnsi"/>
                <w:lang w:val="en-GB"/>
              </w:rPr>
            </w:pPr>
          </w:p>
        </w:tc>
      </w:tr>
      <w:tr w:rsidR="00F729CD" w:rsidRPr="00814A92" w14:paraId="550EFBAC" w14:textId="77777777">
        <w:trPr>
          <w:trHeight w:val="20"/>
        </w:trPr>
        <w:tc>
          <w:tcPr>
            <w:tcW w:w="726" w:type="dxa"/>
            <w:shd w:val="clear" w:color="auto" w:fill="auto"/>
            <w:tcMar>
              <w:top w:w="0" w:type="dxa"/>
              <w:left w:w="108" w:type="dxa"/>
              <w:bottom w:w="0" w:type="dxa"/>
              <w:right w:w="108" w:type="dxa"/>
            </w:tcMar>
          </w:tcPr>
          <w:p w14:paraId="43C34CF5"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366C2CC5" w14:textId="77777777" w:rsidR="00F729CD" w:rsidRPr="00814A92" w:rsidRDefault="00000000">
            <w:pPr>
              <w:spacing w:after="0" w:line="240" w:lineRule="auto"/>
              <w:rPr>
                <w:lang w:val="en-GB"/>
              </w:rPr>
            </w:pPr>
            <w:r w:rsidRPr="00814A92">
              <w:rPr>
                <w:lang w:val="en-GB"/>
              </w:rPr>
              <w:t>Suppliers must provide samples of goods</w:t>
            </w:r>
          </w:p>
        </w:tc>
        <w:tc>
          <w:tcPr>
            <w:tcW w:w="3643" w:type="dxa"/>
            <w:shd w:val="clear" w:color="auto" w:fill="auto"/>
            <w:tcMar>
              <w:top w:w="0" w:type="dxa"/>
              <w:left w:w="108" w:type="dxa"/>
              <w:bottom w:w="0" w:type="dxa"/>
              <w:right w:w="108" w:type="dxa"/>
            </w:tcMar>
          </w:tcPr>
          <w:p w14:paraId="6EFE4C44" w14:textId="77777777" w:rsidR="00F729CD" w:rsidRPr="00814A92" w:rsidRDefault="00000000">
            <w:pPr>
              <w:pStyle w:val="Body2"/>
              <w:spacing w:after="0"/>
              <w:rPr>
                <w:rFonts w:asciiTheme="minorHAnsi" w:hAnsiTheme="minorHAnsi" w:cstheme="minorHAnsi"/>
                <w:color w:val="auto"/>
                <w:lang w:val="en-GB"/>
              </w:rPr>
            </w:pPr>
            <w:r w:rsidRPr="00814A92">
              <w:rPr>
                <w:rFonts w:asciiTheme="minorHAnsi" w:hAnsiTheme="minorHAnsi" w:cstheme="minorHAnsi"/>
                <w:color w:val="auto"/>
                <w:lang w:val="en-GB"/>
              </w:rPr>
              <w:t>NOT APPLICABLE</w:t>
            </w:r>
          </w:p>
          <w:p w14:paraId="2CC0D094" w14:textId="77777777" w:rsidR="00F729CD" w:rsidRPr="00814A92" w:rsidRDefault="00000000">
            <w:pPr>
              <w:spacing w:after="0" w:line="240" w:lineRule="auto"/>
              <w:rPr>
                <w:rFonts w:cstheme="minorHAnsi"/>
                <w:iCs/>
                <w:color w:val="00B050"/>
                <w:lang w:val="en-GB"/>
              </w:rPr>
            </w:pPr>
            <w:r w:rsidRPr="00814A92">
              <w:rPr>
                <w:rFonts w:cstheme="minorHAnsi"/>
                <w:i/>
                <w:iCs/>
                <w:color w:val="7030A0"/>
                <w:lang w:val="en-GB"/>
              </w:rPr>
              <w:t xml:space="preserve"> </w:t>
            </w:r>
          </w:p>
        </w:tc>
        <w:tc>
          <w:tcPr>
            <w:tcW w:w="2954" w:type="dxa"/>
            <w:shd w:val="clear" w:color="auto" w:fill="auto"/>
            <w:tcMar>
              <w:top w:w="0" w:type="dxa"/>
              <w:left w:w="108" w:type="dxa"/>
              <w:bottom w:w="0" w:type="dxa"/>
              <w:right w:w="108" w:type="dxa"/>
            </w:tcMar>
          </w:tcPr>
          <w:p w14:paraId="7C0E8B9D" w14:textId="77777777" w:rsidR="00F729CD" w:rsidRPr="00814A92" w:rsidRDefault="00F729CD">
            <w:pPr>
              <w:spacing w:after="0" w:line="240" w:lineRule="auto"/>
              <w:rPr>
                <w:rFonts w:cstheme="minorHAnsi"/>
                <w:lang w:val="en-GB"/>
              </w:rPr>
            </w:pPr>
          </w:p>
        </w:tc>
      </w:tr>
      <w:tr w:rsidR="00F729CD" w:rsidRPr="00814A92" w14:paraId="0C3E5C69" w14:textId="77777777">
        <w:trPr>
          <w:trHeight w:val="20"/>
        </w:trPr>
        <w:tc>
          <w:tcPr>
            <w:tcW w:w="726" w:type="dxa"/>
            <w:shd w:val="clear" w:color="auto" w:fill="auto"/>
            <w:tcMar>
              <w:top w:w="0" w:type="dxa"/>
              <w:left w:w="108" w:type="dxa"/>
              <w:bottom w:w="0" w:type="dxa"/>
              <w:right w:w="108" w:type="dxa"/>
            </w:tcMar>
          </w:tcPr>
          <w:p w14:paraId="3AD9D638"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51FBE8ED" w14:textId="77777777" w:rsidR="00F729CD" w:rsidRPr="00814A92" w:rsidRDefault="00000000">
            <w:pPr>
              <w:spacing w:after="0" w:line="240" w:lineRule="auto"/>
              <w:rPr>
                <w:rFonts w:cstheme="minorHAnsi"/>
                <w:bCs/>
                <w:lang w:val="en-GB"/>
              </w:rPr>
            </w:pPr>
            <w:r w:rsidRPr="00814A92">
              <w:rPr>
                <w:rFonts w:cstheme="minorHAnsi"/>
                <w:bCs/>
                <w:lang w:val="en-GB"/>
              </w:rPr>
              <w:t>The tender shall be valid for a period of at least</w:t>
            </w:r>
          </w:p>
        </w:tc>
        <w:tc>
          <w:tcPr>
            <w:tcW w:w="3643" w:type="dxa"/>
            <w:shd w:val="clear" w:color="auto" w:fill="auto"/>
            <w:tcMar>
              <w:top w:w="0" w:type="dxa"/>
              <w:left w:w="108" w:type="dxa"/>
              <w:bottom w:w="0" w:type="dxa"/>
              <w:right w:w="108" w:type="dxa"/>
            </w:tcMar>
          </w:tcPr>
          <w:p w14:paraId="4823A9FC" w14:textId="77777777" w:rsidR="00F729CD" w:rsidRPr="00814A92" w:rsidRDefault="00000000">
            <w:pPr>
              <w:spacing w:after="0" w:line="240" w:lineRule="auto"/>
              <w:rPr>
                <w:rFonts w:cstheme="minorHAnsi"/>
                <w:iCs/>
                <w:lang w:val="en-GB"/>
              </w:rPr>
            </w:pPr>
            <w:r w:rsidRPr="00814A92">
              <w:rPr>
                <w:rFonts w:cstheme="minorHAnsi"/>
                <w:iCs/>
                <w:lang w:val="en-GB"/>
              </w:rPr>
              <w:t>90 (ninety) days after the deadline for submission of tenders</w:t>
            </w:r>
          </w:p>
        </w:tc>
        <w:tc>
          <w:tcPr>
            <w:tcW w:w="2954" w:type="dxa"/>
            <w:shd w:val="clear" w:color="auto" w:fill="auto"/>
            <w:tcMar>
              <w:top w:w="0" w:type="dxa"/>
              <w:left w:w="108" w:type="dxa"/>
              <w:bottom w:w="0" w:type="dxa"/>
              <w:right w:w="108" w:type="dxa"/>
            </w:tcMar>
          </w:tcPr>
          <w:p w14:paraId="1B3CF2E1" w14:textId="77777777" w:rsidR="00F729CD" w:rsidRPr="00814A92" w:rsidRDefault="00F729CD">
            <w:pPr>
              <w:spacing w:after="0" w:line="240" w:lineRule="auto"/>
              <w:rPr>
                <w:rFonts w:cstheme="minorHAnsi"/>
                <w:lang w:val="en-GB"/>
              </w:rPr>
            </w:pPr>
          </w:p>
        </w:tc>
      </w:tr>
      <w:tr w:rsidR="00F729CD" w:rsidRPr="00814A92" w14:paraId="44811972" w14:textId="77777777">
        <w:trPr>
          <w:trHeight w:val="20"/>
        </w:trPr>
        <w:tc>
          <w:tcPr>
            <w:tcW w:w="726" w:type="dxa"/>
            <w:shd w:val="clear" w:color="auto" w:fill="auto"/>
            <w:tcMar>
              <w:top w:w="0" w:type="dxa"/>
              <w:left w:w="108" w:type="dxa"/>
              <w:bottom w:w="0" w:type="dxa"/>
              <w:right w:w="108" w:type="dxa"/>
            </w:tcMar>
          </w:tcPr>
          <w:p w14:paraId="4F6BE43D" w14:textId="77777777" w:rsidR="00F729CD" w:rsidRPr="00814A92" w:rsidRDefault="00F729CD">
            <w:pPr>
              <w:pStyle w:val="Sraopastraipa"/>
              <w:numPr>
                <w:ilvl w:val="0"/>
                <w:numId w:val="11"/>
              </w:numPr>
              <w:spacing w:after="0" w:line="240" w:lineRule="auto"/>
              <w:rPr>
                <w:lang w:val="en-GB"/>
              </w:rPr>
            </w:pPr>
          </w:p>
        </w:tc>
        <w:tc>
          <w:tcPr>
            <w:tcW w:w="2531" w:type="dxa"/>
            <w:shd w:val="clear" w:color="auto" w:fill="auto"/>
            <w:tcMar>
              <w:top w:w="0" w:type="dxa"/>
              <w:left w:w="108" w:type="dxa"/>
              <w:bottom w:w="0" w:type="dxa"/>
              <w:right w:w="108" w:type="dxa"/>
            </w:tcMar>
          </w:tcPr>
          <w:p w14:paraId="791FC58F" w14:textId="77777777" w:rsidR="00F729CD" w:rsidRPr="00814A92" w:rsidRDefault="00000000">
            <w:pPr>
              <w:spacing w:after="0" w:line="240" w:lineRule="auto"/>
              <w:rPr>
                <w:rFonts w:cstheme="minorHAnsi"/>
                <w:bCs/>
                <w:lang w:val="en-GB"/>
              </w:rPr>
            </w:pPr>
            <w:r w:rsidRPr="00814A92">
              <w:rPr>
                <w:rFonts w:cstheme="minorHAnsi"/>
                <w:lang w:val="en-GB"/>
              </w:rPr>
              <w:t>The Contracting Authority shall reply to the supplier as to whether it agrees to accept the supplier's proposed documentary evidence of the validity of the tender no later than</w:t>
            </w:r>
          </w:p>
        </w:tc>
        <w:tc>
          <w:tcPr>
            <w:tcW w:w="3643" w:type="dxa"/>
            <w:shd w:val="clear" w:color="auto" w:fill="auto"/>
            <w:tcMar>
              <w:top w:w="0" w:type="dxa"/>
              <w:left w:w="108" w:type="dxa"/>
              <w:bottom w:w="0" w:type="dxa"/>
              <w:right w:w="108" w:type="dxa"/>
            </w:tcMar>
          </w:tcPr>
          <w:p w14:paraId="52EAF124" w14:textId="77777777" w:rsidR="00F729CD" w:rsidRPr="00814A92" w:rsidRDefault="00000000">
            <w:pPr>
              <w:spacing w:after="0" w:line="240" w:lineRule="auto"/>
              <w:rPr>
                <w:rFonts w:cstheme="minorHAnsi"/>
                <w:iCs/>
                <w:lang w:val="en-GB"/>
              </w:rPr>
            </w:pPr>
            <w:r w:rsidRPr="00814A92">
              <w:rPr>
                <w:rFonts w:cstheme="minorHAnsi"/>
                <w:iCs/>
                <w:lang w:val="en-GB"/>
              </w:rPr>
              <w:t>NOT APPLICABLE</w:t>
            </w:r>
          </w:p>
          <w:p w14:paraId="1A31C507" w14:textId="77777777" w:rsidR="00F729CD" w:rsidRPr="00814A92" w:rsidRDefault="00F729CD">
            <w:pPr>
              <w:spacing w:after="0" w:line="240" w:lineRule="auto"/>
              <w:rPr>
                <w:rFonts w:cstheme="minorHAnsi"/>
                <w:iCs/>
                <w:lang w:val="en-GB"/>
              </w:rPr>
            </w:pPr>
          </w:p>
        </w:tc>
        <w:tc>
          <w:tcPr>
            <w:tcW w:w="2954" w:type="dxa"/>
            <w:shd w:val="clear" w:color="auto" w:fill="auto"/>
            <w:tcMar>
              <w:top w:w="0" w:type="dxa"/>
              <w:left w:w="108" w:type="dxa"/>
              <w:bottom w:w="0" w:type="dxa"/>
              <w:right w:w="108" w:type="dxa"/>
            </w:tcMar>
          </w:tcPr>
          <w:p w14:paraId="026053F2" w14:textId="77777777" w:rsidR="00F729CD" w:rsidRPr="00814A92" w:rsidRDefault="00F729CD">
            <w:pPr>
              <w:spacing w:after="0" w:line="240" w:lineRule="auto"/>
              <w:rPr>
                <w:lang w:val="en-GB"/>
              </w:rPr>
            </w:pPr>
          </w:p>
        </w:tc>
      </w:tr>
      <w:tr w:rsidR="00F729CD" w:rsidRPr="00814A92" w14:paraId="769CFC18" w14:textId="77777777">
        <w:trPr>
          <w:trHeight w:val="20"/>
        </w:trPr>
        <w:tc>
          <w:tcPr>
            <w:tcW w:w="726" w:type="dxa"/>
            <w:shd w:val="clear" w:color="auto" w:fill="auto"/>
            <w:tcMar>
              <w:top w:w="0" w:type="dxa"/>
              <w:left w:w="108" w:type="dxa"/>
              <w:bottom w:w="0" w:type="dxa"/>
              <w:right w:w="108" w:type="dxa"/>
            </w:tcMar>
          </w:tcPr>
          <w:p w14:paraId="27B9FC8A"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51A079C" w14:textId="77777777" w:rsidR="00F729CD" w:rsidRPr="00814A92" w:rsidRDefault="00000000">
            <w:pPr>
              <w:spacing w:after="0" w:line="240" w:lineRule="auto"/>
              <w:rPr>
                <w:rFonts w:cstheme="minorHAnsi"/>
                <w:bCs/>
                <w:lang w:val="en-GB"/>
              </w:rPr>
            </w:pPr>
            <w:r w:rsidRPr="00814A92">
              <w:rPr>
                <w:rFonts w:cstheme="minorHAnsi"/>
                <w:color w:val="000000" w:themeColor="text1"/>
                <w:lang w:val="en-GB"/>
              </w:rPr>
              <w:t>The tender security shall be returned (or waived) to the tenderer within</w:t>
            </w:r>
          </w:p>
        </w:tc>
        <w:tc>
          <w:tcPr>
            <w:tcW w:w="3643" w:type="dxa"/>
            <w:shd w:val="clear" w:color="auto" w:fill="auto"/>
            <w:tcMar>
              <w:top w:w="0" w:type="dxa"/>
              <w:left w:w="108" w:type="dxa"/>
              <w:bottom w:w="0" w:type="dxa"/>
              <w:right w:w="108" w:type="dxa"/>
            </w:tcMar>
          </w:tcPr>
          <w:p w14:paraId="72A2BE77" w14:textId="77777777" w:rsidR="00F729CD" w:rsidRPr="00814A92" w:rsidRDefault="00000000">
            <w:pPr>
              <w:spacing w:after="0" w:line="240" w:lineRule="auto"/>
              <w:jc w:val="both"/>
              <w:rPr>
                <w:rFonts w:cstheme="minorHAnsi"/>
                <w:lang w:val="en-GB"/>
              </w:rPr>
            </w:pPr>
            <w:r w:rsidRPr="00814A92">
              <w:rPr>
                <w:rFonts w:cstheme="minorHAnsi"/>
                <w:lang w:val="en-GB"/>
              </w:rPr>
              <w:t>NOT APPLICABLE</w:t>
            </w:r>
          </w:p>
          <w:p w14:paraId="6871D06B" w14:textId="77777777" w:rsidR="00F729CD" w:rsidRPr="00814A92" w:rsidRDefault="00F729CD">
            <w:pPr>
              <w:spacing w:after="0" w:line="240" w:lineRule="auto"/>
              <w:jc w:val="both"/>
              <w:rPr>
                <w:rFonts w:cstheme="minorHAnsi"/>
                <w:color w:val="000000" w:themeColor="text1"/>
                <w:lang w:val="en-GB"/>
              </w:rPr>
            </w:pPr>
          </w:p>
        </w:tc>
        <w:tc>
          <w:tcPr>
            <w:tcW w:w="2954" w:type="dxa"/>
            <w:shd w:val="clear" w:color="auto" w:fill="auto"/>
            <w:tcMar>
              <w:top w:w="0" w:type="dxa"/>
              <w:left w:w="108" w:type="dxa"/>
              <w:bottom w:w="0" w:type="dxa"/>
              <w:right w:w="108" w:type="dxa"/>
            </w:tcMar>
          </w:tcPr>
          <w:p w14:paraId="71557601" w14:textId="77777777" w:rsidR="00F729CD" w:rsidRPr="00814A92" w:rsidRDefault="00F729CD">
            <w:pPr>
              <w:spacing w:after="0" w:line="240" w:lineRule="auto"/>
              <w:rPr>
                <w:lang w:val="en-GB"/>
              </w:rPr>
            </w:pPr>
          </w:p>
        </w:tc>
      </w:tr>
      <w:tr w:rsidR="00F729CD" w:rsidRPr="00814A92" w14:paraId="71556B84" w14:textId="77777777">
        <w:trPr>
          <w:trHeight w:val="20"/>
        </w:trPr>
        <w:tc>
          <w:tcPr>
            <w:tcW w:w="726" w:type="dxa"/>
            <w:shd w:val="clear" w:color="auto" w:fill="auto"/>
            <w:tcMar>
              <w:top w:w="0" w:type="dxa"/>
              <w:left w:w="108" w:type="dxa"/>
              <w:bottom w:w="0" w:type="dxa"/>
              <w:right w:w="108" w:type="dxa"/>
            </w:tcMar>
          </w:tcPr>
          <w:p w14:paraId="7F802F1C"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739C31E4"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inform the tenderers of the results of the evaluation of the ESPD no later than</w:t>
            </w:r>
          </w:p>
        </w:tc>
        <w:tc>
          <w:tcPr>
            <w:tcW w:w="3643" w:type="dxa"/>
            <w:shd w:val="clear" w:color="auto" w:fill="auto"/>
            <w:tcMar>
              <w:top w:w="0" w:type="dxa"/>
              <w:left w:w="108" w:type="dxa"/>
              <w:bottom w:w="0" w:type="dxa"/>
              <w:right w:w="108" w:type="dxa"/>
            </w:tcMar>
          </w:tcPr>
          <w:p w14:paraId="4A32E73F" w14:textId="77777777" w:rsidR="00F729CD" w:rsidRPr="00814A92" w:rsidRDefault="00000000">
            <w:pPr>
              <w:spacing w:after="0" w:line="240" w:lineRule="auto"/>
              <w:rPr>
                <w:rFonts w:cstheme="minorHAnsi"/>
                <w:bCs/>
                <w:lang w:val="en-GB"/>
              </w:rPr>
            </w:pPr>
            <w:r w:rsidRPr="00814A92">
              <w:rPr>
                <w:rFonts w:cstheme="minorHAnsi"/>
                <w:bCs/>
                <w:lang w:val="en-GB"/>
              </w:rPr>
              <w:t>3 (three) working days from the date of the decision</w:t>
            </w:r>
          </w:p>
        </w:tc>
        <w:tc>
          <w:tcPr>
            <w:tcW w:w="2954" w:type="dxa"/>
            <w:shd w:val="clear" w:color="auto" w:fill="auto"/>
            <w:tcMar>
              <w:top w:w="0" w:type="dxa"/>
              <w:left w:w="108" w:type="dxa"/>
              <w:bottom w:w="0" w:type="dxa"/>
              <w:right w:w="108" w:type="dxa"/>
            </w:tcMar>
          </w:tcPr>
          <w:p w14:paraId="1DDE39A0" w14:textId="77777777" w:rsidR="00F729CD" w:rsidRPr="00814A92" w:rsidRDefault="00F729CD">
            <w:pPr>
              <w:spacing w:after="0" w:line="240" w:lineRule="auto"/>
              <w:rPr>
                <w:rFonts w:cstheme="minorHAnsi"/>
                <w:bCs/>
                <w:lang w:val="en-GB"/>
              </w:rPr>
            </w:pPr>
          </w:p>
        </w:tc>
      </w:tr>
      <w:tr w:rsidR="00F729CD" w:rsidRPr="00814A92" w14:paraId="35992989" w14:textId="77777777">
        <w:trPr>
          <w:trHeight w:val="20"/>
        </w:trPr>
        <w:tc>
          <w:tcPr>
            <w:tcW w:w="726" w:type="dxa"/>
            <w:shd w:val="clear" w:color="auto" w:fill="auto"/>
            <w:tcMar>
              <w:top w:w="0" w:type="dxa"/>
              <w:left w:w="108" w:type="dxa"/>
              <w:bottom w:w="0" w:type="dxa"/>
              <w:right w:w="108" w:type="dxa"/>
            </w:tcMar>
          </w:tcPr>
          <w:p w14:paraId="750A9039"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314BE2DA"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notify the tenderers of the decision taken to identify the successful tender for the award of the contract no later than</w:t>
            </w:r>
          </w:p>
        </w:tc>
        <w:tc>
          <w:tcPr>
            <w:tcW w:w="3643" w:type="dxa"/>
            <w:shd w:val="clear" w:color="auto" w:fill="auto"/>
            <w:tcMar>
              <w:top w:w="0" w:type="dxa"/>
              <w:left w:w="108" w:type="dxa"/>
              <w:bottom w:w="0" w:type="dxa"/>
              <w:right w:w="108" w:type="dxa"/>
            </w:tcMar>
          </w:tcPr>
          <w:p w14:paraId="474AA0AF" w14:textId="77777777" w:rsidR="00F729CD" w:rsidRPr="00814A92" w:rsidRDefault="00000000">
            <w:pPr>
              <w:spacing w:after="0" w:line="240" w:lineRule="auto"/>
              <w:rPr>
                <w:rFonts w:cstheme="minorHAnsi"/>
                <w:bCs/>
                <w:lang w:val="en-GB"/>
              </w:rPr>
            </w:pPr>
            <w:r w:rsidRPr="00814A92">
              <w:rPr>
                <w:rFonts w:cstheme="minorHAnsi"/>
                <w:bCs/>
                <w:lang w:val="en-GB"/>
              </w:rPr>
              <w:t>3 (three) working days from the date of the decision</w:t>
            </w:r>
          </w:p>
        </w:tc>
        <w:tc>
          <w:tcPr>
            <w:tcW w:w="2954" w:type="dxa"/>
            <w:shd w:val="clear" w:color="auto" w:fill="auto"/>
            <w:tcMar>
              <w:top w:w="0" w:type="dxa"/>
              <w:left w:w="108" w:type="dxa"/>
              <w:bottom w:w="0" w:type="dxa"/>
              <w:right w:w="108" w:type="dxa"/>
            </w:tcMar>
          </w:tcPr>
          <w:p w14:paraId="15032B19" w14:textId="77777777" w:rsidR="00F729CD" w:rsidRPr="00814A92" w:rsidRDefault="00F729CD">
            <w:pPr>
              <w:spacing w:after="0" w:line="240" w:lineRule="auto"/>
              <w:rPr>
                <w:rFonts w:cstheme="minorHAnsi"/>
                <w:lang w:val="en-GB"/>
              </w:rPr>
            </w:pPr>
          </w:p>
        </w:tc>
      </w:tr>
      <w:tr w:rsidR="00F729CD" w:rsidRPr="00814A92" w14:paraId="22FBDC74" w14:textId="77777777">
        <w:trPr>
          <w:trHeight w:val="20"/>
        </w:trPr>
        <w:tc>
          <w:tcPr>
            <w:tcW w:w="726" w:type="dxa"/>
            <w:shd w:val="clear" w:color="auto" w:fill="auto"/>
            <w:tcMar>
              <w:top w:w="0" w:type="dxa"/>
              <w:left w:w="108" w:type="dxa"/>
              <w:bottom w:w="0" w:type="dxa"/>
              <w:right w:w="108" w:type="dxa"/>
            </w:tcMar>
          </w:tcPr>
          <w:p w14:paraId="4FDB433C"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9AF462A"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at the written request of the tenderer, provide it with the information set out in Article 58(2) of the Public Procurement Law no later than within</w:t>
            </w:r>
          </w:p>
        </w:tc>
        <w:tc>
          <w:tcPr>
            <w:tcW w:w="3643" w:type="dxa"/>
            <w:shd w:val="clear" w:color="auto" w:fill="auto"/>
            <w:tcMar>
              <w:top w:w="0" w:type="dxa"/>
              <w:left w:w="108" w:type="dxa"/>
              <w:bottom w:w="0" w:type="dxa"/>
              <w:right w:w="108" w:type="dxa"/>
            </w:tcMar>
          </w:tcPr>
          <w:p w14:paraId="44238C47" w14:textId="77777777" w:rsidR="00F729CD" w:rsidRPr="00814A92" w:rsidRDefault="00000000">
            <w:pPr>
              <w:spacing w:after="0" w:line="240" w:lineRule="auto"/>
              <w:rPr>
                <w:rFonts w:cstheme="minorHAnsi"/>
                <w:bCs/>
                <w:lang w:val="en-GB"/>
              </w:rPr>
            </w:pPr>
            <w:r w:rsidRPr="00814A92">
              <w:rPr>
                <w:rFonts w:cstheme="minorHAnsi"/>
                <w:bCs/>
                <w:lang w:val="en-GB"/>
              </w:rPr>
              <w:t>15 (fifteen) days from the date of receipt of a written request from the tenderer</w:t>
            </w:r>
          </w:p>
        </w:tc>
        <w:tc>
          <w:tcPr>
            <w:tcW w:w="2954" w:type="dxa"/>
            <w:shd w:val="clear" w:color="auto" w:fill="auto"/>
            <w:tcMar>
              <w:top w:w="0" w:type="dxa"/>
              <w:left w:w="108" w:type="dxa"/>
              <w:bottom w:w="0" w:type="dxa"/>
              <w:right w:w="108" w:type="dxa"/>
            </w:tcMar>
          </w:tcPr>
          <w:p w14:paraId="22C96386" w14:textId="77777777" w:rsidR="00F729CD" w:rsidRPr="00814A92" w:rsidRDefault="00F729CD">
            <w:pPr>
              <w:pStyle w:val="tajtip"/>
              <w:shd w:val="clear" w:color="auto" w:fill="FFFFFF"/>
              <w:spacing w:before="0" w:beforeAutospacing="0" w:after="0" w:afterAutospacing="0"/>
              <w:ind w:firstLine="313"/>
              <w:rPr>
                <w:rFonts w:asciiTheme="minorHAnsi" w:hAnsiTheme="minorHAnsi" w:cstheme="minorHAnsi"/>
                <w:sz w:val="20"/>
                <w:szCs w:val="20"/>
                <w:lang w:val="en-GB"/>
              </w:rPr>
            </w:pPr>
          </w:p>
        </w:tc>
      </w:tr>
      <w:tr w:rsidR="00F729CD" w:rsidRPr="00814A92" w14:paraId="3C791970" w14:textId="77777777">
        <w:trPr>
          <w:trHeight w:val="20"/>
        </w:trPr>
        <w:tc>
          <w:tcPr>
            <w:tcW w:w="726" w:type="dxa"/>
            <w:shd w:val="clear" w:color="auto" w:fill="auto"/>
            <w:tcMar>
              <w:top w:w="0" w:type="dxa"/>
              <w:left w:w="108" w:type="dxa"/>
              <w:bottom w:w="0" w:type="dxa"/>
              <w:right w:w="108" w:type="dxa"/>
            </w:tcMar>
          </w:tcPr>
          <w:p w14:paraId="334520A3"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7E01E687" w14:textId="77777777" w:rsidR="00F729CD" w:rsidRPr="00814A92" w:rsidRDefault="00000000">
            <w:pPr>
              <w:spacing w:after="0" w:line="240" w:lineRule="auto"/>
              <w:rPr>
                <w:rFonts w:cstheme="minorHAnsi"/>
                <w:bCs/>
                <w:lang w:val="en-GB"/>
              </w:rPr>
            </w:pPr>
            <w:r w:rsidRPr="00814A92">
              <w:rPr>
                <w:rFonts w:cstheme="minorHAnsi"/>
                <w:color w:val="000000"/>
                <w:shd w:val="clear" w:color="auto" w:fill="FFFFFF"/>
                <w:lang w:val="en-GB"/>
              </w:rPr>
              <w:t>The supplier shall have the right to lodge a complaint with the Contracting Authority, to make a request or to bring an action before a court not later than</w:t>
            </w:r>
          </w:p>
        </w:tc>
        <w:tc>
          <w:tcPr>
            <w:tcW w:w="3643" w:type="dxa"/>
            <w:shd w:val="clear" w:color="auto" w:fill="auto"/>
            <w:tcMar>
              <w:top w:w="0" w:type="dxa"/>
              <w:left w:w="108" w:type="dxa"/>
              <w:bottom w:w="0" w:type="dxa"/>
              <w:right w:w="108" w:type="dxa"/>
            </w:tcMar>
          </w:tcPr>
          <w:p w14:paraId="29F5B6AA" w14:textId="77777777" w:rsidR="00F729CD" w:rsidRPr="00814A92" w:rsidRDefault="00000000">
            <w:pPr>
              <w:spacing w:after="0" w:line="240" w:lineRule="auto"/>
              <w:rPr>
                <w:rFonts w:cstheme="minorHAnsi"/>
                <w:lang w:val="en-GB"/>
              </w:rPr>
            </w:pPr>
            <w:r w:rsidRPr="00814A92">
              <w:rPr>
                <w:rFonts w:cstheme="minorHAnsi"/>
                <w:lang w:val="en-GB"/>
              </w:rPr>
              <w:t>10 (ten) days from the date of dispatch of the Contracting Authority’s written notification of its decision to the suppliers, or from the date of publication of the Contracting Authority’s decision, if the Contracting Authority’s decision is not required to inform the suppliers in writing of the Contracting Authority’s decision;</w:t>
            </w:r>
          </w:p>
          <w:p w14:paraId="526D67B5" w14:textId="77777777" w:rsidR="00F729CD" w:rsidRPr="00814A92" w:rsidRDefault="00000000">
            <w:pPr>
              <w:spacing w:after="0" w:line="240" w:lineRule="auto"/>
              <w:jc w:val="both"/>
              <w:rPr>
                <w:rFonts w:cstheme="minorHAnsi"/>
                <w:lang w:val="en-GB"/>
              </w:rPr>
            </w:pPr>
            <w:r w:rsidRPr="00814A92">
              <w:rPr>
                <w:rFonts w:cstheme="minorHAnsi"/>
                <w:lang w:val="en-GB"/>
              </w:rPr>
              <w:t>15 (fifteen) days from the date of dispatch of the notice to the suppliers, unless the notice was sent by electronic means.</w:t>
            </w:r>
          </w:p>
        </w:tc>
        <w:tc>
          <w:tcPr>
            <w:tcW w:w="2954" w:type="dxa"/>
            <w:shd w:val="clear" w:color="auto" w:fill="auto"/>
            <w:tcMar>
              <w:top w:w="0" w:type="dxa"/>
              <w:left w:w="108" w:type="dxa"/>
              <w:bottom w:w="0" w:type="dxa"/>
              <w:right w:w="108" w:type="dxa"/>
            </w:tcMar>
          </w:tcPr>
          <w:p w14:paraId="4A305D53" w14:textId="77777777" w:rsidR="00F729CD" w:rsidRPr="00814A92" w:rsidRDefault="00F729CD">
            <w:pPr>
              <w:spacing w:after="0" w:line="240" w:lineRule="auto"/>
              <w:rPr>
                <w:rFonts w:cstheme="minorHAnsi"/>
                <w:bCs/>
                <w:lang w:val="en-GB"/>
              </w:rPr>
            </w:pPr>
          </w:p>
        </w:tc>
      </w:tr>
      <w:tr w:rsidR="00F729CD" w:rsidRPr="00814A92" w14:paraId="7C638C1B" w14:textId="77777777">
        <w:trPr>
          <w:trHeight w:val="20"/>
        </w:trPr>
        <w:tc>
          <w:tcPr>
            <w:tcW w:w="726" w:type="dxa"/>
            <w:shd w:val="clear" w:color="auto" w:fill="auto"/>
            <w:tcMar>
              <w:top w:w="0" w:type="dxa"/>
              <w:left w:w="108" w:type="dxa"/>
              <w:bottom w:w="0" w:type="dxa"/>
              <w:right w:w="108" w:type="dxa"/>
            </w:tcMar>
          </w:tcPr>
          <w:p w14:paraId="0CD1A0D4"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shd w:val="clear" w:color="auto" w:fill="auto"/>
            <w:tcMar>
              <w:top w:w="0" w:type="dxa"/>
              <w:left w:w="108" w:type="dxa"/>
              <w:bottom w:w="0" w:type="dxa"/>
              <w:right w:w="108" w:type="dxa"/>
            </w:tcMar>
          </w:tcPr>
          <w:p w14:paraId="61138EE6" w14:textId="77777777" w:rsidR="00F729CD" w:rsidRPr="00814A92" w:rsidRDefault="00000000">
            <w:pPr>
              <w:spacing w:after="0" w:line="240" w:lineRule="auto"/>
              <w:rPr>
                <w:rFonts w:cstheme="minorHAnsi"/>
                <w:lang w:val="en-GB"/>
              </w:rPr>
            </w:pPr>
            <w:r w:rsidRPr="00814A92">
              <w:rPr>
                <w:rFonts w:cstheme="minorHAnsi"/>
                <w:lang w:val="en-GB"/>
              </w:rPr>
              <w:t>The Contracting Authority must examine the supplier’s complaint, take a reasoned decision and notify the complaining supplier and the tenderers concerned in writing of the decision, as well as of any change in the time limits of the procurement procedure notified earlier, no later than within</w:t>
            </w:r>
          </w:p>
        </w:tc>
        <w:tc>
          <w:tcPr>
            <w:tcW w:w="3643" w:type="dxa"/>
            <w:shd w:val="clear" w:color="auto" w:fill="auto"/>
            <w:tcMar>
              <w:top w:w="0" w:type="dxa"/>
              <w:left w:w="108" w:type="dxa"/>
              <w:bottom w:w="0" w:type="dxa"/>
              <w:right w:w="108" w:type="dxa"/>
            </w:tcMar>
          </w:tcPr>
          <w:p w14:paraId="465DFC00" w14:textId="77777777" w:rsidR="00F729CD" w:rsidRPr="00814A92" w:rsidRDefault="00000000">
            <w:pPr>
              <w:spacing w:after="0" w:line="240" w:lineRule="auto"/>
              <w:rPr>
                <w:rFonts w:cstheme="minorHAnsi"/>
                <w:lang w:val="en-GB"/>
              </w:rPr>
            </w:pPr>
            <w:r w:rsidRPr="00814A92">
              <w:rPr>
                <w:rFonts w:cstheme="minorHAnsi"/>
                <w:lang w:val="en-GB"/>
              </w:rPr>
              <w:t>6 (six) working days after receipt of the claim</w:t>
            </w:r>
          </w:p>
        </w:tc>
        <w:tc>
          <w:tcPr>
            <w:tcW w:w="2954" w:type="dxa"/>
            <w:shd w:val="clear" w:color="auto" w:fill="auto"/>
            <w:tcMar>
              <w:top w:w="0" w:type="dxa"/>
              <w:left w:w="108" w:type="dxa"/>
              <w:bottom w:w="0" w:type="dxa"/>
              <w:right w:w="108" w:type="dxa"/>
            </w:tcMar>
          </w:tcPr>
          <w:p w14:paraId="1E995BCD" w14:textId="77777777" w:rsidR="00F729CD" w:rsidRPr="00814A92" w:rsidRDefault="00F729CD">
            <w:pPr>
              <w:spacing w:after="0" w:line="240" w:lineRule="auto"/>
              <w:rPr>
                <w:rFonts w:cstheme="minorHAnsi"/>
                <w:lang w:val="en-GB"/>
              </w:rPr>
            </w:pPr>
          </w:p>
        </w:tc>
      </w:tr>
      <w:tr w:rsidR="00F729CD" w:rsidRPr="00814A92" w14:paraId="1EAF65C0" w14:textId="77777777">
        <w:trPr>
          <w:trHeight w:val="20"/>
        </w:trPr>
        <w:tc>
          <w:tcPr>
            <w:tcW w:w="726" w:type="dxa"/>
            <w:shd w:val="clear" w:color="auto" w:fill="auto"/>
            <w:tcMar>
              <w:top w:w="0" w:type="dxa"/>
              <w:left w:w="108" w:type="dxa"/>
              <w:bottom w:w="0" w:type="dxa"/>
              <w:right w:w="108" w:type="dxa"/>
            </w:tcMar>
          </w:tcPr>
          <w:p w14:paraId="1202D056"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10FF35B5" w14:textId="77777777" w:rsidR="00F729CD" w:rsidRPr="00814A92" w:rsidRDefault="00000000">
            <w:pPr>
              <w:spacing w:after="0" w:line="240" w:lineRule="auto"/>
              <w:rPr>
                <w:rFonts w:cstheme="minorHAnsi"/>
                <w:bCs/>
                <w:lang w:val="en-GB"/>
              </w:rPr>
            </w:pPr>
            <w:r w:rsidRPr="00814A92">
              <w:rPr>
                <w:rFonts w:cstheme="minorHAnsi"/>
                <w:lang w:val="en-GB"/>
              </w:rPr>
              <w:t>If the Contracting Authority does not deal with the claim submitted to it within the time limit, the supplier has the right to apply to the courts for a declaration that the contract is void (except for an action for annulment)</w:t>
            </w:r>
          </w:p>
        </w:tc>
        <w:tc>
          <w:tcPr>
            <w:tcW w:w="3643" w:type="dxa"/>
            <w:shd w:val="clear" w:color="auto" w:fill="auto"/>
            <w:tcMar>
              <w:top w:w="0" w:type="dxa"/>
              <w:left w:w="108" w:type="dxa"/>
              <w:bottom w:w="0" w:type="dxa"/>
              <w:right w:w="108" w:type="dxa"/>
            </w:tcMar>
          </w:tcPr>
          <w:p w14:paraId="29BC18A7" w14:textId="77777777" w:rsidR="00F729CD" w:rsidRPr="00814A92" w:rsidRDefault="00000000">
            <w:pPr>
              <w:spacing w:after="0" w:line="240" w:lineRule="auto"/>
              <w:rPr>
                <w:rFonts w:cstheme="minorHAnsi"/>
                <w:lang w:val="en-GB"/>
              </w:rPr>
            </w:pPr>
            <w:r w:rsidRPr="00814A92">
              <w:rPr>
                <w:rFonts w:cstheme="minorHAnsi"/>
                <w:lang w:val="en-GB"/>
              </w:rPr>
              <w:t>within 15 (fifteen) days from the date on which the Contracting Authority should have notified in writing the decision to the supplier who has lodged the complaint and to the tenderers concerned.</w:t>
            </w:r>
          </w:p>
        </w:tc>
        <w:tc>
          <w:tcPr>
            <w:tcW w:w="2954" w:type="dxa"/>
            <w:shd w:val="clear" w:color="auto" w:fill="auto"/>
            <w:tcMar>
              <w:top w:w="0" w:type="dxa"/>
              <w:left w:w="108" w:type="dxa"/>
              <w:bottom w:w="0" w:type="dxa"/>
              <w:right w:w="108" w:type="dxa"/>
            </w:tcMar>
          </w:tcPr>
          <w:p w14:paraId="300A857A" w14:textId="77777777" w:rsidR="00F729CD" w:rsidRPr="00814A92" w:rsidRDefault="00F729CD">
            <w:pPr>
              <w:spacing w:after="0" w:line="240" w:lineRule="auto"/>
              <w:rPr>
                <w:rFonts w:cstheme="minorHAnsi"/>
                <w:lang w:val="en-GB"/>
              </w:rPr>
            </w:pPr>
          </w:p>
        </w:tc>
      </w:tr>
      <w:tr w:rsidR="00F729CD" w:rsidRPr="00814A92" w14:paraId="29513BAE" w14:textId="77777777">
        <w:trPr>
          <w:trHeight w:val="20"/>
        </w:trPr>
        <w:tc>
          <w:tcPr>
            <w:tcW w:w="726" w:type="dxa"/>
            <w:shd w:val="clear" w:color="auto" w:fill="auto"/>
            <w:tcMar>
              <w:top w:w="0" w:type="dxa"/>
              <w:left w:w="108" w:type="dxa"/>
              <w:bottom w:w="0" w:type="dxa"/>
              <w:right w:w="108" w:type="dxa"/>
            </w:tcMar>
          </w:tcPr>
          <w:p w14:paraId="49DF34B7"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shd w:val="clear" w:color="auto" w:fill="auto"/>
            <w:tcMar>
              <w:top w:w="0" w:type="dxa"/>
              <w:left w:w="108" w:type="dxa"/>
              <w:bottom w:w="0" w:type="dxa"/>
              <w:right w:w="108" w:type="dxa"/>
            </w:tcMar>
          </w:tcPr>
          <w:p w14:paraId="12F632A4" w14:textId="77777777" w:rsidR="00F729CD" w:rsidRPr="00814A92" w:rsidRDefault="00000000">
            <w:pPr>
              <w:spacing w:after="0" w:line="240" w:lineRule="auto"/>
              <w:rPr>
                <w:rFonts w:cstheme="minorHAnsi"/>
                <w:lang w:val="en-GB"/>
              </w:rPr>
            </w:pPr>
            <w:r w:rsidRPr="00814A92">
              <w:rPr>
                <w:rFonts w:cstheme="minorHAnsi"/>
                <w:lang w:val="en-GB"/>
              </w:rPr>
              <w:t>The Contracting Authority may not award the contract before</w:t>
            </w:r>
          </w:p>
        </w:tc>
        <w:tc>
          <w:tcPr>
            <w:tcW w:w="3643" w:type="dxa"/>
            <w:shd w:val="clear" w:color="auto" w:fill="auto"/>
            <w:tcMar>
              <w:top w:w="0" w:type="dxa"/>
              <w:left w:w="108" w:type="dxa"/>
              <w:bottom w:w="0" w:type="dxa"/>
              <w:right w:w="108" w:type="dxa"/>
            </w:tcMar>
          </w:tcPr>
          <w:p w14:paraId="0A016F1C" w14:textId="77777777" w:rsidR="00F729CD" w:rsidRPr="00814A92" w:rsidRDefault="00000000">
            <w:pPr>
              <w:spacing w:after="0" w:line="240" w:lineRule="auto"/>
              <w:jc w:val="both"/>
              <w:rPr>
                <w:rFonts w:cstheme="minorHAnsi"/>
                <w:bCs/>
                <w:lang w:val="en-GB"/>
              </w:rPr>
            </w:pPr>
            <w:r w:rsidRPr="00814A92">
              <w:rPr>
                <w:rFonts w:cstheme="minorHAnsi"/>
                <w:bCs/>
                <w:lang w:val="en-GB"/>
              </w:rPr>
              <w:t>10 (ten) days from the date of dispatch of the notice of the decision to award the contract (or, in the case of a complaint, the written notification of its decision on the complaint) from the contracting authority to the tenderers, and, if the notice has not been sent electronically, not earlier than 15 (fifteen) days later.</w:t>
            </w:r>
          </w:p>
          <w:p w14:paraId="74103B1E" w14:textId="77777777" w:rsidR="00F729CD" w:rsidRPr="00814A92" w:rsidRDefault="00F729CD">
            <w:pPr>
              <w:spacing w:after="0" w:line="240" w:lineRule="auto"/>
              <w:jc w:val="both"/>
              <w:rPr>
                <w:rFonts w:cstheme="minorHAnsi"/>
                <w:lang w:val="en-GB"/>
              </w:rPr>
            </w:pPr>
          </w:p>
        </w:tc>
        <w:tc>
          <w:tcPr>
            <w:tcW w:w="2954" w:type="dxa"/>
            <w:shd w:val="clear" w:color="auto" w:fill="auto"/>
            <w:tcMar>
              <w:top w:w="0" w:type="dxa"/>
              <w:left w:w="108" w:type="dxa"/>
              <w:bottom w:w="0" w:type="dxa"/>
              <w:right w:w="108" w:type="dxa"/>
            </w:tcMar>
          </w:tcPr>
          <w:p w14:paraId="2DB8E5B6" w14:textId="77777777" w:rsidR="00F729CD" w:rsidRPr="00814A92" w:rsidRDefault="00F729CD">
            <w:pPr>
              <w:spacing w:after="0" w:line="240" w:lineRule="auto"/>
              <w:rPr>
                <w:rFonts w:cstheme="minorHAnsi"/>
                <w:lang w:val="en-GB"/>
              </w:rPr>
            </w:pPr>
          </w:p>
        </w:tc>
      </w:tr>
      <w:tr w:rsidR="00F729CD" w:rsidRPr="00814A92" w14:paraId="06CED44F" w14:textId="77777777">
        <w:trPr>
          <w:trHeight w:val="20"/>
        </w:trPr>
        <w:tc>
          <w:tcPr>
            <w:tcW w:w="726" w:type="dxa"/>
            <w:shd w:val="clear" w:color="auto" w:fill="auto"/>
            <w:tcMar>
              <w:top w:w="0" w:type="dxa"/>
              <w:left w:w="108" w:type="dxa"/>
              <w:bottom w:w="0" w:type="dxa"/>
              <w:right w:w="108" w:type="dxa"/>
            </w:tcMar>
          </w:tcPr>
          <w:p w14:paraId="2C6B3D68"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shd w:val="clear" w:color="auto" w:fill="auto"/>
            <w:tcMar>
              <w:top w:w="0" w:type="dxa"/>
              <w:left w:w="108" w:type="dxa"/>
              <w:bottom w:w="0" w:type="dxa"/>
              <w:right w:w="108" w:type="dxa"/>
            </w:tcMar>
          </w:tcPr>
          <w:p w14:paraId="291F854A" w14:textId="77777777" w:rsidR="00F729CD" w:rsidRPr="00814A92" w:rsidRDefault="00000000">
            <w:pPr>
              <w:spacing w:after="0" w:line="240" w:lineRule="auto"/>
              <w:rPr>
                <w:rFonts w:cstheme="minorHAnsi"/>
                <w:lang w:val="en-GB"/>
              </w:rPr>
            </w:pPr>
            <w:r w:rsidRPr="00814A92">
              <w:rPr>
                <w:rFonts w:cstheme="minorHAnsi"/>
                <w:lang w:val="en-GB"/>
              </w:rPr>
              <w:t>If the tenderer concerned asks the Contracting Authority to submit the successful tender</w:t>
            </w:r>
          </w:p>
        </w:tc>
        <w:tc>
          <w:tcPr>
            <w:tcW w:w="3643" w:type="dxa"/>
            <w:shd w:val="clear" w:color="auto" w:fill="auto"/>
            <w:tcMar>
              <w:top w:w="0" w:type="dxa"/>
              <w:left w:w="108" w:type="dxa"/>
              <w:bottom w:w="0" w:type="dxa"/>
              <w:right w:w="108" w:type="dxa"/>
            </w:tcMar>
          </w:tcPr>
          <w:p w14:paraId="39493ECD" w14:textId="77777777" w:rsidR="00F729CD" w:rsidRPr="00814A92" w:rsidRDefault="00000000">
            <w:pPr>
              <w:spacing w:after="0" w:line="240" w:lineRule="auto"/>
              <w:jc w:val="both"/>
              <w:rPr>
                <w:rFonts w:cstheme="minorHAnsi"/>
                <w:lang w:val="en-GB"/>
              </w:rPr>
            </w:pPr>
            <w:r w:rsidRPr="00814A92">
              <w:rPr>
                <w:rFonts w:cstheme="minorHAnsi"/>
                <w:lang w:val="en-GB"/>
              </w:rPr>
              <w:t xml:space="preserve">The time limit and the standstill period laid down in Article 102(1) of the PPL shall be extended for an additional period starting from the date on which the interested tenderer’s request to submit the successful tender is submitted to the contracting authority and ending on the date on which the tender is submitted to the interested tenderer. If the successful tenderer’s tender is submitted on the same day as requested, the time limit laid down in Article 102(1) of the PPL and the period of delay shall be extended by one working day. </w:t>
            </w:r>
          </w:p>
          <w:p w14:paraId="49FB0CEC" w14:textId="77777777" w:rsidR="00F729CD" w:rsidRPr="00814A92" w:rsidRDefault="00F729CD">
            <w:pPr>
              <w:spacing w:after="0" w:line="240" w:lineRule="auto"/>
              <w:jc w:val="both"/>
              <w:rPr>
                <w:rFonts w:cstheme="minorHAnsi"/>
                <w:i/>
                <w:iCs/>
                <w:color w:val="FF0000"/>
                <w:lang w:val="en-GB"/>
              </w:rPr>
            </w:pPr>
          </w:p>
        </w:tc>
        <w:tc>
          <w:tcPr>
            <w:tcW w:w="2954" w:type="dxa"/>
            <w:shd w:val="clear" w:color="auto" w:fill="auto"/>
            <w:tcMar>
              <w:top w:w="0" w:type="dxa"/>
              <w:left w:w="108" w:type="dxa"/>
              <w:bottom w:w="0" w:type="dxa"/>
              <w:right w:w="108" w:type="dxa"/>
            </w:tcMar>
          </w:tcPr>
          <w:p w14:paraId="3F2B9A64" w14:textId="77777777" w:rsidR="00F729CD" w:rsidRPr="00814A92" w:rsidRDefault="00F729CD">
            <w:pPr>
              <w:spacing w:after="0" w:line="240" w:lineRule="auto"/>
              <w:rPr>
                <w:rFonts w:cstheme="minorHAnsi"/>
                <w:lang w:val="en-GB"/>
              </w:rPr>
            </w:pPr>
          </w:p>
        </w:tc>
      </w:tr>
    </w:tbl>
    <w:p w14:paraId="47B39658" w14:textId="77777777" w:rsidR="00F729CD" w:rsidRPr="00814A92" w:rsidRDefault="00F729CD">
      <w:pPr>
        <w:tabs>
          <w:tab w:val="left" w:pos="2977"/>
        </w:tabs>
        <w:spacing w:after="120" w:line="20" w:lineRule="atLeast"/>
        <w:jc w:val="center"/>
        <w:rPr>
          <w:rFonts w:eastAsia="Calibri" w:cstheme="minorHAnsi"/>
          <w:lang w:val="en-GB"/>
        </w:rPr>
      </w:pPr>
    </w:p>
    <w:p w14:paraId="4F9B77EC" w14:textId="77777777" w:rsidR="00F729CD" w:rsidRPr="00814A92" w:rsidRDefault="00000000">
      <w:pPr>
        <w:rPr>
          <w:rFonts w:eastAsia="Calibri" w:cstheme="minorHAnsi"/>
          <w:lang w:val="en-GB"/>
        </w:rPr>
      </w:pPr>
      <w:r w:rsidRPr="00814A92">
        <w:rPr>
          <w:rFonts w:eastAsia="Calibri" w:cstheme="minorHAnsi"/>
          <w:lang w:val="en-GB"/>
        </w:rPr>
        <w:br w:type="page"/>
      </w:r>
    </w:p>
    <w:p w14:paraId="1A547D4A"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29" w:name="_Toc10812"/>
      <w:r w:rsidRPr="00814A92">
        <w:rPr>
          <w:rFonts w:asciiTheme="minorHAnsi" w:eastAsia="Calibri" w:hAnsiTheme="minorHAnsi" w:cstheme="minorHAnsi"/>
          <w:color w:val="0070C0"/>
          <w:sz w:val="21"/>
          <w:szCs w:val="21"/>
          <w:lang w:val="en-GB"/>
        </w:rPr>
        <w:lastRenderedPageBreak/>
        <w:t>Annex 2 “Technical Specification” to the Procurement Conditions</w:t>
      </w:r>
      <w:bookmarkEnd w:id="29"/>
    </w:p>
    <w:p w14:paraId="36575095" w14:textId="77777777" w:rsidR="00F729CD" w:rsidRPr="00814A92" w:rsidRDefault="00F729CD">
      <w:pPr>
        <w:jc w:val="center"/>
        <w:rPr>
          <w:rFonts w:cstheme="minorHAnsi"/>
          <w:b/>
          <w:bCs/>
          <w:lang w:val="en-GB"/>
        </w:rPr>
      </w:pPr>
    </w:p>
    <w:p w14:paraId="4EBB2FA8" w14:textId="77777777" w:rsidR="00F729CD" w:rsidRPr="00814A92" w:rsidRDefault="00000000">
      <w:pPr>
        <w:contextualSpacing/>
        <w:jc w:val="center"/>
        <w:rPr>
          <w:b/>
          <w:sz w:val="28"/>
          <w:szCs w:val="28"/>
          <w:lang w:val="en-GB"/>
        </w:rPr>
      </w:pPr>
      <w:r w:rsidRPr="00814A92">
        <w:rPr>
          <w:b/>
          <w:sz w:val="28"/>
          <w:szCs w:val="28"/>
          <w:lang w:val="en-GB"/>
        </w:rPr>
        <w:t xml:space="preserve">TECHNICAL SPECIFICATION FOR THE PROCUREMENT </w:t>
      </w:r>
    </w:p>
    <w:p w14:paraId="7E201D77" w14:textId="77777777" w:rsidR="00F729CD" w:rsidRPr="00814A92" w:rsidRDefault="00000000">
      <w:pPr>
        <w:contextualSpacing/>
        <w:jc w:val="center"/>
        <w:rPr>
          <w:b/>
          <w:sz w:val="28"/>
          <w:szCs w:val="28"/>
          <w:lang w:val="en-GB"/>
        </w:rPr>
      </w:pPr>
      <w:r w:rsidRPr="00814A92">
        <w:rPr>
          <w:b/>
          <w:sz w:val="28"/>
          <w:szCs w:val="28"/>
          <w:lang w:val="en-GB"/>
        </w:rPr>
        <w:t xml:space="preserve">OF FLIGHT MAINTENANCE AND ADMINISTRATION SERVICES OF THE </w:t>
      </w:r>
    </w:p>
    <w:p w14:paraId="31174B7A" w14:textId="77777777" w:rsidR="00F729CD" w:rsidRPr="00814A92" w:rsidRDefault="00000000">
      <w:pPr>
        <w:contextualSpacing/>
        <w:jc w:val="center"/>
        <w:rPr>
          <w:b/>
          <w:sz w:val="28"/>
          <w:szCs w:val="28"/>
          <w:lang w:val="en-GB"/>
        </w:rPr>
      </w:pPr>
      <w:r w:rsidRPr="00814A92">
        <w:rPr>
          <w:b/>
          <w:sz w:val="28"/>
          <w:szCs w:val="28"/>
          <w:lang w:val="en-GB"/>
        </w:rPr>
        <w:t xml:space="preserve">STATE BORDER GUARD SERVICE UNDER THE MINISTRY </w:t>
      </w:r>
    </w:p>
    <w:p w14:paraId="65B75ADD" w14:textId="77777777" w:rsidR="00F729CD" w:rsidRPr="00814A92" w:rsidRDefault="00000000">
      <w:pPr>
        <w:contextualSpacing/>
        <w:jc w:val="center"/>
        <w:rPr>
          <w:b/>
          <w:sz w:val="28"/>
          <w:szCs w:val="28"/>
          <w:lang w:val="en-GB"/>
        </w:rPr>
      </w:pPr>
      <w:r w:rsidRPr="00814A92">
        <w:rPr>
          <w:b/>
          <w:sz w:val="28"/>
          <w:szCs w:val="28"/>
          <w:lang w:val="en-GB"/>
        </w:rPr>
        <w:t>OF THE INTERIOR OF THE REPUBLIC OF LITHUANIA</w:t>
      </w:r>
    </w:p>
    <w:p w14:paraId="4625BE6E" w14:textId="77777777" w:rsidR="00F729CD" w:rsidRPr="00814A92" w:rsidRDefault="00F729CD">
      <w:pPr>
        <w:rPr>
          <w:b/>
          <w:lang w:val="en-GB"/>
        </w:rPr>
      </w:pPr>
    </w:p>
    <w:p w14:paraId="31075C40" w14:textId="77777777" w:rsidR="00F729CD" w:rsidRPr="00814A92" w:rsidRDefault="00000000">
      <w:pPr>
        <w:jc w:val="both"/>
        <w:rPr>
          <w:b/>
          <w:lang w:val="en-GB"/>
        </w:rPr>
      </w:pPr>
      <w:r w:rsidRPr="00814A92">
        <w:rPr>
          <w:b/>
          <w:lang w:val="en-GB"/>
        </w:rPr>
        <w:t xml:space="preserve">1. Description of the procurement for flight maintenance and administration service (hereinafter referred to as flight maintenance and administration service) of the State Border Guard Service under the Ministry of the Interior of the Republic of Lithuania (hereinafter referred to as the Service). </w:t>
      </w:r>
    </w:p>
    <w:p w14:paraId="026AD85F" w14:textId="77777777" w:rsidR="00F729CD" w:rsidRPr="00814A92" w:rsidRDefault="00000000">
      <w:pPr>
        <w:jc w:val="both"/>
        <w:rPr>
          <w:lang w:val="en-GB"/>
        </w:rPr>
      </w:pPr>
      <w:r w:rsidRPr="00814A92">
        <w:rPr>
          <w:lang w:val="en-GB"/>
        </w:rPr>
        <w:t>1.1. The Service shall, in the exercise of its functions, conduct international flights by crew members and other personnel in accordance with their assigned tasks. In order to ensure a more efficient and rational use of the available human resources, to provide a more expeditious service at the airports, to facilitate the payment for services rendered, and to comply with the requirements of public procurement, a flight service and administration service is required, consisting of:</w:t>
      </w:r>
    </w:p>
    <w:p w14:paraId="57FB752C" w14:textId="427EB11C" w:rsidR="00F729CD" w:rsidRPr="00814A92" w:rsidRDefault="00814A92">
      <w:pPr>
        <w:numPr>
          <w:ilvl w:val="2"/>
          <w:numId w:val="12"/>
        </w:numPr>
        <w:spacing w:after="0" w:line="240" w:lineRule="auto"/>
        <w:jc w:val="both"/>
        <w:rPr>
          <w:lang w:val="en-GB"/>
        </w:rPr>
      </w:pPr>
      <w:r w:rsidRPr="00814A92">
        <w:rPr>
          <w:lang w:val="en-GB"/>
        </w:rPr>
        <w:t xml:space="preserve">aircraft servicing at the airport (excluding aircraft maintenance); </w:t>
      </w:r>
    </w:p>
    <w:p w14:paraId="64CB0FD2" w14:textId="77777777" w:rsidR="00F729CD" w:rsidRPr="00814A92" w:rsidRDefault="00000000">
      <w:pPr>
        <w:numPr>
          <w:ilvl w:val="2"/>
          <w:numId w:val="12"/>
        </w:numPr>
        <w:spacing w:after="0" w:line="240" w:lineRule="auto"/>
        <w:jc w:val="both"/>
        <w:rPr>
          <w:lang w:val="en-GB"/>
        </w:rPr>
      </w:pPr>
      <w:r w:rsidRPr="00814A92">
        <w:rPr>
          <w:lang w:val="en-GB"/>
        </w:rPr>
        <w:t>refuelling;</w:t>
      </w:r>
    </w:p>
    <w:p w14:paraId="5D2ADF47" w14:textId="77777777" w:rsidR="00F729CD" w:rsidRPr="00814A92" w:rsidRDefault="00000000">
      <w:pPr>
        <w:numPr>
          <w:ilvl w:val="2"/>
          <w:numId w:val="12"/>
        </w:numPr>
        <w:spacing w:after="0" w:line="240" w:lineRule="auto"/>
        <w:jc w:val="both"/>
        <w:rPr>
          <w:lang w:val="en-GB"/>
        </w:rPr>
      </w:pPr>
      <w:r w:rsidRPr="00814A92">
        <w:rPr>
          <w:lang w:val="en-GB"/>
        </w:rPr>
        <w:t>transportation of crew(s) and other personnel;</w:t>
      </w:r>
    </w:p>
    <w:p w14:paraId="50C48786" w14:textId="77777777" w:rsidR="00F729CD" w:rsidRPr="00814A92" w:rsidRDefault="00000000">
      <w:pPr>
        <w:numPr>
          <w:ilvl w:val="2"/>
          <w:numId w:val="12"/>
        </w:numPr>
        <w:spacing w:after="0" w:line="240" w:lineRule="auto"/>
        <w:jc w:val="both"/>
        <w:rPr>
          <w:lang w:val="en-GB"/>
        </w:rPr>
      </w:pPr>
      <w:r w:rsidRPr="00814A92">
        <w:rPr>
          <w:lang w:val="en-GB"/>
        </w:rPr>
        <w:t>hotel accommodation for crew(s) and other personnel;</w:t>
      </w:r>
    </w:p>
    <w:p w14:paraId="1E900CA1" w14:textId="77777777" w:rsidR="00F729CD" w:rsidRPr="00814A92" w:rsidRDefault="00000000">
      <w:pPr>
        <w:numPr>
          <w:ilvl w:val="2"/>
          <w:numId w:val="12"/>
        </w:numPr>
        <w:spacing w:after="0" w:line="240" w:lineRule="auto"/>
        <w:jc w:val="both"/>
        <w:rPr>
          <w:lang w:val="en-GB"/>
        </w:rPr>
      </w:pPr>
      <w:r w:rsidRPr="00814A92">
        <w:rPr>
          <w:lang w:val="en-GB"/>
        </w:rPr>
        <w:t>provision of aeronautical navigation information;</w:t>
      </w:r>
    </w:p>
    <w:p w14:paraId="17413403" w14:textId="77777777" w:rsidR="00F729CD" w:rsidRPr="00814A92" w:rsidRDefault="00000000">
      <w:pPr>
        <w:jc w:val="both"/>
        <w:rPr>
          <w:lang w:val="en-GB"/>
        </w:rPr>
      </w:pPr>
      <w:r w:rsidRPr="00814A92">
        <w:rPr>
          <w:lang w:val="en-GB"/>
        </w:rPr>
        <w:t>1.2. The following European States and their international airports must provide flight service and administration on demand:</w:t>
      </w:r>
    </w:p>
    <w:p w14:paraId="3B75216B" w14:textId="77777777" w:rsidR="00F729CD" w:rsidRPr="00814A92" w:rsidRDefault="00000000">
      <w:pPr>
        <w:jc w:val="both"/>
        <w:rPr>
          <w:lang w:val="en-GB"/>
        </w:rPr>
      </w:pPr>
      <w:r w:rsidRPr="00814A92">
        <w:rPr>
          <w:lang w:val="en-GB"/>
        </w:rPr>
        <w:t xml:space="preserve">Table 1: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2410"/>
        <w:gridCol w:w="1984"/>
        <w:gridCol w:w="2268"/>
      </w:tblGrid>
      <w:tr w:rsidR="00F729CD" w:rsidRPr="00814A92" w14:paraId="3FE4CF84" w14:textId="77777777">
        <w:tc>
          <w:tcPr>
            <w:tcW w:w="1384" w:type="dxa"/>
          </w:tcPr>
          <w:p w14:paraId="178FE6E8" w14:textId="77777777" w:rsidR="00F729CD" w:rsidRPr="00814A92" w:rsidRDefault="00000000">
            <w:pPr>
              <w:jc w:val="both"/>
              <w:rPr>
                <w:lang w:val="en-GB"/>
              </w:rPr>
            </w:pPr>
            <w:r w:rsidRPr="00814A92">
              <w:rPr>
                <w:lang w:val="en-GB"/>
              </w:rPr>
              <w:t>1. Austria</w:t>
            </w:r>
          </w:p>
        </w:tc>
        <w:tc>
          <w:tcPr>
            <w:tcW w:w="1701" w:type="dxa"/>
          </w:tcPr>
          <w:p w14:paraId="069A0E61" w14:textId="77777777" w:rsidR="00F729CD" w:rsidRPr="00814A92" w:rsidRDefault="00000000">
            <w:pPr>
              <w:jc w:val="both"/>
              <w:rPr>
                <w:lang w:val="en-GB"/>
              </w:rPr>
            </w:pPr>
            <w:r w:rsidRPr="00814A92">
              <w:rPr>
                <w:lang w:val="en-GB"/>
              </w:rPr>
              <w:t>7. Greece</w:t>
            </w:r>
          </w:p>
        </w:tc>
        <w:tc>
          <w:tcPr>
            <w:tcW w:w="2410" w:type="dxa"/>
          </w:tcPr>
          <w:p w14:paraId="5F264646" w14:textId="77777777" w:rsidR="00F729CD" w:rsidRPr="00814A92" w:rsidRDefault="00000000">
            <w:pPr>
              <w:jc w:val="both"/>
              <w:rPr>
                <w:lang w:val="en-GB"/>
              </w:rPr>
            </w:pPr>
            <w:r w:rsidRPr="00814A92">
              <w:rPr>
                <w:lang w:val="en-GB"/>
              </w:rPr>
              <w:t>13. Lithuania</w:t>
            </w:r>
          </w:p>
        </w:tc>
        <w:tc>
          <w:tcPr>
            <w:tcW w:w="1984" w:type="dxa"/>
          </w:tcPr>
          <w:p w14:paraId="5A62DD9E" w14:textId="77777777" w:rsidR="00F729CD" w:rsidRPr="00814A92" w:rsidRDefault="00000000">
            <w:pPr>
              <w:jc w:val="both"/>
              <w:rPr>
                <w:lang w:val="en-GB"/>
              </w:rPr>
            </w:pPr>
            <w:r w:rsidRPr="00814A92">
              <w:rPr>
                <w:lang w:val="en-GB"/>
              </w:rPr>
              <w:t>19. France</w:t>
            </w:r>
          </w:p>
        </w:tc>
        <w:tc>
          <w:tcPr>
            <w:tcW w:w="2268" w:type="dxa"/>
          </w:tcPr>
          <w:p w14:paraId="1DDCEFB6" w14:textId="77777777" w:rsidR="00F729CD" w:rsidRPr="00814A92" w:rsidRDefault="00000000">
            <w:pPr>
              <w:jc w:val="both"/>
              <w:rPr>
                <w:lang w:val="en-GB"/>
              </w:rPr>
            </w:pPr>
            <w:r w:rsidRPr="00814A92">
              <w:rPr>
                <w:lang w:val="en-GB"/>
              </w:rPr>
              <w:t>25. Sweden</w:t>
            </w:r>
          </w:p>
        </w:tc>
      </w:tr>
      <w:tr w:rsidR="00F729CD" w:rsidRPr="00814A92" w14:paraId="7A87C92F" w14:textId="77777777">
        <w:tc>
          <w:tcPr>
            <w:tcW w:w="1384" w:type="dxa"/>
          </w:tcPr>
          <w:p w14:paraId="47F9CFD9" w14:textId="77777777" w:rsidR="00F729CD" w:rsidRPr="00814A92" w:rsidRDefault="00000000">
            <w:pPr>
              <w:jc w:val="both"/>
              <w:rPr>
                <w:lang w:val="en-GB"/>
              </w:rPr>
            </w:pPr>
            <w:r w:rsidRPr="00814A92">
              <w:rPr>
                <w:lang w:val="en-GB"/>
              </w:rPr>
              <w:t>2. Belgium</w:t>
            </w:r>
          </w:p>
        </w:tc>
        <w:tc>
          <w:tcPr>
            <w:tcW w:w="1701" w:type="dxa"/>
          </w:tcPr>
          <w:p w14:paraId="55A789F4" w14:textId="77777777" w:rsidR="00F729CD" w:rsidRPr="00814A92" w:rsidRDefault="00000000">
            <w:pPr>
              <w:jc w:val="both"/>
              <w:rPr>
                <w:lang w:val="en-GB"/>
              </w:rPr>
            </w:pPr>
            <w:r w:rsidRPr="00814A92">
              <w:rPr>
                <w:lang w:val="en-GB"/>
              </w:rPr>
              <w:t>8. Italy</w:t>
            </w:r>
          </w:p>
        </w:tc>
        <w:tc>
          <w:tcPr>
            <w:tcW w:w="2410" w:type="dxa"/>
          </w:tcPr>
          <w:p w14:paraId="1764327B" w14:textId="77777777" w:rsidR="00F729CD" w:rsidRPr="00814A92" w:rsidRDefault="00000000">
            <w:pPr>
              <w:jc w:val="both"/>
              <w:rPr>
                <w:lang w:val="en-GB"/>
              </w:rPr>
            </w:pPr>
            <w:r w:rsidRPr="00814A92">
              <w:rPr>
                <w:lang w:val="en-GB"/>
              </w:rPr>
              <w:t>14. Luxembourg</w:t>
            </w:r>
          </w:p>
        </w:tc>
        <w:tc>
          <w:tcPr>
            <w:tcW w:w="1984" w:type="dxa"/>
          </w:tcPr>
          <w:p w14:paraId="79F14E2E" w14:textId="77777777" w:rsidR="00F729CD" w:rsidRPr="00814A92" w:rsidRDefault="00000000">
            <w:pPr>
              <w:jc w:val="both"/>
              <w:rPr>
                <w:lang w:val="en-GB"/>
              </w:rPr>
            </w:pPr>
            <w:r w:rsidRPr="00814A92">
              <w:rPr>
                <w:lang w:val="en-GB"/>
              </w:rPr>
              <w:t>20. Portugal</w:t>
            </w:r>
          </w:p>
        </w:tc>
        <w:tc>
          <w:tcPr>
            <w:tcW w:w="2268" w:type="dxa"/>
          </w:tcPr>
          <w:p w14:paraId="39512F13" w14:textId="77777777" w:rsidR="00F729CD" w:rsidRPr="00814A92" w:rsidRDefault="00000000">
            <w:pPr>
              <w:jc w:val="both"/>
              <w:rPr>
                <w:lang w:val="en-GB"/>
              </w:rPr>
            </w:pPr>
            <w:r w:rsidRPr="00814A92">
              <w:rPr>
                <w:lang w:val="en-GB"/>
              </w:rPr>
              <w:t>26. Switzerland</w:t>
            </w:r>
          </w:p>
        </w:tc>
      </w:tr>
      <w:tr w:rsidR="00F729CD" w:rsidRPr="00814A92" w14:paraId="35303EE8" w14:textId="77777777">
        <w:tc>
          <w:tcPr>
            <w:tcW w:w="1384" w:type="dxa"/>
          </w:tcPr>
          <w:p w14:paraId="463E15BF" w14:textId="77777777" w:rsidR="00F729CD" w:rsidRPr="00814A92" w:rsidRDefault="00000000">
            <w:pPr>
              <w:jc w:val="both"/>
              <w:rPr>
                <w:lang w:val="en-GB"/>
              </w:rPr>
            </w:pPr>
            <w:r w:rsidRPr="00814A92">
              <w:rPr>
                <w:lang w:val="en-GB"/>
              </w:rPr>
              <w:t>3. Bulgaria</w:t>
            </w:r>
          </w:p>
        </w:tc>
        <w:tc>
          <w:tcPr>
            <w:tcW w:w="1701" w:type="dxa"/>
          </w:tcPr>
          <w:p w14:paraId="56D51C06" w14:textId="77777777" w:rsidR="00F729CD" w:rsidRPr="00814A92" w:rsidRDefault="00000000">
            <w:pPr>
              <w:jc w:val="both"/>
              <w:rPr>
                <w:lang w:val="en-GB"/>
              </w:rPr>
            </w:pPr>
            <w:r w:rsidRPr="00814A92">
              <w:rPr>
                <w:lang w:val="en-GB"/>
              </w:rPr>
              <w:t>9. Spain</w:t>
            </w:r>
          </w:p>
        </w:tc>
        <w:tc>
          <w:tcPr>
            <w:tcW w:w="2410" w:type="dxa"/>
          </w:tcPr>
          <w:p w14:paraId="48A0F1A3" w14:textId="77777777" w:rsidR="00F729CD" w:rsidRPr="00814A92" w:rsidRDefault="00000000">
            <w:pPr>
              <w:jc w:val="both"/>
              <w:rPr>
                <w:lang w:val="en-GB"/>
              </w:rPr>
            </w:pPr>
            <w:r w:rsidRPr="00814A92">
              <w:rPr>
                <w:lang w:val="en-GB"/>
              </w:rPr>
              <w:t>15. Poland</w:t>
            </w:r>
          </w:p>
        </w:tc>
        <w:tc>
          <w:tcPr>
            <w:tcW w:w="1984" w:type="dxa"/>
          </w:tcPr>
          <w:p w14:paraId="6162E3C9" w14:textId="77777777" w:rsidR="00F729CD" w:rsidRPr="00814A92" w:rsidRDefault="00000000">
            <w:pPr>
              <w:jc w:val="both"/>
              <w:rPr>
                <w:lang w:val="en-GB"/>
              </w:rPr>
            </w:pPr>
            <w:r w:rsidRPr="00814A92">
              <w:rPr>
                <w:lang w:val="en-GB"/>
              </w:rPr>
              <w:t>21. Romania</w:t>
            </w:r>
          </w:p>
        </w:tc>
        <w:tc>
          <w:tcPr>
            <w:tcW w:w="2268" w:type="dxa"/>
          </w:tcPr>
          <w:p w14:paraId="29C9939A" w14:textId="77777777" w:rsidR="00F729CD" w:rsidRPr="00814A92" w:rsidRDefault="00000000">
            <w:pPr>
              <w:jc w:val="both"/>
              <w:rPr>
                <w:lang w:val="en-GB"/>
              </w:rPr>
            </w:pPr>
            <w:r w:rsidRPr="00814A92">
              <w:rPr>
                <w:lang w:val="en-GB"/>
              </w:rPr>
              <w:t>27. Hungary</w:t>
            </w:r>
          </w:p>
        </w:tc>
      </w:tr>
      <w:tr w:rsidR="00F729CD" w:rsidRPr="00814A92" w14:paraId="773072C5" w14:textId="77777777">
        <w:tc>
          <w:tcPr>
            <w:tcW w:w="1384" w:type="dxa"/>
          </w:tcPr>
          <w:p w14:paraId="16EA1A75" w14:textId="115D5006" w:rsidR="00F729CD" w:rsidRPr="00814A92" w:rsidRDefault="00000000">
            <w:pPr>
              <w:tabs>
                <w:tab w:val="left" w:pos="220"/>
              </w:tabs>
              <w:jc w:val="both"/>
              <w:rPr>
                <w:lang w:val="en-GB"/>
              </w:rPr>
            </w:pPr>
            <w:r w:rsidRPr="00814A92">
              <w:rPr>
                <w:lang w:val="en-GB"/>
              </w:rPr>
              <w:t>4.</w:t>
            </w:r>
            <w:r w:rsidR="00814A92" w:rsidRPr="00814A92">
              <w:rPr>
                <w:lang w:val="en-GB"/>
              </w:rPr>
              <w:t xml:space="preserve"> </w:t>
            </w:r>
            <w:r w:rsidRPr="00814A92">
              <w:rPr>
                <w:lang w:val="en-GB"/>
              </w:rPr>
              <w:t>Czech Republic</w:t>
            </w:r>
          </w:p>
        </w:tc>
        <w:tc>
          <w:tcPr>
            <w:tcW w:w="1701" w:type="dxa"/>
          </w:tcPr>
          <w:p w14:paraId="2E05BB9E" w14:textId="77777777" w:rsidR="00F729CD" w:rsidRPr="00814A92" w:rsidRDefault="00000000">
            <w:pPr>
              <w:jc w:val="both"/>
              <w:rPr>
                <w:lang w:val="en-GB"/>
              </w:rPr>
            </w:pPr>
            <w:r w:rsidRPr="00814A92">
              <w:rPr>
                <w:lang w:val="en-GB"/>
              </w:rPr>
              <w:t>10. Cyprus</w:t>
            </w:r>
          </w:p>
        </w:tc>
        <w:tc>
          <w:tcPr>
            <w:tcW w:w="2410" w:type="dxa"/>
          </w:tcPr>
          <w:p w14:paraId="2CFB7052" w14:textId="77777777" w:rsidR="00F729CD" w:rsidRPr="00814A92" w:rsidRDefault="00000000">
            <w:pPr>
              <w:jc w:val="both"/>
              <w:rPr>
                <w:lang w:val="en-GB"/>
              </w:rPr>
            </w:pPr>
            <w:r w:rsidRPr="00814A92">
              <w:rPr>
                <w:lang w:val="en-GB"/>
              </w:rPr>
              <w:t>16. Malta</w:t>
            </w:r>
          </w:p>
        </w:tc>
        <w:tc>
          <w:tcPr>
            <w:tcW w:w="1984" w:type="dxa"/>
          </w:tcPr>
          <w:p w14:paraId="4510BE0C" w14:textId="77777777" w:rsidR="00F729CD" w:rsidRPr="00814A92" w:rsidRDefault="00000000">
            <w:pPr>
              <w:jc w:val="both"/>
              <w:rPr>
                <w:lang w:val="en-GB"/>
              </w:rPr>
            </w:pPr>
            <w:r w:rsidRPr="00814A92">
              <w:rPr>
                <w:lang w:val="en-GB"/>
              </w:rPr>
              <w:t>22. Finland</w:t>
            </w:r>
          </w:p>
        </w:tc>
        <w:tc>
          <w:tcPr>
            <w:tcW w:w="2268" w:type="dxa"/>
          </w:tcPr>
          <w:p w14:paraId="2E57BE68" w14:textId="77777777" w:rsidR="00F729CD" w:rsidRPr="00814A92" w:rsidRDefault="00000000">
            <w:pPr>
              <w:jc w:val="both"/>
              <w:rPr>
                <w:lang w:val="en-GB"/>
              </w:rPr>
            </w:pPr>
            <w:r w:rsidRPr="00814A92">
              <w:rPr>
                <w:lang w:val="en-GB"/>
              </w:rPr>
              <w:t xml:space="preserve">28. Germany   </w:t>
            </w:r>
          </w:p>
        </w:tc>
      </w:tr>
      <w:tr w:rsidR="00F729CD" w:rsidRPr="00814A92" w14:paraId="39A90EC6" w14:textId="77777777">
        <w:tc>
          <w:tcPr>
            <w:tcW w:w="1384" w:type="dxa"/>
          </w:tcPr>
          <w:p w14:paraId="18AFEB5A" w14:textId="77777777" w:rsidR="00F729CD" w:rsidRPr="00814A92" w:rsidRDefault="00000000">
            <w:pPr>
              <w:jc w:val="both"/>
              <w:rPr>
                <w:lang w:val="en-GB"/>
              </w:rPr>
            </w:pPr>
            <w:r w:rsidRPr="00814A92">
              <w:rPr>
                <w:lang w:val="en-GB"/>
              </w:rPr>
              <w:t>5. Denmark</w:t>
            </w:r>
          </w:p>
        </w:tc>
        <w:tc>
          <w:tcPr>
            <w:tcW w:w="1701" w:type="dxa"/>
          </w:tcPr>
          <w:p w14:paraId="2FE491DF" w14:textId="77777777" w:rsidR="00F729CD" w:rsidRPr="00814A92" w:rsidRDefault="00000000">
            <w:pPr>
              <w:jc w:val="both"/>
              <w:rPr>
                <w:lang w:val="en-GB"/>
              </w:rPr>
            </w:pPr>
            <w:r w:rsidRPr="00814A92">
              <w:rPr>
                <w:lang w:val="en-GB"/>
              </w:rPr>
              <w:t>11. Croatia</w:t>
            </w:r>
          </w:p>
        </w:tc>
        <w:tc>
          <w:tcPr>
            <w:tcW w:w="2410" w:type="dxa"/>
          </w:tcPr>
          <w:p w14:paraId="6EBCD7FF" w14:textId="77777777" w:rsidR="00F729CD" w:rsidRPr="00814A92" w:rsidRDefault="00000000">
            <w:pPr>
              <w:jc w:val="both"/>
              <w:rPr>
                <w:lang w:val="en-GB"/>
              </w:rPr>
            </w:pPr>
            <w:r w:rsidRPr="00814A92">
              <w:rPr>
                <w:lang w:val="en-GB"/>
              </w:rPr>
              <w:t>17. The Netherlands</w:t>
            </w:r>
          </w:p>
        </w:tc>
        <w:tc>
          <w:tcPr>
            <w:tcW w:w="1984" w:type="dxa"/>
          </w:tcPr>
          <w:p w14:paraId="5DB7567C" w14:textId="77777777" w:rsidR="00F729CD" w:rsidRPr="00814A92" w:rsidRDefault="00000000">
            <w:pPr>
              <w:jc w:val="both"/>
              <w:rPr>
                <w:lang w:val="en-GB"/>
              </w:rPr>
            </w:pPr>
            <w:r w:rsidRPr="00814A92">
              <w:rPr>
                <w:lang w:val="en-GB"/>
              </w:rPr>
              <w:t>23. Slovakia</w:t>
            </w:r>
          </w:p>
        </w:tc>
        <w:tc>
          <w:tcPr>
            <w:tcW w:w="2268" w:type="dxa"/>
          </w:tcPr>
          <w:p w14:paraId="5D7DAED5" w14:textId="77777777" w:rsidR="00F729CD" w:rsidRPr="00814A92" w:rsidRDefault="00F729CD">
            <w:pPr>
              <w:jc w:val="both"/>
              <w:rPr>
                <w:lang w:val="en-GB"/>
              </w:rPr>
            </w:pPr>
          </w:p>
        </w:tc>
      </w:tr>
      <w:tr w:rsidR="00F729CD" w:rsidRPr="00814A92" w14:paraId="39B0F907" w14:textId="77777777">
        <w:tc>
          <w:tcPr>
            <w:tcW w:w="1384" w:type="dxa"/>
          </w:tcPr>
          <w:p w14:paraId="25A8A343" w14:textId="77777777" w:rsidR="00F729CD" w:rsidRPr="00814A92" w:rsidRDefault="00000000">
            <w:pPr>
              <w:jc w:val="both"/>
              <w:rPr>
                <w:lang w:val="en-GB"/>
              </w:rPr>
            </w:pPr>
            <w:r w:rsidRPr="00814A92">
              <w:rPr>
                <w:lang w:val="en-GB"/>
              </w:rPr>
              <w:t>6. Estonia</w:t>
            </w:r>
          </w:p>
        </w:tc>
        <w:tc>
          <w:tcPr>
            <w:tcW w:w="1701" w:type="dxa"/>
          </w:tcPr>
          <w:p w14:paraId="518C194E" w14:textId="77777777" w:rsidR="00F729CD" w:rsidRPr="00814A92" w:rsidRDefault="00000000">
            <w:pPr>
              <w:jc w:val="both"/>
              <w:rPr>
                <w:lang w:val="en-GB"/>
              </w:rPr>
            </w:pPr>
            <w:r w:rsidRPr="00814A92">
              <w:rPr>
                <w:lang w:val="en-GB"/>
              </w:rPr>
              <w:t>12. Latvia</w:t>
            </w:r>
          </w:p>
        </w:tc>
        <w:tc>
          <w:tcPr>
            <w:tcW w:w="2410" w:type="dxa"/>
          </w:tcPr>
          <w:p w14:paraId="06B3A89F" w14:textId="77777777" w:rsidR="00F729CD" w:rsidRPr="00814A92" w:rsidRDefault="00000000">
            <w:pPr>
              <w:jc w:val="both"/>
              <w:rPr>
                <w:lang w:val="en-GB"/>
              </w:rPr>
            </w:pPr>
            <w:r w:rsidRPr="00814A92">
              <w:rPr>
                <w:lang w:val="en-GB"/>
              </w:rPr>
              <w:t>18. Norway</w:t>
            </w:r>
          </w:p>
        </w:tc>
        <w:tc>
          <w:tcPr>
            <w:tcW w:w="1984" w:type="dxa"/>
          </w:tcPr>
          <w:p w14:paraId="355882BA" w14:textId="77777777" w:rsidR="00F729CD" w:rsidRPr="00814A92" w:rsidRDefault="00000000">
            <w:pPr>
              <w:jc w:val="both"/>
              <w:rPr>
                <w:lang w:val="en-GB"/>
              </w:rPr>
            </w:pPr>
            <w:r w:rsidRPr="00814A92">
              <w:rPr>
                <w:lang w:val="en-GB"/>
              </w:rPr>
              <w:t>24. Slovenia</w:t>
            </w:r>
          </w:p>
        </w:tc>
        <w:tc>
          <w:tcPr>
            <w:tcW w:w="2268" w:type="dxa"/>
          </w:tcPr>
          <w:p w14:paraId="1F9BDE6F" w14:textId="77777777" w:rsidR="00F729CD" w:rsidRPr="00814A92" w:rsidRDefault="00F729CD">
            <w:pPr>
              <w:jc w:val="both"/>
              <w:rPr>
                <w:lang w:val="en-GB"/>
              </w:rPr>
            </w:pPr>
          </w:p>
        </w:tc>
      </w:tr>
    </w:tbl>
    <w:p w14:paraId="554E5DEE" w14:textId="77777777" w:rsidR="00F729CD" w:rsidRPr="00814A92" w:rsidRDefault="00F729CD">
      <w:pPr>
        <w:jc w:val="both"/>
        <w:rPr>
          <w:lang w:val="en-GB"/>
        </w:rPr>
      </w:pPr>
    </w:p>
    <w:p w14:paraId="3A764BE1" w14:textId="77777777" w:rsidR="00F729CD" w:rsidRPr="00814A92" w:rsidRDefault="00000000">
      <w:pPr>
        <w:jc w:val="both"/>
        <w:rPr>
          <w:lang w:val="en-GB"/>
        </w:rPr>
      </w:pPr>
      <w:r w:rsidRPr="00814A92">
        <w:rPr>
          <w:lang w:val="en-GB"/>
        </w:rPr>
        <w:t>1.3. Flights will be operated by the following aircraft:</w:t>
      </w:r>
    </w:p>
    <w:p w14:paraId="6749B71A" w14:textId="77777777" w:rsidR="00F729CD" w:rsidRPr="00814A92" w:rsidRDefault="00000000">
      <w:pPr>
        <w:jc w:val="both"/>
        <w:rPr>
          <w:lang w:val="en-GB"/>
        </w:rPr>
      </w:pPr>
      <w:r w:rsidRPr="00814A92">
        <w:rPr>
          <w:lang w:val="en-GB"/>
        </w:rPr>
        <w:lastRenderedPageBreak/>
        <w:t>Table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134"/>
        <w:gridCol w:w="1134"/>
        <w:gridCol w:w="1134"/>
        <w:gridCol w:w="1134"/>
        <w:gridCol w:w="1701"/>
        <w:gridCol w:w="1275"/>
      </w:tblGrid>
      <w:tr w:rsidR="00F729CD" w:rsidRPr="00814A92" w14:paraId="311252AC" w14:textId="77777777">
        <w:tc>
          <w:tcPr>
            <w:tcW w:w="959" w:type="dxa"/>
            <w:vMerge w:val="restart"/>
          </w:tcPr>
          <w:p w14:paraId="12023B69" w14:textId="77777777" w:rsidR="00F729CD" w:rsidRPr="00814A92" w:rsidRDefault="00000000">
            <w:pPr>
              <w:jc w:val="center"/>
              <w:rPr>
                <w:sz w:val="20"/>
                <w:szCs w:val="20"/>
                <w:lang w:val="en-GB"/>
              </w:rPr>
            </w:pPr>
            <w:r w:rsidRPr="00814A92">
              <w:rPr>
                <w:sz w:val="20"/>
                <w:szCs w:val="20"/>
                <w:lang w:val="en-GB"/>
              </w:rPr>
              <w:t>Aircraft type</w:t>
            </w:r>
          </w:p>
        </w:tc>
        <w:tc>
          <w:tcPr>
            <w:tcW w:w="1276" w:type="dxa"/>
            <w:vMerge w:val="restart"/>
          </w:tcPr>
          <w:p w14:paraId="7AADF240" w14:textId="77777777" w:rsidR="00F729CD" w:rsidRPr="00814A92" w:rsidRDefault="00000000">
            <w:pPr>
              <w:jc w:val="center"/>
              <w:rPr>
                <w:sz w:val="20"/>
                <w:szCs w:val="20"/>
                <w:lang w:val="en-GB"/>
              </w:rPr>
            </w:pPr>
            <w:r w:rsidRPr="00814A92">
              <w:rPr>
                <w:sz w:val="20"/>
                <w:szCs w:val="20"/>
                <w:lang w:val="en-GB"/>
              </w:rPr>
              <w:t>Registration mark</w:t>
            </w:r>
          </w:p>
        </w:tc>
        <w:tc>
          <w:tcPr>
            <w:tcW w:w="1134" w:type="dxa"/>
            <w:vMerge w:val="restart"/>
          </w:tcPr>
          <w:p w14:paraId="7E33698C" w14:textId="77777777" w:rsidR="00F729CD" w:rsidRPr="00814A92" w:rsidRDefault="00000000">
            <w:pPr>
              <w:jc w:val="center"/>
              <w:rPr>
                <w:sz w:val="20"/>
                <w:szCs w:val="20"/>
                <w:lang w:val="en-GB"/>
              </w:rPr>
            </w:pPr>
            <w:r w:rsidRPr="00814A92">
              <w:rPr>
                <w:sz w:val="20"/>
                <w:szCs w:val="20"/>
                <w:lang w:val="en-GB"/>
              </w:rPr>
              <w:t xml:space="preserve">MTOW </w:t>
            </w:r>
          </w:p>
          <w:p w14:paraId="15651A12" w14:textId="77777777" w:rsidR="00F729CD" w:rsidRPr="00814A92" w:rsidRDefault="00000000">
            <w:pPr>
              <w:jc w:val="center"/>
              <w:rPr>
                <w:sz w:val="20"/>
                <w:szCs w:val="20"/>
                <w:lang w:val="en-GB"/>
              </w:rPr>
            </w:pPr>
            <w:r w:rsidRPr="00814A92">
              <w:rPr>
                <w:sz w:val="20"/>
                <w:szCs w:val="20"/>
                <w:lang w:val="en-GB"/>
              </w:rPr>
              <w:t>kg</w:t>
            </w:r>
          </w:p>
        </w:tc>
        <w:tc>
          <w:tcPr>
            <w:tcW w:w="1134" w:type="dxa"/>
            <w:vMerge w:val="restart"/>
          </w:tcPr>
          <w:p w14:paraId="62A5E1E7" w14:textId="77777777" w:rsidR="00F729CD" w:rsidRPr="00814A92" w:rsidRDefault="00000000">
            <w:pPr>
              <w:jc w:val="center"/>
              <w:rPr>
                <w:sz w:val="20"/>
                <w:szCs w:val="20"/>
                <w:lang w:val="en-GB"/>
              </w:rPr>
            </w:pPr>
            <w:r w:rsidRPr="00814A92">
              <w:rPr>
                <w:sz w:val="20"/>
                <w:szCs w:val="20"/>
                <w:lang w:val="en-GB"/>
              </w:rPr>
              <w:t>Chassis type</w:t>
            </w:r>
          </w:p>
        </w:tc>
        <w:tc>
          <w:tcPr>
            <w:tcW w:w="2268" w:type="dxa"/>
            <w:gridSpan w:val="2"/>
          </w:tcPr>
          <w:p w14:paraId="10D8520F" w14:textId="77777777" w:rsidR="00F729CD" w:rsidRPr="00814A92" w:rsidRDefault="00000000">
            <w:pPr>
              <w:jc w:val="center"/>
              <w:rPr>
                <w:sz w:val="20"/>
                <w:szCs w:val="20"/>
                <w:lang w:val="en-GB"/>
              </w:rPr>
            </w:pPr>
            <w:r w:rsidRPr="00814A92">
              <w:rPr>
                <w:sz w:val="20"/>
                <w:szCs w:val="20"/>
                <w:lang w:val="en-GB"/>
              </w:rPr>
              <w:t>Fuel tank capacity</w:t>
            </w:r>
          </w:p>
        </w:tc>
        <w:tc>
          <w:tcPr>
            <w:tcW w:w="1701" w:type="dxa"/>
            <w:vMerge w:val="restart"/>
          </w:tcPr>
          <w:p w14:paraId="55D0B595" w14:textId="77777777" w:rsidR="00F729CD" w:rsidRPr="00814A92" w:rsidRDefault="00000000">
            <w:pPr>
              <w:jc w:val="center"/>
              <w:rPr>
                <w:sz w:val="20"/>
                <w:szCs w:val="20"/>
                <w:lang w:val="en-GB"/>
              </w:rPr>
            </w:pPr>
            <w:r w:rsidRPr="00814A92">
              <w:rPr>
                <w:sz w:val="20"/>
                <w:szCs w:val="20"/>
                <w:lang w:val="en-GB"/>
              </w:rPr>
              <w:t>Hourly fuel consumption</w:t>
            </w:r>
          </w:p>
        </w:tc>
        <w:tc>
          <w:tcPr>
            <w:tcW w:w="1275" w:type="dxa"/>
            <w:vMerge w:val="restart"/>
          </w:tcPr>
          <w:p w14:paraId="42D2EE72" w14:textId="77777777" w:rsidR="00F729CD" w:rsidRPr="00814A92" w:rsidRDefault="00000000">
            <w:pPr>
              <w:jc w:val="center"/>
              <w:rPr>
                <w:sz w:val="20"/>
                <w:szCs w:val="20"/>
                <w:lang w:val="en-GB"/>
              </w:rPr>
            </w:pPr>
            <w:r w:rsidRPr="00814A92">
              <w:rPr>
                <w:sz w:val="20"/>
                <w:szCs w:val="20"/>
                <w:lang w:val="en-GB"/>
              </w:rPr>
              <w:t xml:space="preserve">Cruise speed </w:t>
            </w:r>
          </w:p>
        </w:tc>
      </w:tr>
      <w:tr w:rsidR="00F729CD" w:rsidRPr="00814A92" w14:paraId="7A02F2A9" w14:textId="77777777">
        <w:tc>
          <w:tcPr>
            <w:tcW w:w="959" w:type="dxa"/>
            <w:vMerge/>
          </w:tcPr>
          <w:p w14:paraId="26FA605C" w14:textId="77777777" w:rsidR="00F729CD" w:rsidRPr="00814A92" w:rsidRDefault="00F729CD">
            <w:pPr>
              <w:jc w:val="center"/>
              <w:rPr>
                <w:sz w:val="20"/>
                <w:szCs w:val="20"/>
                <w:lang w:val="en-GB"/>
              </w:rPr>
            </w:pPr>
          </w:p>
        </w:tc>
        <w:tc>
          <w:tcPr>
            <w:tcW w:w="1276" w:type="dxa"/>
            <w:vMerge/>
          </w:tcPr>
          <w:p w14:paraId="6E4F7506" w14:textId="77777777" w:rsidR="00F729CD" w:rsidRPr="00814A92" w:rsidRDefault="00F729CD">
            <w:pPr>
              <w:jc w:val="center"/>
              <w:rPr>
                <w:sz w:val="20"/>
                <w:szCs w:val="20"/>
                <w:lang w:val="en-GB"/>
              </w:rPr>
            </w:pPr>
          </w:p>
        </w:tc>
        <w:tc>
          <w:tcPr>
            <w:tcW w:w="1134" w:type="dxa"/>
            <w:vMerge/>
          </w:tcPr>
          <w:p w14:paraId="79494B95" w14:textId="77777777" w:rsidR="00F729CD" w:rsidRPr="00814A92" w:rsidRDefault="00F729CD">
            <w:pPr>
              <w:jc w:val="center"/>
              <w:rPr>
                <w:sz w:val="20"/>
                <w:szCs w:val="20"/>
                <w:lang w:val="en-GB"/>
              </w:rPr>
            </w:pPr>
          </w:p>
        </w:tc>
        <w:tc>
          <w:tcPr>
            <w:tcW w:w="1134" w:type="dxa"/>
            <w:vMerge/>
          </w:tcPr>
          <w:p w14:paraId="0BE57C42" w14:textId="77777777" w:rsidR="00F729CD" w:rsidRPr="00814A92" w:rsidRDefault="00F729CD">
            <w:pPr>
              <w:jc w:val="center"/>
              <w:rPr>
                <w:sz w:val="20"/>
                <w:szCs w:val="20"/>
                <w:lang w:val="en-GB"/>
              </w:rPr>
            </w:pPr>
          </w:p>
        </w:tc>
        <w:tc>
          <w:tcPr>
            <w:tcW w:w="1134" w:type="dxa"/>
          </w:tcPr>
          <w:p w14:paraId="7DDC9D74" w14:textId="77777777" w:rsidR="00F729CD" w:rsidRPr="00814A92" w:rsidRDefault="00000000">
            <w:pPr>
              <w:jc w:val="center"/>
              <w:rPr>
                <w:sz w:val="16"/>
                <w:szCs w:val="16"/>
                <w:lang w:val="en-GB"/>
              </w:rPr>
            </w:pPr>
            <w:r w:rsidRPr="00814A92">
              <w:rPr>
                <w:sz w:val="16"/>
                <w:szCs w:val="16"/>
                <w:lang w:val="en-GB"/>
              </w:rPr>
              <w:t>Without additional tank</w:t>
            </w:r>
          </w:p>
        </w:tc>
        <w:tc>
          <w:tcPr>
            <w:tcW w:w="1134" w:type="dxa"/>
          </w:tcPr>
          <w:p w14:paraId="13917529" w14:textId="77777777" w:rsidR="00F729CD" w:rsidRPr="00814A92" w:rsidRDefault="00000000">
            <w:pPr>
              <w:jc w:val="center"/>
              <w:rPr>
                <w:sz w:val="16"/>
                <w:szCs w:val="16"/>
                <w:lang w:val="en-GB"/>
              </w:rPr>
            </w:pPr>
            <w:r w:rsidRPr="00814A92">
              <w:rPr>
                <w:sz w:val="16"/>
                <w:szCs w:val="16"/>
                <w:lang w:val="en-GB"/>
              </w:rPr>
              <w:t>With additional tank</w:t>
            </w:r>
          </w:p>
        </w:tc>
        <w:tc>
          <w:tcPr>
            <w:tcW w:w="1701" w:type="dxa"/>
            <w:vMerge/>
          </w:tcPr>
          <w:p w14:paraId="4E486FD9" w14:textId="77777777" w:rsidR="00F729CD" w:rsidRPr="00814A92" w:rsidRDefault="00F729CD">
            <w:pPr>
              <w:jc w:val="center"/>
              <w:rPr>
                <w:sz w:val="20"/>
                <w:szCs w:val="20"/>
                <w:lang w:val="en-GB"/>
              </w:rPr>
            </w:pPr>
          </w:p>
        </w:tc>
        <w:tc>
          <w:tcPr>
            <w:tcW w:w="1275" w:type="dxa"/>
            <w:vMerge/>
          </w:tcPr>
          <w:p w14:paraId="4BF7BC63" w14:textId="77777777" w:rsidR="00F729CD" w:rsidRPr="00814A92" w:rsidRDefault="00F729CD">
            <w:pPr>
              <w:jc w:val="center"/>
              <w:rPr>
                <w:sz w:val="20"/>
                <w:szCs w:val="20"/>
                <w:lang w:val="en-GB"/>
              </w:rPr>
            </w:pPr>
          </w:p>
        </w:tc>
      </w:tr>
      <w:tr w:rsidR="00F729CD" w:rsidRPr="00814A92" w14:paraId="68F69026" w14:textId="77777777">
        <w:tc>
          <w:tcPr>
            <w:tcW w:w="959" w:type="dxa"/>
          </w:tcPr>
          <w:p w14:paraId="5E242F49" w14:textId="77777777" w:rsidR="00F729CD" w:rsidRPr="00814A92" w:rsidRDefault="00000000">
            <w:pPr>
              <w:jc w:val="center"/>
              <w:rPr>
                <w:sz w:val="20"/>
                <w:szCs w:val="20"/>
                <w:lang w:val="en-GB"/>
              </w:rPr>
            </w:pPr>
            <w:r w:rsidRPr="00814A92">
              <w:rPr>
                <w:sz w:val="20"/>
                <w:szCs w:val="20"/>
                <w:lang w:val="en-GB"/>
              </w:rPr>
              <w:t>EC 135</w:t>
            </w:r>
          </w:p>
        </w:tc>
        <w:tc>
          <w:tcPr>
            <w:tcW w:w="1276" w:type="dxa"/>
          </w:tcPr>
          <w:p w14:paraId="2D36E0F5" w14:textId="77777777" w:rsidR="00F729CD" w:rsidRPr="00814A92" w:rsidRDefault="00000000">
            <w:pPr>
              <w:jc w:val="center"/>
              <w:rPr>
                <w:sz w:val="20"/>
                <w:szCs w:val="20"/>
                <w:lang w:val="en-GB"/>
              </w:rPr>
            </w:pPr>
            <w:r w:rsidRPr="00814A92">
              <w:rPr>
                <w:sz w:val="20"/>
                <w:szCs w:val="20"/>
                <w:lang w:val="en-GB"/>
              </w:rPr>
              <w:t>LY-HCD</w:t>
            </w:r>
          </w:p>
        </w:tc>
        <w:tc>
          <w:tcPr>
            <w:tcW w:w="1134" w:type="dxa"/>
          </w:tcPr>
          <w:p w14:paraId="2D60DDE3" w14:textId="77777777" w:rsidR="00F729CD" w:rsidRPr="00814A92" w:rsidRDefault="00000000">
            <w:pPr>
              <w:jc w:val="center"/>
              <w:rPr>
                <w:sz w:val="20"/>
                <w:szCs w:val="20"/>
                <w:lang w:val="en-GB"/>
              </w:rPr>
            </w:pPr>
            <w:r w:rsidRPr="00814A92">
              <w:rPr>
                <w:sz w:val="20"/>
                <w:szCs w:val="20"/>
                <w:lang w:val="en-GB"/>
              </w:rPr>
              <w:t>2910</w:t>
            </w:r>
          </w:p>
        </w:tc>
        <w:tc>
          <w:tcPr>
            <w:tcW w:w="1134" w:type="dxa"/>
          </w:tcPr>
          <w:p w14:paraId="782D20DB" w14:textId="77777777" w:rsidR="00F729CD" w:rsidRPr="00814A92" w:rsidRDefault="00000000">
            <w:pPr>
              <w:jc w:val="center"/>
              <w:rPr>
                <w:sz w:val="20"/>
                <w:szCs w:val="20"/>
                <w:lang w:val="en-GB"/>
              </w:rPr>
            </w:pPr>
            <w:r w:rsidRPr="00814A92">
              <w:rPr>
                <w:sz w:val="20"/>
                <w:szCs w:val="20"/>
                <w:lang w:val="en-GB"/>
              </w:rPr>
              <w:t>Skids</w:t>
            </w:r>
          </w:p>
        </w:tc>
        <w:tc>
          <w:tcPr>
            <w:tcW w:w="1134" w:type="dxa"/>
          </w:tcPr>
          <w:p w14:paraId="76527820" w14:textId="77777777" w:rsidR="00F729CD" w:rsidRPr="00814A92" w:rsidRDefault="00000000">
            <w:pPr>
              <w:jc w:val="center"/>
              <w:rPr>
                <w:sz w:val="20"/>
                <w:szCs w:val="20"/>
                <w:lang w:val="en-GB"/>
              </w:rPr>
            </w:pPr>
            <w:r w:rsidRPr="00814A92">
              <w:rPr>
                <w:sz w:val="20"/>
                <w:szCs w:val="20"/>
                <w:lang w:val="en-GB"/>
              </w:rPr>
              <w:t>560 kg</w:t>
            </w:r>
          </w:p>
        </w:tc>
        <w:tc>
          <w:tcPr>
            <w:tcW w:w="1134" w:type="dxa"/>
          </w:tcPr>
          <w:p w14:paraId="54D76C85" w14:textId="77777777" w:rsidR="00F729CD" w:rsidRPr="00814A92" w:rsidRDefault="00000000">
            <w:pPr>
              <w:jc w:val="center"/>
              <w:rPr>
                <w:sz w:val="20"/>
                <w:szCs w:val="20"/>
                <w:lang w:val="en-GB"/>
              </w:rPr>
            </w:pPr>
            <w:r w:rsidRPr="00814A92">
              <w:rPr>
                <w:sz w:val="20"/>
                <w:szCs w:val="20"/>
                <w:lang w:val="en-GB"/>
              </w:rPr>
              <w:t>720 kg</w:t>
            </w:r>
          </w:p>
        </w:tc>
        <w:tc>
          <w:tcPr>
            <w:tcW w:w="1701" w:type="dxa"/>
          </w:tcPr>
          <w:p w14:paraId="676AFEC2" w14:textId="77777777" w:rsidR="00F729CD" w:rsidRPr="00814A92" w:rsidRDefault="00000000">
            <w:pPr>
              <w:jc w:val="center"/>
              <w:rPr>
                <w:sz w:val="20"/>
                <w:szCs w:val="20"/>
                <w:lang w:val="en-GB"/>
              </w:rPr>
            </w:pPr>
            <w:r w:rsidRPr="00814A92">
              <w:rPr>
                <w:sz w:val="20"/>
                <w:szCs w:val="20"/>
                <w:lang w:val="en-GB"/>
              </w:rPr>
              <w:t>210 kg/h</w:t>
            </w:r>
          </w:p>
        </w:tc>
        <w:tc>
          <w:tcPr>
            <w:tcW w:w="1275" w:type="dxa"/>
          </w:tcPr>
          <w:p w14:paraId="0EBC4D85" w14:textId="77777777" w:rsidR="00F729CD" w:rsidRPr="00814A92" w:rsidRDefault="00000000">
            <w:pPr>
              <w:jc w:val="center"/>
              <w:rPr>
                <w:sz w:val="20"/>
                <w:szCs w:val="20"/>
                <w:lang w:val="en-GB"/>
              </w:rPr>
            </w:pPr>
            <w:r w:rsidRPr="00814A92">
              <w:rPr>
                <w:sz w:val="20"/>
                <w:szCs w:val="20"/>
                <w:lang w:val="en-GB"/>
              </w:rPr>
              <w:t>110 kt</w:t>
            </w:r>
          </w:p>
        </w:tc>
      </w:tr>
      <w:tr w:rsidR="00F729CD" w:rsidRPr="00814A92" w14:paraId="687E0649" w14:textId="77777777">
        <w:tc>
          <w:tcPr>
            <w:tcW w:w="959" w:type="dxa"/>
          </w:tcPr>
          <w:p w14:paraId="560501C8" w14:textId="77777777" w:rsidR="00F729CD" w:rsidRPr="00814A92" w:rsidRDefault="00000000">
            <w:pPr>
              <w:jc w:val="center"/>
              <w:rPr>
                <w:sz w:val="20"/>
                <w:szCs w:val="20"/>
                <w:lang w:val="en-GB"/>
              </w:rPr>
            </w:pPr>
            <w:r w:rsidRPr="00814A92">
              <w:rPr>
                <w:sz w:val="20"/>
                <w:szCs w:val="20"/>
                <w:lang w:val="en-GB"/>
              </w:rPr>
              <w:t>EC 135</w:t>
            </w:r>
          </w:p>
        </w:tc>
        <w:tc>
          <w:tcPr>
            <w:tcW w:w="1276" w:type="dxa"/>
          </w:tcPr>
          <w:p w14:paraId="192238CA" w14:textId="77777777" w:rsidR="00F729CD" w:rsidRPr="00814A92" w:rsidRDefault="00000000">
            <w:pPr>
              <w:jc w:val="center"/>
              <w:rPr>
                <w:sz w:val="20"/>
                <w:szCs w:val="20"/>
                <w:lang w:val="en-GB"/>
              </w:rPr>
            </w:pPr>
            <w:r w:rsidRPr="00814A92">
              <w:rPr>
                <w:sz w:val="20"/>
                <w:szCs w:val="20"/>
                <w:lang w:val="en-GB"/>
              </w:rPr>
              <w:t>LY-HCE</w:t>
            </w:r>
          </w:p>
        </w:tc>
        <w:tc>
          <w:tcPr>
            <w:tcW w:w="1134" w:type="dxa"/>
          </w:tcPr>
          <w:p w14:paraId="50E95CC5" w14:textId="77777777" w:rsidR="00F729CD" w:rsidRPr="00814A92" w:rsidRDefault="00000000">
            <w:pPr>
              <w:jc w:val="center"/>
              <w:rPr>
                <w:sz w:val="20"/>
                <w:szCs w:val="20"/>
                <w:lang w:val="en-GB"/>
              </w:rPr>
            </w:pPr>
            <w:r w:rsidRPr="00814A92">
              <w:rPr>
                <w:sz w:val="20"/>
                <w:szCs w:val="20"/>
                <w:lang w:val="en-GB"/>
              </w:rPr>
              <w:t>2910</w:t>
            </w:r>
          </w:p>
        </w:tc>
        <w:tc>
          <w:tcPr>
            <w:tcW w:w="1134" w:type="dxa"/>
          </w:tcPr>
          <w:p w14:paraId="2398E508" w14:textId="77777777" w:rsidR="00F729CD" w:rsidRPr="00814A92" w:rsidRDefault="00000000">
            <w:pPr>
              <w:jc w:val="center"/>
              <w:rPr>
                <w:sz w:val="20"/>
                <w:szCs w:val="20"/>
                <w:lang w:val="en-GB"/>
              </w:rPr>
            </w:pPr>
            <w:r w:rsidRPr="00814A92">
              <w:rPr>
                <w:sz w:val="20"/>
                <w:szCs w:val="20"/>
                <w:lang w:val="en-GB"/>
              </w:rPr>
              <w:t>Skids</w:t>
            </w:r>
          </w:p>
        </w:tc>
        <w:tc>
          <w:tcPr>
            <w:tcW w:w="1134" w:type="dxa"/>
          </w:tcPr>
          <w:p w14:paraId="3B973A39" w14:textId="77777777" w:rsidR="00F729CD" w:rsidRPr="00814A92" w:rsidRDefault="00000000">
            <w:pPr>
              <w:jc w:val="center"/>
              <w:rPr>
                <w:sz w:val="20"/>
                <w:szCs w:val="20"/>
                <w:lang w:val="en-GB"/>
              </w:rPr>
            </w:pPr>
            <w:r w:rsidRPr="00814A92">
              <w:rPr>
                <w:sz w:val="20"/>
                <w:szCs w:val="20"/>
                <w:lang w:val="en-GB"/>
              </w:rPr>
              <w:t>560 kg</w:t>
            </w:r>
          </w:p>
        </w:tc>
        <w:tc>
          <w:tcPr>
            <w:tcW w:w="1134" w:type="dxa"/>
          </w:tcPr>
          <w:p w14:paraId="33A18023" w14:textId="77777777" w:rsidR="00F729CD" w:rsidRPr="00814A92" w:rsidRDefault="00000000">
            <w:pPr>
              <w:jc w:val="center"/>
              <w:rPr>
                <w:sz w:val="20"/>
                <w:szCs w:val="20"/>
                <w:lang w:val="en-GB"/>
              </w:rPr>
            </w:pPr>
            <w:r w:rsidRPr="00814A92">
              <w:rPr>
                <w:sz w:val="20"/>
                <w:szCs w:val="20"/>
                <w:lang w:val="en-GB"/>
              </w:rPr>
              <w:t xml:space="preserve">720 kg </w:t>
            </w:r>
          </w:p>
        </w:tc>
        <w:tc>
          <w:tcPr>
            <w:tcW w:w="1701" w:type="dxa"/>
          </w:tcPr>
          <w:p w14:paraId="55BD99FA" w14:textId="77777777" w:rsidR="00F729CD" w:rsidRPr="00814A92" w:rsidRDefault="00000000">
            <w:pPr>
              <w:jc w:val="center"/>
              <w:rPr>
                <w:sz w:val="20"/>
                <w:szCs w:val="20"/>
                <w:lang w:val="en-GB"/>
              </w:rPr>
            </w:pPr>
            <w:r w:rsidRPr="00814A92">
              <w:rPr>
                <w:sz w:val="20"/>
                <w:szCs w:val="20"/>
                <w:lang w:val="en-GB"/>
              </w:rPr>
              <w:t>210 kg/h</w:t>
            </w:r>
          </w:p>
        </w:tc>
        <w:tc>
          <w:tcPr>
            <w:tcW w:w="1275" w:type="dxa"/>
          </w:tcPr>
          <w:p w14:paraId="65C8EECC" w14:textId="77777777" w:rsidR="00F729CD" w:rsidRPr="00814A92" w:rsidRDefault="00000000">
            <w:pPr>
              <w:jc w:val="center"/>
              <w:rPr>
                <w:sz w:val="20"/>
                <w:szCs w:val="20"/>
                <w:lang w:val="en-GB"/>
              </w:rPr>
            </w:pPr>
            <w:r w:rsidRPr="00814A92">
              <w:rPr>
                <w:sz w:val="20"/>
                <w:szCs w:val="20"/>
                <w:lang w:val="en-GB"/>
              </w:rPr>
              <w:t>110 kt</w:t>
            </w:r>
          </w:p>
        </w:tc>
      </w:tr>
      <w:tr w:rsidR="00F729CD" w:rsidRPr="00814A92" w14:paraId="046626B0" w14:textId="77777777">
        <w:tc>
          <w:tcPr>
            <w:tcW w:w="959" w:type="dxa"/>
          </w:tcPr>
          <w:p w14:paraId="45C41A3A" w14:textId="77777777" w:rsidR="00F729CD" w:rsidRPr="00814A92" w:rsidRDefault="00000000">
            <w:pPr>
              <w:jc w:val="center"/>
              <w:rPr>
                <w:sz w:val="20"/>
                <w:szCs w:val="20"/>
                <w:lang w:val="en-GB"/>
              </w:rPr>
            </w:pPr>
            <w:r w:rsidRPr="00814A92">
              <w:rPr>
                <w:sz w:val="20"/>
                <w:szCs w:val="20"/>
                <w:lang w:val="en-GB"/>
              </w:rPr>
              <w:t>EC 145</w:t>
            </w:r>
          </w:p>
        </w:tc>
        <w:tc>
          <w:tcPr>
            <w:tcW w:w="1276" w:type="dxa"/>
          </w:tcPr>
          <w:p w14:paraId="0F2EF8A4" w14:textId="77777777" w:rsidR="00F729CD" w:rsidRPr="00814A92" w:rsidRDefault="00000000">
            <w:pPr>
              <w:jc w:val="center"/>
              <w:rPr>
                <w:sz w:val="20"/>
                <w:szCs w:val="20"/>
                <w:lang w:val="en-GB"/>
              </w:rPr>
            </w:pPr>
            <w:r w:rsidRPr="00814A92">
              <w:rPr>
                <w:sz w:val="20"/>
                <w:szCs w:val="20"/>
                <w:lang w:val="en-GB"/>
              </w:rPr>
              <w:t>LY-HCF</w:t>
            </w:r>
          </w:p>
        </w:tc>
        <w:tc>
          <w:tcPr>
            <w:tcW w:w="1134" w:type="dxa"/>
          </w:tcPr>
          <w:p w14:paraId="18056FB1" w14:textId="77777777" w:rsidR="00F729CD" w:rsidRPr="00814A92" w:rsidRDefault="00000000">
            <w:pPr>
              <w:jc w:val="center"/>
              <w:rPr>
                <w:sz w:val="20"/>
                <w:szCs w:val="20"/>
                <w:lang w:val="en-GB"/>
              </w:rPr>
            </w:pPr>
            <w:r w:rsidRPr="00814A92">
              <w:rPr>
                <w:sz w:val="20"/>
                <w:szCs w:val="20"/>
                <w:lang w:val="en-GB"/>
              </w:rPr>
              <w:t>3585</w:t>
            </w:r>
          </w:p>
        </w:tc>
        <w:tc>
          <w:tcPr>
            <w:tcW w:w="1134" w:type="dxa"/>
          </w:tcPr>
          <w:p w14:paraId="239A910D" w14:textId="77777777" w:rsidR="00F729CD" w:rsidRPr="00814A92" w:rsidRDefault="00000000">
            <w:pPr>
              <w:jc w:val="center"/>
              <w:rPr>
                <w:sz w:val="20"/>
                <w:szCs w:val="20"/>
                <w:lang w:val="en-GB"/>
              </w:rPr>
            </w:pPr>
            <w:r w:rsidRPr="00814A92">
              <w:rPr>
                <w:sz w:val="20"/>
                <w:szCs w:val="20"/>
                <w:lang w:val="en-GB"/>
              </w:rPr>
              <w:t>Skids</w:t>
            </w:r>
          </w:p>
        </w:tc>
        <w:tc>
          <w:tcPr>
            <w:tcW w:w="1134" w:type="dxa"/>
          </w:tcPr>
          <w:p w14:paraId="7BBB5897" w14:textId="77777777" w:rsidR="00F729CD" w:rsidRPr="00814A92" w:rsidRDefault="00000000">
            <w:pPr>
              <w:jc w:val="center"/>
              <w:rPr>
                <w:sz w:val="20"/>
                <w:szCs w:val="20"/>
                <w:lang w:val="en-GB"/>
              </w:rPr>
            </w:pPr>
            <w:r w:rsidRPr="00814A92">
              <w:rPr>
                <w:sz w:val="20"/>
                <w:szCs w:val="20"/>
                <w:lang w:val="en-GB"/>
              </w:rPr>
              <w:t>685 kg</w:t>
            </w:r>
          </w:p>
        </w:tc>
        <w:tc>
          <w:tcPr>
            <w:tcW w:w="1134" w:type="dxa"/>
          </w:tcPr>
          <w:p w14:paraId="5D4293E3" w14:textId="77777777" w:rsidR="00F729CD" w:rsidRPr="00814A92" w:rsidRDefault="00000000">
            <w:pPr>
              <w:jc w:val="center"/>
              <w:rPr>
                <w:sz w:val="20"/>
                <w:szCs w:val="20"/>
                <w:lang w:val="en-GB"/>
              </w:rPr>
            </w:pPr>
            <w:r w:rsidRPr="00814A92">
              <w:rPr>
                <w:sz w:val="20"/>
                <w:szCs w:val="20"/>
                <w:lang w:val="en-GB"/>
              </w:rPr>
              <w:t>850 kg</w:t>
            </w:r>
          </w:p>
        </w:tc>
        <w:tc>
          <w:tcPr>
            <w:tcW w:w="1701" w:type="dxa"/>
          </w:tcPr>
          <w:p w14:paraId="5E304F31" w14:textId="77777777" w:rsidR="00F729CD" w:rsidRPr="00814A92" w:rsidRDefault="00000000">
            <w:pPr>
              <w:jc w:val="center"/>
              <w:rPr>
                <w:sz w:val="20"/>
                <w:szCs w:val="20"/>
                <w:lang w:val="en-GB"/>
              </w:rPr>
            </w:pPr>
            <w:r w:rsidRPr="00814A92">
              <w:rPr>
                <w:sz w:val="20"/>
                <w:szCs w:val="20"/>
                <w:lang w:val="en-GB"/>
              </w:rPr>
              <w:t>240 kg/h</w:t>
            </w:r>
          </w:p>
        </w:tc>
        <w:tc>
          <w:tcPr>
            <w:tcW w:w="1275" w:type="dxa"/>
          </w:tcPr>
          <w:p w14:paraId="7E5B01EF" w14:textId="77777777" w:rsidR="00F729CD" w:rsidRPr="00814A92" w:rsidRDefault="00000000">
            <w:pPr>
              <w:jc w:val="center"/>
              <w:rPr>
                <w:sz w:val="20"/>
                <w:szCs w:val="20"/>
                <w:lang w:val="en-GB"/>
              </w:rPr>
            </w:pPr>
            <w:r w:rsidRPr="00814A92">
              <w:rPr>
                <w:sz w:val="20"/>
                <w:szCs w:val="20"/>
                <w:lang w:val="en-GB"/>
              </w:rPr>
              <w:t>110 kt</w:t>
            </w:r>
          </w:p>
        </w:tc>
      </w:tr>
      <w:tr w:rsidR="00F729CD" w:rsidRPr="00814A92" w14:paraId="3482D835" w14:textId="77777777">
        <w:tc>
          <w:tcPr>
            <w:tcW w:w="959" w:type="dxa"/>
          </w:tcPr>
          <w:p w14:paraId="5DE6E0F6" w14:textId="77777777" w:rsidR="00F729CD" w:rsidRPr="00814A92" w:rsidRDefault="00000000">
            <w:pPr>
              <w:jc w:val="center"/>
              <w:rPr>
                <w:sz w:val="20"/>
                <w:szCs w:val="20"/>
                <w:lang w:val="en-GB"/>
              </w:rPr>
            </w:pPr>
            <w:r w:rsidRPr="00814A92">
              <w:rPr>
                <w:sz w:val="20"/>
                <w:szCs w:val="20"/>
                <w:lang w:val="en-GB"/>
              </w:rPr>
              <w:t>EC 120</w:t>
            </w:r>
          </w:p>
        </w:tc>
        <w:tc>
          <w:tcPr>
            <w:tcW w:w="1276" w:type="dxa"/>
          </w:tcPr>
          <w:p w14:paraId="7D5131F4" w14:textId="77777777" w:rsidR="00F729CD" w:rsidRPr="00814A92" w:rsidRDefault="00000000">
            <w:pPr>
              <w:jc w:val="center"/>
              <w:rPr>
                <w:sz w:val="20"/>
                <w:szCs w:val="20"/>
                <w:lang w:val="en-GB"/>
              </w:rPr>
            </w:pPr>
            <w:r w:rsidRPr="00814A92">
              <w:rPr>
                <w:sz w:val="20"/>
                <w:szCs w:val="20"/>
                <w:lang w:val="en-GB"/>
              </w:rPr>
              <w:t>LY-HCB</w:t>
            </w:r>
          </w:p>
        </w:tc>
        <w:tc>
          <w:tcPr>
            <w:tcW w:w="1134" w:type="dxa"/>
          </w:tcPr>
          <w:p w14:paraId="2EF64FC2" w14:textId="77777777" w:rsidR="00F729CD" w:rsidRPr="00814A92" w:rsidRDefault="00000000">
            <w:pPr>
              <w:jc w:val="center"/>
              <w:rPr>
                <w:sz w:val="20"/>
                <w:szCs w:val="20"/>
                <w:lang w:val="en-GB"/>
              </w:rPr>
            </w:pPr>
            <w:r w:rsidRPr="00814A92">
              <w:rPr>
                <w:sz w:val="20"/>
                <w:szCs w:val="20"/>
                <w:lang w:val="en-GB"/>
              </w:rPr>
              <w:t>1710</w:t>
            </w:r>
          </w:p>
        </w:tc>
        <w:tc>
          <w:tcPr>
            <w:tcW w:w="1134" w:type="dxa"/>
          </w:tcPr>
          <w:p w14:paraId="3A5E9188" w14:textId="77777777" w:rsidR="00F729CD" w:rsidRPr="00814A92" w:rsidRDefault="00000000">
            <w:pPr>
              <w:jc w:val="center"/>
              <w:rPr>
                <w:sz w:val="20"/>
                <w:szCs w:val="20"/>
                <w:lang w:val="en-GB"/>
              </w:rPr>
            </w:pPr>
            <w:r w:rsidRPr="00814A92">
              <w:rPr>
                <w:sz w:val="20"/>
                <w:szCs w:val="20"/>
                <w:lang w:val="en-GB"/>
              </w:rPr>
              <w:t>Skids</w:t>
            </w:r>
          </w:p>
        </w:tc>
        <w:tc>
          <w:tcPr>
            <w:tcW w:w="1134" w:type="dxa"/>
          </w:tcPr>
          <w:p w14:paraId="5901CFE4" w14:textId="77777777" w:rsidR="00F729CD" w:rsidRPr="00814A92" w:rsidRDefault="00000000">
            <w:pPr>
              <w:jc w:val="center"/>
              <w:rPr>
                <w:sz w:val="20"/>
                <w:szCs w:val="20"/>
                <w:lang w:val="en-GB"/>
              </w:rPr>
            </w:pPr>
            <w:r w:rsidRPr="00814A92">
              <w:rPr>
                <w:sz w:val="20"/>
                <w:szCs w:val="20"/>
                <w:lang w:val="en-GB"/>
              </w:rPr>
              <w:t>320 kg</w:t>
            </w:r>
          </w:p>
        </w:tc>
        <w:tc>
          <w:tcPr>
            <w:tcW w:w="1134" w:type="dxa"/>
          </w:tcPr>
          <w:p w14:paraId="35915497" w14:textId="77777777" w:rsidR="00F729CD" w:rsidRPr="00814A92" w:rsidRDefault="00000000">
            <w:pPr>
              <w:jc w:val="center"/>
              <w:rPr>
                <w:sz w:val="20"/>
                <w:szCs w:val="20"/>
                <w:lang w:val="en-GB"/>
              </w:rPr>
            </w:pPr>
            <w:r w:rsidRPr="00814A92">
              <w:rPr>
                <w:sz w:val="20"/>
                <w:szCs w:val="20"/>
                <w:lang w:val="en-GB"/>
              </w:rPr>
              <w:t>None</w:t>
            </w:r>
          </w:p>
        </w:tc>
        <w:tc>
          <w:tcPr>
            <w:tcW w:w="1701" w:type="dxa"/>
          </w:tcPr>
          <w:p w14:paraId="2366FAE0" w14:textId="77777777" w:rsidR="00F729CD" w:rsidRPr="00814A92" w:rsidRDefault="00000000">
            <w:pPr>
              <w:jc w:val="center"/>
              <w:rPr>
                <w:sz w:val="20"/>
                <w:szCs w:val="20"/>
                <w:lang w:val="en-GB"/>
              </w:rPr>
            </w:pPr>
            <w:r w:rsidRPr="00814A92">
              <w:rPr>
                <w:sz w:val="20"/>
                <w:szCs w:val="20"/>
                <w:lang w:val="en-GB"/>
              </w:rPr>
              <w:t>90 kg/h</w:t>
            </w:r>
          </w:p>
        </w:tc>
        <w:tc>
          <w:tcPr>
            <w:tcW w:w="1275" w:type="dxa"/>
          </w:tcPr>
          <w:p w14:paraId="40B32AEF" w14:textId="77777777" w:rsidR="00F729CD" w:rsidRPr="00814A92" w:rsidRDefault="00000000">
            <w:pPr>
              <w:jc w:val="center"/>
              <w:rPr>
                <w:sz w:val="20"/>
                <w:szCs w:val="20"/>
                <w:lang w:val="en-GB"/>
              </w:rPr>
            </w:pPr>
            <w:r w:rsidRPr="00814A92">
              <w:rPr>
                <w:sz w:val="20"/>
                <w:szCs w:val="20"/>
                <w:lang w:val="en-GB"/>
              </w:rPr>
              <w:t>110 kt</w:t>
            </w:r>
          </w:p>
        </w:tc>
      </w:tr>
    </w:tbl>
    <w:p w14:paraId="1AAD4ABD" w14:textId="77777777" w:rsidR="00F729CD" w:rsidRPr="00814A92" w:rsidRDefault="00F729CD">
      <w:pPr>
        <w:jc w:val="both"/>
        <w:rPr>
          <w:lang w:val="en-GB"/>
        </w:rPr>
      </w:pPr>
    </w:p>
    <w:p w14:paraId="0518F434" w14:textId="77777777" w:rsidR="00F729CD" w:rsidRPr="00814A92" w:rsidRDefault="00000000">
      <w:pPr>
        <w:jc w:val="both"/>
        <w:rPr>
          <w:b/>
          <w:lang w:val="en-GB"/>
        </w:rPr>
      </w:pPr>
      <w:r w:rsidRPr="00814A92">
        <w:rPr>
          <w:b/>
          <w:lang w:val="en-GB"/>
        </w:rPr>
        <w:t>2. Aircraft servicing at the airport</w:t>
      </w:r>
    </w:p>
    <w:p w14:paraId="295D2391" w14:textId="77777777" w:rsidR="00F729CD" w:rsidRPr="00814A92" w:rsidRDefault="00000000">
      <w:pPr>
        <w:jc w:val="both"/>
        <w:rPr>
          <w:lang w:val="en-GB"/>
        </w:rPr>
      </w:pPr>
      <w:r w:rsidRPr="00814A92">
        <w:rPr>
          <w:lang w:val="en-GB"/>
        </w:rPr>
        <w:t>2.1. Airport messenger services;</w:t>
      </w:r>
    </w:p>
    <w:p w14:paraId="752A3FC0" w14:textId="77777777" w:rsidR="00F729CD" w:rsidRPr="00814A92" w:rsidRDefault="00000000">
      <w:pPr>
        <w:jc w:val="both"/>
        <w:rPr>
          <w:lang w:val="en-GB"/>
        </w:rPr>
      </w:pPr>
      <w:r w:rsidRPr="00814A92">
        <w:rPr>
          <w:lang w:val="en-GB"/>
        </w:rPr>
        <w:t>2.2. Meteorological information services;</w:t>
      </w:r>
    </w:p>
    <w:p w14:paraId="70DC8CED" w14:textId="77777777" w:rsidR="00F729CD" w:rsidRPr="00814A92" w:rsidRDefault="00000000">
      <w:pPr>
        <w:jc w:val="both"/>
        <w:rPr>
          <w:lang w:val="en-GB"/>
        </w:rPr>
      </w:pPr>
      <w:r w:rsidRPr="00814A92">
        <w:rPr>
          <w:lang w:val="en-GB"/>
        </w:rPr>
        <w:t>2.3. Crew escort, transportation and airport service;</w:t>
      </w:r>
    </w:p>
    <w:p w14:paraId="58175AC1" w14:textId="77777777" w:rsidR="00F729CD" w:rsidRPr="00814A92" w:rsidRDefault="00000000">
      <w:pPr>
        <w:jc w:val="both"/>
        <w:rPr>
          <w:lang w:val="en-GB"/>
        </w:rPr>
      </w:pPr>
      <w:r w:rsidRPr="00814A92">
        <w:rPr>
          <w:lang w:val="en-GB"/>
        </w:rPr>
        <w:t>2.4. Helicopter security service;</w:t>
      </w:r>
    </w:p>
    <w:p w14:paraId="1301854B" w14:textId="77777777" w:rsidR="00F729CD" w:rsidRPr="00814A92" w:rsidRDefault="00000000">
      <w:pPr>
        <w:jc w:val="both"/>
        <w:rPr>
          <w:lang w:val="en-GB"/>
        </w:rPr>
      </w:pPr>
      <w:r w:rsidRPr="00814A92">
        <w:rPr>
          <w:lang w:val="en-GB"/>
        </w:rPr>
        <w:t>2.5. Helicopter escort services;</w:t>
      </w:r>
    </w:p>
    <w:p w14:paraId="3C63464B" w14:textId="77777777" w:rsidR="00F729CD" w:rsidRPr="00814A92" w:rsidRDefault="00000000">
      <w:pPr>
        <w:jc w:val="both"/>
        <w:rPr>
          <w:lang w:val="en-GB"/>
        </w:rPr>
      </w:pPr>
      <w:r w:rsidRPr="00814A92">
        <w:rPr>
          <w:lang w:val="en-GB"/>
        </w:rPr>
        <w:t>2.6. Administration of airport charges and fees, other accounts and documents.</w:t>
      </w:r>
    </w:p>
    <w:p w14:paraId="478C7FFD" w14:textId="77777777" w:rsidR="00F729CD" w:rsidRPr="00814A92" w:rsidRDefault="00000000">
      <w:pPr>
        <w:jc w:val="both"/>
        <w:rPr>
          <w:b/>
          <w:lang w:val="en-GB"/>
        </w:rPr>
      </w:pPr>
      <w:r w:rsidRPr="00814A92">
        <w:rPr>
          <w:b/>
          <w:lang w:val="en-GB"/>
        </w:rPr>
        <w:t>3. Refuelling</w:t>
      </w:r>
    </w:p>
    <w:p w14:paraId="7416F775" w14:textId="77777777" w:rsidR="00F729CD" w:rsidRPr="00814A92" w:rsidRDefault="00000000">
      <w:pPr>
        <w:jc w:val="both"/>
        <w:rPr>
          <w:lang w:val="en-GB"/>
        </w:rPr>
      </w:pPr>
      <w:r w:rsidRPr="00814A92">
        <w:rPr>
          <w:lang w:val="en-GB"/>
        </w:rPr>
        <w:t>3.1. Jet A-1 jet fuel shall meet the requirements of ASTM D 1655-14, AFQRJOS (JFSCL Jet A1), DEF STAN 91-91 7;</w:t>
      </w:r>
    </w:p>
    <w:p w14:paraId="30202895" w14:textId="77777777" w:rsidR="00F729CD" w:rsidRPr="00814A92" w:rsidRDefault="00000000">
      <w:pPr>
        <w:jc w:val="both"/>
        <w:rPr>
          <w:lang w:val="en-GB"/>
        </w:rPr>
      </w:pPr>
      <w:r w:rsidRPr="00814A92">
        <w:rPr>
          <w:lang w:val="en-GB"/>
        </w:rPr>
        <w:t>3.2. Refuelling must comply as a minimum with JIG 4 standards;</w:t>
      </w:r>
    </w:p>
    <w:p w14:paraId="5CC1B751" w14:textId="77777777" w:rsidR="00F729CD" w:rsidRPr="00814A92" w:rsidRDefault="00000000">
      <w:pPr>
        <w:jc w:val="both"/>
        <w:rPr>
          <w:lang w:val="en-GB"/>
        </w:rPr>
      </w:pPr>
      <w:r w:rsidRPr="00814A92">
        <w:rPr>
          <w:lang w:val="en-GB"/>
        </w:rPr>
        <w:t>3.3. Jet A-1 jet fuel must have a Release Certificate and a Jet A-1 Fuel Quality Certificate approved by the manufacturer for each aircraft refuelling;</w:t>
      </w:r>
    </w:p>
    <w:p w14:paraId="0EA27A71" w14:textId="77777777" w:rsidR="00F729CD" w:rsidRPr="00814A92" w:rsidRDefault="00000000">
      <w:pPr>
        <w:jc w:val="both"/>
        <w:rPr>
          <w:lang w:val="en-GB"/>
        </w:rPr>
      </w:pPr>
      <w:r w:rsidRPr="00814A92">
        <w:rPr>
          <w:lang w:val="en-GB"/>
        </w:rPr>
        <w:t>3.4. Jet A-1 refuelling points and/or fuel delivery vehicles for aviation jet fuel shall be equipped with dispensing filters;</w:t>
      </w:r>
    </w:p>
    <w:p w14:paraId="0A3FF6A1" w14:textId="77777777" w:rsidR="00F729CD" w:rsidRPr="00814A92" w:rsidRDefault="00000000">
      <w:pPr>
        <w:jc w:val="both"/>
        <w:rPr>
          <w:lang w:val="en-GB"/>
        </w:rPr>
      </w:pPr>
      <w:r w:rsidRPr="00814A92">
        <w:rPr>
          <w:lang w:val="en-GB"/>
        </w:rPr>
        <w:t>3.5. Fuel quality control procedures shall be carried out prior to the fuel being taken on board the aircraft specified by the purchaser at the request of the crew. Fuel of poor quality shall not be accepted;</w:t>
      </w:r>
    </w:p>
    <w:p w14:paraId="52E52D18" w14:textId="77777777" w:rsidR="00F729CD" w:rsidRPr="00814A92" w:rsidRDefault="00000000">
      <w:pPr>
        <w:jc w:val="both"/>
        <w:rPr>
          <w:lang w:val="en-GB"/>
        </w:rPr>
      </w:pPr>
      <w:r w:rsidRPr="00814A92">
        <w:rPr>
          <w:lang w:val="en-GB"/>
        </w:rPr>
        <w:t xml:space="preserve">3.6. Maximum refuelling per aircraft is 850 kg;    </w:t>
      </w:r>
    </w:p>
    <w:p w14:paraId="3CFFCACF" w14:textId="77777777" w:rsidR="00F729CD" w:rsidRPr="00814A92" w:rsidRDefault="00000000">
      <w:pPr>
        <w:jc w:val="both"/>
        <w:rPr>
          <w:lang w:val="en-GB"/>
        </w:rPr>
      </w:pPr>
      <w:r w:rsidRPr="00814A92">
        <w:rPr>
          <w:lang w:val="en-GB"/>
        </w:rPr>
        <w:t xml:space="preserve">3.7. Annual refuelling requirements can range from 3,000 kg to 100,000 kg.   </w:t>
      </w:r>
    </w:p>
    <w:p w14:paraId="3C143FEA" w14:textId="77777777" w:rsidR="00F729CD" w:rsidRPr="00814A92" w:rsidRDefault="00000000">
      <w:pPr>
        <w:jc w:val="both"/>
        <w:rPr>
          <w:b/>
          <w:lang w:val="en-GB"/>
        </w:rPr>
      </w:pPr>
      <w:r w:rsidRPr="00814A92">
        <w:rPr>
          <w:b/>
          <w:lang w:val="en-GB"/>
        </w:rPr>
        <w:t>4. Transportation of crew(s) and other personnel</w:t>
      </w:r>
    </w:p>
    <w:p w14:paraId="6FE4D03E" w14:textId="77777777" w:rsidR="00F729CD" w:rsidRPr="00814A92" w:rsidRDefault="00000000">
      <w:pPr>
        <w:jc w:val="both"/>
        <w:rPr>
          <w:lang w:val="en-GB"/>
        </w:rPr>
      </w:pPr>
      <w:r w:rsidRPr="00814A92">
        <w:rPr>
          <w:lang w:val="en-GB"/>
        </w:rPr>
        <w:t>4.1. Transportation from the airport to the hotel and from the hotel to the airport;</w:t>
      </w:r>
    </w:p>
    <w:p w14:paraId="3815CB5E" w14:textId="77777777" w:rsidR="00F729CD" w:rsidRPr="00814A92" w:rsidRDefault="00000000">
      <w:pPr>
        <w:jc w:val="both"/>
        <w:rPr>
          <w:lang w:val="en-GB"/>
        </w:rPr>
      </w:pPr>
      <w:r w:rsidRPr="00814A92">
        <w:rPr>
          <w:lang w:val="en-GB"/>
        </w:rPr>
        <w:lastRenderedPageBreak/>
        <w:t>4.2. Upon request of the pilot-in-command or his/her nominee, rent out the vehicle(s) for a specified period of time with full insurance (CASCO and third party liability);</w:t>
      </w:r>
    </w:p>
    <w:p w14:paraId="37279DE8" w14:textId="77777777" w:rsidR="00F729CD" w:rsidRPr="00814A92" w:rsidRDefault="00000000">
      <w:pPr>
        <w:jc w:val="both"/>
        <w:rPr>
          <w:lang w:val="en-GB"/>
        </w:rPr>
      </w:pPr>
      <w:r w:rsidRPr="00814A92">
        <w:rPr>
          <w:lang w:val="en-GB"/>
        </w:rPr>
        <w:t>4.3. The rental vehicle must be in a class not higher than economy, with air conditioning, and must be able to be driven by any crew member with a driving licence in that category;</w:t>
      </w:r>
    </w:p>
    <w:p w14:paraId="05E18F12" w14:textId="77777777" w:rsidR="00F729CD" w:rsidRPr="00814A92" w:rsidRDefault="00000000">
      <w:pPr>
        <w:jc w:val="both"/>
        <w:rPr>
          <w:lang w:val="en-GB"/>
        </w:rPr>
      </w:pPr>
      <w:r w:rsidRPr="00814A92">
        <w:rPr>
          <w:lang w:val="en-GB"/>
        </w:rPr>
        <w:t>4.4. The service user must be able to cancel the vehicle rental at any time, or change the vehicle or the rental company if the agreed quality of service is not guaranteed.</w:t>
      </w:r>
    </w:p>
    <w:p w14:paraId="393A6B73" w14:textId="77777777" w:rsidR="00F729CD" w:rsidRPr="00814A92" w:rsidRDefault="00000000">
      <w:pPr>
        <w:jc w:val="both"/>
        <w:rPr>
          <w:lang w:val="en-GB"/>
        </w:rPr>
      </w:pPr>
      <w:r w:rsidRPr="00814A92">
        <w:rPr>
          <w:b/>
          <w:lang w:val="en-GB"/>
        </w:rPr>
        <w:t>5. Hotel accommodation for crew(s) and other personnel</w:t>
      </w:r>
    </w:p>
    <w:p w14:paraId="1138E050" w14:textId="77777777" w:rsidR="00F729CD" w:rsidRPr="00814A92" w:rsidRDefault="00000000">
      <w:pPr>
        <w:jc w:val="both"/>
        <w:rPr>
          <w:lang w:val="en-GB"/>
        </w:rPr>
      </w:pPr>
      <w:r w:rsidRPr="00814A92">
        <w:rPr>
          <w:lang w:val="en-GB"/>
        </w:rPr>
        <w:t>5.1 Crew members and/or other personnel must be accommodated in separate rooms in the same hotel during the specified period;</w:t>
      </w:r>
    </w:p>
    <w:p w14:paraId="4E02261E" w14:textId="77777777" w:rsidR="00F729CD" w:rsidRPr="00814A92" w:rsidRDefault="00000000">
      <w:pPr>
        <w:jc w:val="both"/>
        <w:rPr>
          <w:lang w:val="en-GB"/>
        </w:rPr>
      </w:pPr>
      <w:r w:rsidRPr="00814A92">
        <w:rPr>
          <w:lang w:val="en-GB"/>
        </w:rPr>
        <w:t>5.2. The hotel must be at least three stars;</w:t>
      </w:r>
    </w:p>
    <w:p w14:paraId="437D2A8F" w14:textId="77777777" w:rsidR="00F729CD" w:rsidRPr="00814A92" w:rsidRDefault="00000000">
      <w:pPr>
        <w:jc w:val="both"/>
        <w:rPr>
          <w:lang w:val="en-GB"/>
        </w:rPr>
      </w:pPr>
      <w:r w:rsidRPr="00814A92">
        <w:rPr>
          <w:lang w:val="en-GB"/>
        </w:rPr>
        <w:t>5.3. The hotel must have wifi/wireless internet access, preferably included in the room rate;</w:t>
      </w:r>
    </w:p>
    <w:p w14:paraId="33D68BBD" w14:textId="77777777" w:rsidR="00F729CD" w:rsidRPr="00814A92" w:rsidRDefault="00000000">
      <w:pPr>
        <w:jc w:val="both"/>
        <w:rPr>
          <w:lang w:val="en-GB"/>
        </w:rPr>
      </w:pPr>
      <w:r w:rsidRPr="00814A92">
        <w:rPr>
          <w:lang w:val="en-GB"/>
        </w:rPr>
        <w:t>5.4. Rooms must have a metal safe (safe deposit box) to store valuables;</w:t>
      </w:r>
    </w:p>
    <w:p w14:paraId="48BB98B1" w14:textId="77777777" w:rsidR="00F729CD" w:rsidRPr="00814A92" w:rsidRDefault="00000000">
      <w:pPr>
        <w:jc w:val="both"/>
        <w:rPr>
          <w:lang w:val="en-GB"/>
        </w:rPr>
      </w:pPr>
      <w:r w:rsidRPr="00814A92">
        <w:rPr>
          <w:lang w:val="en-GB"/>
        </w:rPr>
        <w:t>5.5. Breakfast must be included in the room price;</w:t>
      </w:r>
    </w:p>
    <w:p w14:paraId="5FDD9FA2" w14:textId="77777777" w:rsidR="00F729CD" w:rsidRPr="00814A92" w:rsidRDefault="00000000">
      <w:pPr>
        <w:jc w:val="both"/>
        <w:rPr>
          <w:lang w:val="en-GB"/>
        </w:rPr>
      </w:pPr>
      <w:r w:rsidRPr="00814A92">
        <w:rPr>
          <w:lang w:val="en-GB"/>
        </w:rPr>
        <w:t>5.6. The hotel must be able to provide complementary meals (dinner and/or lunch) at the request of the crew;</w:t>
      </w:r>
    </w:p>
    <w:p w14:paraId="5441E1D1" w14:textId="77777777" w:rsidR="00F729CD" w:rsidRPr="00814A92" w:rsidRDefault="00000000">
      <w:pPr>
        <w:jc w:val="both"/>
        <w:rPr>
          <w:lang w:val="en-GB"/>
        </w:rPr>
      </w:pPr>
      <w:r w:rsidRPr="00814A92">
        <w:rPr>
          <w:lang w:val="en-GB"/>
        </w:rPr>
        <w:t>5.7. The hotel must be no more than 1 hour from the airport by car;</w:t>
      </w:r>
    </w:p>
    <w:p w14:paraId="7E80F234" w14:textId="77777777" w:rsidR="00F729CD" w:rsidRPr="00814A92" w:rsidRDefault="00000000">
      <w:pPr>
        <w:jc w:val="both"/>
        <w:rPr>
          <w:lang w:val="en-GB"/>
        </w:rPr>
      </w:pPr>
      <w:r w:rsidRPr="00814A92">
        <w:rPr>
          <w:lang w:val="en-GB"/>
        </w:rPr>
        <w:t xml:space="preserve">5.8. The hotel price per person may not exceed the rates for renting accommodation per person set out in the Government of the Republic of Lithuania Resolution No. 526 of 29 April 2004 (on the payment of subsistence allowances and other official travel expenses) (https://e-seimas.lrs.lt/portal/legalAct/lt/TAD/TAIS.232345/asr ), as set out in Table 1 for European countries;    </w:t>
      </w:r>
    </w:p>
    <w:p w14:paraId="33D8A895" w14:textId="77777777" w:rsidR="00F729CD" w:rsidRPr="00814A92" w:rsidRDefault="00000000">
      <w:pPr>
        <w:tabs>
          <w:tab w:val="left" w:pos="993"/>
        </w:tabs>
        <w:jc w:val="both"/>
        <w:rPr>
          <w:lang w:val="en-GB"/>
        </w:rPr>
      </w:pPr>
      <w:r w:rsidRPr="00814A92">
        <w:rPr>
          <w:lang w:val="en-GB"/>
        </w:rPr>
        <w:t>5.9. For participation in international operations coordinated by Frontex, the hotel cost per person may not exceed the accommodation costs in the European countries as set out in Table 1 of the European Commission Regulation (EU) 2016/1611 of 7 July 2016 on the “Revision of the scale applicable to missions by officials and other servants of the European Union to the Member States” (https://eur-lex.europa.eu/legal-content/LT/TXT/?uri=CELEX%3A32016R1611);</w:t>
      </w:r>
    </w:p>
    <w:p w14:paraId="19C820FE" w14:textId="77777777" w:rsidR="00F729CD" w:rsidRPr="00814A92" w:rsidRDefault="00000000">
      <w:pPr>
        <w:jc w:val="both"/>
        <w:rPr>
          <w:lang w:val="en-GB"/>
        </w:rPr>
      </w:pPr>
      <w:r w:rsidRPr="00814A92">
        <w:rPr>
          <w:lang w:val="en-GB"/>
        </w:rPr>
        <w:t xml:space="preserve">5.10. The hotel must be replaced by another complying with the above requirements at the request of the crew. </w:t>
      </w:r>
    </w:p>
    <w:p w14:paraId="2DA660FA" w14:textId="77777777" w:rsidR="00F729CD" w:rsidRPr="00814A92" w:rsidRDefault="00000000">
      <w:pPr>
        <w:jc w:val="both"/>
        <w:rPr>
          <w:b/>
          <w:lang w:val="en-GB"/>
        </w:rPr>
      </w:pPr>
      <w:r w:rsidRPr="00814A92">
        <w:rPr>
          <w:b/>
          <w:lang w:val="en-GB"/>
        </w:rPr>
        <w:t xml:space="preserve">6. Provision of aeronautical navigation information </w:t>
      </w:r>
    </w:p>
    <w:p w14:paraId="62E33335" w14:textId="77777777" w:rsidR="00F729CD" w:rsidRPr="00814A92" w:rsidRDefault="00000000">
      <w:pPr>
        <w:jc w:val="both"/>
        <w:rPr>
          <w:lang w:val="en-GB"/>
        </w:rPr>
      </w:pPr>
      <w:r w:rsidRPr="00814A92">
        <w:rPr>
          <w:lang w:val="en-GB"/>
        </w:rPr>
        <w:t xml:space="preserve">6.1. The scope and quality of the proposed air navigation services must be in accordance with the country-specific officially approved aeronautical information to be published (AIP Journal) or other documents recognised by the competent authorities of EASA Member States (CAA); </w:t>
      </w:r>
    </w:p>
    <w:p w14:paraId="413050AB" w14:textId="77777777" w:rsidR="00F729CD" w:rsidRPr="00814A92" w:rsidRDefault="00000000">
      <w:pPr>
        <w:jc w:val="both"/>
        <w:rPr>
          <w:lang w:val="en-GB"/>
        </w:rPr>
      </w:pPr>
      <w:r w:rsidRPr="00814A92">
        <w:rPr>
          <w:lang w:val="en-GB"/>
        </w:rPr>
        <w:t>6.2. The service provider shall provide, on request, valid VFR and IFR aeronautical charts for the planned flight routes in digital and/or paper form (Jeppessen preferred);</w:t>
      </w:r>
    </w:p>
    <w:p w14:paraId="759396D8" w14:textId="77777777" w:rsidR="00F729CD" w:rsidRPr="00814A92" w:rsidRDefault="00000000">
      <w:pPr>
        <w:jc w:val="both"/>
        <w:rPr>
          <w:lang w:val="en-GB"/>
        </w:rPr>
      </w:pPr>
      <w:r w:rsidRPr="00814A92">
        <w:rPr>
          <w:lang w:val="en-GB"/>
        </w:rPr>
        <w:t xml:space="preserve">6.3. Paper VFR and IFR charts shall be made available on request within 5 calendar days; </w:t>
      </w:r>
    </w:p>
    <w:p w14:paraId="3A0EDDCC" w14:textId="77777777" w:rsidR="00F729CD" w:rsidRPr="00814A92" w:rsidRDefault="00000000">
      <w:pPr>
        <w:jc w:val="both"/>
        <w:rPr>
          <w:lang w:val="en-GB"/>
        </w:rPr>
      </w:pPr>
      <w:r w:rsidRPr="00814A92">
        <w:rPr>
          <w:lang w:val="en-GB"/>
        </w:rPr>
        <w:lastRenderedPageBreak/>
        <w:t>6.4. The service provider shall make available on request current VFR and IFR aerodrome charts and aerodrome information for planned flight paths in digital and/or paper format (Jeppessen preferred);</w:t>
      </w:r>
    </w:p>
    <w:p w14:paraId="675FA25D" w14:textId="77777777" w:rsidR="00F729CD" w:rsidRPr="00814A92" w:rsidRDefault="00000000">
      <w:pPr>
        <w:jc w:val="both"/>
        <w:rPr>
          <w:lang w:val="en-GB"/>
        </w:rPr>
      </w:pPr>
      <w:r w:rsidRPr="00814A92">
        <w:rPr>
          <w:lang w:val="en-GB"/>
        </w:rPr>
        <w:t>6.5. The aeronautical navigation information shall include the European countries listed in Table 1.</w:t>
      </w:r>
    </w:p>
    <w:p w14:paraId="5AE4C005" w14:textId="77777777" w:rsidR="00F729CD" w:rsidRPr="00814A92" w:rsidRDefault="00000000">
      <w:pPr>
        <w:jc w:val="both"/>
        <w:rPr>
          <w:b/>
          <w:lang w:val="en-GB"/>
        </w:rPr>
      </w:pPr>
      <w:r w:rsidRPr="00814A92">
        <w:rPr>
          <w:b/>
          <w:lang w:val="en-GB"/>
        </w:rPr>
        <w:t>7. Other procurement conditions:</w:t>
      </w:r>
    </w:p>
    <w:p w14:paraId="14A771C9" w14:textId="77777777" w:rsidR="00F729CD" w:rsidRPr="00814A92" w:rsidRDefault="00000000">
      <w:pPr>
        <w:jc w:val="both"/>
        <w:rPr>
          <w:lang w:val="en-GB"/>
        </w:rPr>
      </w:pPr>
      <w:r w:rsidRPr="00814A92">
        <w:rPr>
          <w:lang w:val="en-GB"/>
        </w:rPr>
        <w:t>7.1. The service provider shall have its own operational support and dispatch centre (operational support and dispatch centre) open 24/7 so that crews can contact and receive assistance at any time of the day or night in the event of any issues during flight operations (evidence of this must be provided for confirmation);</w:t>
      </w:r>
    </w:p>
    <w:p w14:paraId="76C4EA0F" w14:textId="77777777" w:rsidR="00F729CD" w:rsidRPr="00814A92" w:rsidRDefault="00000000">
      <w:pPr>
        <w:jc w:val="both"/>
        <w:rPr>
          <w:lang w:val="en-GB"/>
        </w:rPr>
      </w:pPr>
      <w:r w:rsidRPr="00814A92">
        <w:rPr>
          <w:lang w:val="en-GB"/>
        </w:rPr>
        <w:t>7.2. The service user shall provide the information and coordination of the required services by telephone and/or e-mail prior to the scheduled flight;</w:t>
      </w:r>
    </w:p>
    <w:p w14:paraId="7B542A92" w14:textId="77777777" w:rsidR="00F729CD" w:rsidRPr="00814A92" w:rsidRDefault="00000000">
      <w:pPr>
        <w:jc w:val="both"/>
        <w:rPr>
          <w:lang w:val="en-GB"/>
        </w:rPr>
      </w:pPr>
      <w:r w:rsidRPr="00814A92">
        <w:rPr>
          <w:lang w:val="en-GB"/>
        </w:rPr>
        <w:t>7.3. The service provider shall coordinate the provision and performance of the service by telephone and/or e-mail and all documentation required for the flights (maps, aerodrome diagrams and other documents) in digital or paper form may be provided by post, e-mail or by providing access or access codes to the service provider’s information systems from which the required documentation for the flights may be printed or downloaded as agreed between the service recipient and the service provider;</w:t>
      </w:r>
    </w:p>
    <w:p w14:paraId="66F21D3F" w14:textId="43D3A948" w:rsidR="00F729CD" w:rsidRPr="00814A92" w:rsidRDefault="00000000">
      <w:pPr>
        <w:jc w:val="both"/>
        <w:rPr>
          <w:lang w:val="en-GB"/>
        </w:rPr>
      </w:pPr>
      <w:r w:rsidRPr="00814A92">
        <w:rPr>
          <w:lang w:val="en-GB"/>
        </w:rPr>
        <w:t>7.4. The service provider must submit the invoice and accompanying documents (fuel bills, taxes, charges, waybills, etc.) for the services rendered within 15 working days of the date of the service;</w:t>
      </w:r>
    </w:p>
    <w:p w14:paraId="7158DD9D" w14:textId="77777777" w:rsidR="00F729CD" w:rsidRPr="00814A92" w:rsidRDefault="00000000">
      <w:pPr>
        <w:jc w:val="both"/>
        <w:rPr>
          <w:lang w:val="en-GB"/>
        </w:rPr>
      </w:pPr>
      <w:r w:rsidRPr="00814A92">
        <w:rPr>
          <w:lang w:val="en-GB"/>
        </w:rPr>
        <w:t>7.5. The service provider does not have to charge a subscription service fee, but only a service mark-up on the amount of the services actually provided and the fees charged for bank transfers;</w:t>
      </w:r>
    </w:p>
    <w:p w14:paraId="793AC72B" w14:textId="77777777" w:rsidR="00F729CD" w:rsidRPr="00814A92" w:rsidRDefault="00000000">
      <w:pPr>
        <w:jc w:val="both"/>
        <w:rPr>
          <w:lang w:val="en-GB"/>
        </w:rPr>
      </w:pPr>
      <w:r w:rsidRPr="00814A92">
        <w:rPr>
          <w:lang w:val="en-GB"/>
        </w:rPr>
        <w:t xml:space="preserve">7.6. Preferably, the service provider must be a member of IATA (must provide documentary evidence of this).   </w:t>
      </w:r>
    </w:p>
    <w:p w14:paraId="5EF7B5A1" w14:textId="77777777" w:rsidR="00F729CD" w:rsidRPr="00814A92" w:rsidRDefault="00F729CD">
      <w:pPr>
        <w:jc w:val="both"/>
        <w:rPr>
          <w:lang w:val="en-GB"/>
        </w:rPr>
      </w:pPr>
    </w:p>
    <w:p w14:paraId="5FFFC8D0" w14:textId="77777777" w:rsidR="00F729CD" w:rsidRPr="00814A92" w:rsidRDefault="00000000">
      <w:pPr>
        <w:jc w:val="center"/>
        <w:rPr>
          <w:lang w:val="en-GB"/>
        </w:rPr>
      </w:pPr>
      <w:r w:rsidRPr="00814A92">
        <w:rPr>
          <w:lang w:val="en-GB"/>
        </w:rPr>
        <w:t>______________________________</w:t>
      </w:r>
    </w:p>
    <w:p w14:paraId="72C7BFE8"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741A1A25"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0" w:name="_Toc6601"/>
      <w:r w:rsidRPr="00814A92">
        <w:rPr>
          <w:rFonts w:asciiTheme="minorHAnsi" w:eastAsia="Calibri" w:hAnsiTheme="minorHAnsi"/>
          <w:color w:val="0070C0"/>
          <w:sz w:val="21"/>
          <w:szCs w:val="21"/>
          <w:lang w:val="en-GB"/>
        </w:rPr>
        <w:lastRenderedPageBreak/>
        <w:t>Annex 3 “Grounds for Exclusion of Suppliers” to the Procurement Conditions</w:t>
      </w:r>
      <w:bookmarkEnd w:id="30"/>
    </w:p>
    <w:p w14:paraId="2869E8D1" w14:textId="77777777" w:rsidR="00F729CD" w:rsidRPr="00814A92" w:rsidRDefault="00F729CD">
      <w:pPr>
        <w:jc w:val="center"/>
        <w:rPr>
          <w:rFonts w:cstheme="minorHAnsi"/>
          <w:b/>
          <w:bCs/>
          <w:smallCaps/>
          <w:sz w:val="22"/>
          <w:szCs w:val="22"/>
          <w:lang w:val="en-GB"/>
        </w:rPr>
      </w:pPr>
    </w:p>
    <w:p w14:paraId="021558A5" w14:textId="77777777" w:rsidR="00F729CD" w:rsidRPr="00814A92" w:rsidRDefault="00000000">
      <w:pPr>
        <w:pStyle w:val="Paantrat"/>
        <w:jc w:val="center"/>
        <w:rPr>
          <w:lang w:val="en-GB"/>
        </w:rPr>
      </w:pPr>
      <w:r w:rsidRPr="00814A92">
        <w:rPr>
          <w:lang w:val="en-GB"/>
        </w:rPr>
        <w:t>Grounds for exclusion of suppliers</w:t>
      </w:r>
    </w:p>
    <w:p w14:paraId="07F666B2" w14:textId="77777777" w:rsidR="00F729CD" w:rsidRPr="00814A92" w:rsidRDefault="00000000">
      <w:pPr>
        <w:rPr>
          <w:rFonts w:cstheme="minorHAnsi"/>
          <w:lang w:val="en-GB"/>
        </w:rPr>
      </w:pPr>
      <w:r w:rsidRPr="00814A92">
        <w:rPr>
          <w:lang w:val="en-GB"/>
        </w:rPr>
        <w:t xml:space="preserve">The table of grounds for exclusion is available as a separate document (docx format).   </w:t>
      </w:r>
    </w:p>
    <w:p w14:paraId="12CE695A" w14:textId="77777777" w:rsidR="00F729CD" w:rsidRPr="00814A92" w:rsidRDefault="00000000">
      <w:pPr>
        <w:jc w:val="center"/>
        <w:rPr>
          <w:rFonts w:cstheme="minorHAnsi"/>
          <w:b/>
          <w:bCs/>
          <w:smallCaps/>
          <w:sz w:val="22"/>
          <w:szCs w:val="22"/>
          <w:lang w:val="en-GB"/>
        </w:rPr>
      </w:pPr>
      <w:r w:rsidRPr="00814A92">
        <w:rPr>
          <w:rFonts w:cstheme="minorHAnsi"/>
          <w:smallCaps/>
          <w:sz w:val="22"/>
          <w:szCs w:val="22"/>
          <w:lang w:val="en-GB"/>
        </w:rPr>
        <w:t>__________</w:t>
      </w:r>
      <w:r w:rsidRPr="00814A92">
        <w:rPr>
          <w:rFonts w:cstheme="minorHAnsi"/>
          <w:b/>
          <w:bCs/>
          <w:smallCaps/>
          <w:sz w:val="22"/>
          <w:szCs w:val="22"/>
          <w:lang w:val="en-GB"/>
        </w:rPr>
        <w:br w:type="page"/>
      </w:r>
    </w:p>
    <w:p w14:paraId="13AC4C06"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1" w:name="_Toc2600"/>
      <w:r w:rsidRPr="00814A92">
        <w:rPr>
          <w:rFonts w:asciiTheme="minorHAnsi" w:eastAsia="Calibri" w:hAnsiTheme="minorHAnsi"/>
          <w:color w:val="0070C0"/>
          <w:sz w:val="21"/>
          <w:szCs w:val="21"/>
          <w:lang w:val="en-GB"/>
        </w:rPr>
        <w:lastRenderedPageBreak/>
        <w:t>Annex 4 “Qualification requirements of suppliers and required standards for quality and environmental management systems” to the Procurement Conditions</w:t>
      </w:r>
      <w:bookmarkEnd w:id="31"/>
    </w:p>
    <w:p w14:paraId="53ED3E75" w14:textId="77777777" w:rsidR="00F729CD" w:rsidRPr="00814A92" w:rsidRDefault="00F729CD">
      <w:pPr>
        <w:rPr>
          <w:rFonts w:cstheme="minorHAnsi"/>
          <w:b/>
          <w:bCs/>
          <w:smallCaps/>
          <w:sz w:val="22"/>
          <w:szCs w:val="22"/>
          <w:lang w:val="en-GB"/>
        </w:rPr>
      </w:pPr>
    </w:p>
    <w:p w14:paraId="4F820082" w14:textId="77777777" w:rsidR="00F729CD" w:rsidRPr="00814A92" w:rsidRDefault="00000000">
      <w:pPr>
        <w:pStyle w:val="Paantrat"/>
        <w:spacing w:line="240" w:lineRule="auto"/>
        <w:jc w:val="center"/>
        <w:rPr>
          <w:smallCaps/>
          <w:lang w:val="en-GB"/>
        </w:rPr>
      </w:pPr>
      <w:r w:rsidRPr="00814A92">
        <w:rPr>
          <w:smallCaps/>
          <w:lang w:val="en-GB"/>
        </w:rPr>
        <w:t>Qualification requirements of suppliers and requirements to comply with quality management system and/or environmental management system standards</w:t>
      </w:r>
    </w:p>
    <w:p w14:paraId="495A4FE5" w14:textId="77777777" w:rsidR="00F729CD" w:rsidRPr="00814A92" w:rsidRDefault="00000000">
      <w:pPr>
        <w:pStyle w:val="Sraopastraipa"/>
        <w:spacing w:line="240" w:lineRule="auto"/>
        <w:ind w:left="0" w:firstLine="709"/>
        <w:rPr>
          <w:rFonts w:eastAsia="Arial" w:cstheme="minorHAnsi"/>
          <w:lang w:val="en-GB"/>
        </w:rPr>
      </w:pPr>
      <w:r w:rsidRPr="00814A92">
        <w:rPr>
          <w:rFonts w:eastAsia="Arial" w:cstheme="minorHAnsi"/>
          <w:lang w:val="en-GB"/>
        </w:rPr>
        <w:t xml:space="preserve">1. </w:t>
      </w:r>
      <w:r w:rsidRPr="00814A92">
        <w:rPr>
          <w:rFonts w:eastAsia="Arial"/>
          <w:lang w:val="en-GB"/>
        </w:rPr>
        <w:t>There are no requirements for supplier qualification.</w:t>
      </w:r>
    </w:p>
    <w:p w14:paraId="28B7E7C6" w14:textId="77777777" w:rsidR="00F729CD" w:rsidRPr="00814A92" w:rsidRDefault="00000000">
      <w:pPr>
        <w:pStyle w:val="Sraopastraipa"/>
        <w:spacing w:after="0" w:line="240" w:lineRule="auto"/>
        <w:ind w:left="0" w:firstLine="709"/>
        <w:jc w:val="both"/>
        <w:rPr>
          <w:rFonts w:eastAsiaTheme="minorHAnsi" w:cstheme="minorHAnsi"/>
          <w:lang w:val="en-GB"/>
        </w:rPr>
      </w:pPr>
      <w:bookmarkStart w:id="32" w:name="_Hlk149113116"/>
      <w:r w:rsidRPr="00814A92">
        <w:rPr>
          <w:rFonts w:eastAsia="Arial" w:cstheme="minorHAnsi"/>
          <w:lang w:val="en-GB"/>
        </w:rPr>
        <w:t xml:space="preserve">2. </w:t>
      </w:r>
      <w:bookmarkEnd w:id="32"/>
      <w:r w:rsidRPr="00814A92">
        <w:rPr>
          <w:rFonts w:eastAsia="Arial"/>
          <w:lang w:val="en-GB"/>
        </w:rPr>
        <w:t xml:space="preserve">The Contracting Authority shall not require suppliers to comply with the standards of a quality management system and/or an environmental management system. </w:t>
      </w:r>
    </w:p>
    <w:p w14:paraId="324359C4" w14:textId="77777777" w:rsidR="00F729CD" w:rsidRPr="00814A92" w:rsidRDefault="00F729CD">
      <w:pPr>
        <w:spacing w:after="0" w:line="240" w:lineRule="auto"/>
        <w:jc w:val="center"/>
        <w:rPr>
          <w:rFonts w:eastAsiaTheme="minorHAnsi" w:cstheme="minorHAnsi"/>
          <w:lang w:val="en-GB" w:eastAsia="en-US"/>
        </w:rPr>
      </w:pPr>
    </w:p>
    <w:p w14:paraId="5CD78EF1" w14:textId="77777777" w:rsidR="00F729CD" w:rsidRPr="00814A92" w:rsidRDefault="00000000">
      <w:pPr>
        <w:spacing w:after="0" w:line="240" w:lineRule="auto"/>
        <w:jc w:val="center"/>
        <w:rPr>
          <w:rFonts w:cstheme="minorHAnsi"/>
          <w:b/>
          <w:bCs/>
          <w:smallCaps/>
          <w:lang w:val="en-GB"/>
        </w:rPr>
      </w:pPr>
      <w:r w:rsidRPr="00814A92">
        <w:rPr>
          <w:rFonts w:eastAsiaTheme="minorHAnsi" w:cstheme="minorHAnsi"/>
          <w:lang w:val="en-GB" w:eastAsia="en-US"/>
        </w:rPr>
        <w:t>__________</w:t>
      </w:r>
    </w:p>
    <w:p w14:paraId="54938C1D"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3B732933" w14:textId="77777777" w:rsidR="00F729CD" w:rsidRPr="00814A92" w:rsidRDefault="00000000">
      <w:pPr>
        <w:pStyle w:val="Antrat2"/>
        <w:ind w:left="5103"/>
        <w:rPr>
          <w:rFonts w:asciiTheme="minorHAnsi" w:hAnsiTheme="minorHAnsi" w:cstheme="minorHAnsi"/>
          <w:color w:val="0070C0"/>
          <w:sz w:val="21"/>
          <w:szCs w:val="21"/>
          <w:lang w:val="en-GB"/>
        </w:rPr>
      </w:pPr>
      <w:bookmarkStart w:id="33" w:name="_Toc7785"/>
      <w:r w:rsidRPr="00814A92">
        <w:rPr>
          <w:rFonts w:asciiTheme="minorHAnsi" w:eastAsia="Calibri" w:hAnsiTheme="minorHAnsi"/>
          <w:color w:val="0070C0"/>
          <w:sz w:val="21"/>
          <w:szCs w:val="21"/>
          <w:lang w:val="en-GB"/>
        </w:rPr>
        <w:lastRenderedPageBreak/>
        <w:t>Annex 5 “ESPD” to the Procurement Conditions (XML format)</w:t>
      </w:r>
      <w:bookmarkEnd w:id="33"/>
    </w:p>
    <w:p w14:paraId="4C005C3F" w14:textId="77777777" w:rsidR="00F729CD" w:rsidRPr="00814A92" w:rsidRDefault="00F729CD">
      <w:pPr>
        <w:rPr>
          <w:rFonts w:cstheme="minorHAnsi"/>
          <w:b/>
          <w:bCs/>
          <w:smallCaps/>
          <w:sz w:val="22"/>
          <w:szCs w:val="22"/>
          <w:lang w:val="en-GB"/>
        </w:rPr>
      </w:pPr>
    </w:p>
    <w:p w14:paraId="44DFCB1B" w14:textId="77777777" w:rsidR="00F729CD" w:rsidRPr="00814A92" w:rsidRDefault="00000000">
      <w:pPr>
        <w:pStyle w:val="Paantrat"/>
        <w:jc w:val="center"/>
        <w:rPr>
          <w:b/>
          <w:bCs/>
          <w:smallCaps/>
          <w:lang w:val="en-GB"/>
        </w:rPr>
      </w:pPr>
      <w:r w:rsidRPr="00814A92">
        <w:rPr>
          <w:lang w:val="en-GB"/>
        </w:rPr>
        <w:t>EUROPEAN SINGLE PROCUREMENT DOCUMENT</w:t>
      </w:r>
    </w:p>
    <w:p w14:paraId="587FAC10" w14:textId="77777777" w:rsidR="00F729CD" w:rsidRPr="00814A92" w:rsidRDefault="00000000">
      <w:pPr>
        <w:jc w:val="both"/>
        <w:rPr>
          <w:rFonts w:cstheme="minorHAnsi"/>
          <w:sz w:val="22"/>
          <w:szCs w:val="22"/>
          <w:lang w:val="en-GB"/>
        </w:rPr>
      </w:pPr>
      <w:r w:rsidRPr="00814A92">
        <w:rPr>
          <w:sz w:val="22"/>
          <w:szCs w:val="22"/>
          <w:lang w:val="en-GB"/>
        </w:rPr>
        <w:t xml:space="preserve">The “European Single Procurement Document (ESPD)” is available in .xml format. </w:t>
      </w:r>
    </w:p>
    <w:p w14:paraId="34F8D92D" w14:textId="77777777" w:rsidR="00F729CD" w:rsidRPr="00814A92" w:rsidRDefault="00000000">
      <w:pPr>
        <w:jc w:val="center"/>
        <w:rPr>
          <w:rFonts w:cstheme="minorHAnsi"/>
          <w:smallCaps/>
          <w:sz w:val="22"/>
          <w:szCs w:val="22"/>
          <w:lang w:val="en-GB"/>
        </w:rPr>
      </w:pPr>
      <w:r w:rsidRPr="00814A92">
        <w:rPr>
          <w:rFonts w:cstheme="minorHAnsi"/>
          <w:smallCaps/>
          <w:sz w:val="22"/>
          <w:szCs w:val="22"/>
          <w:lang w:val="en-GB"/>
        </w:rPr>
        <w:t>__________</w:t>
      </w:r>
    </w:p>
    <w:p w14:paraId="49B05463"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0CA226EB"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4" w:name="_Toc2618"/>
      <w:r w:rsidRPr="00814A92">
        <w:rPr>
          <w:rFonts w:asciiTheme="minorHAnsi" w:eastAsia="Calibri" w:hAnsiTheme="minorHAnsi"/>
          <w:color w:val="0070C0"/>
          <w:sz w:val="21"/>
          <w:szCs w:val="21"/>
          <w:lang w:val="en-GB"/>
        </w:rPr>
        <w:lastRenderedPageBreak/>
        <w:t>Annex 6 “Tender Form” to the Procurement Conditions</w:t>
      </w:r>
      <w:bookmarkEnd w:id="34"/>
    </w:p>
    <w:p w14:paraId="43BBCDC0" w14:textId="77777777" w:rsidR="00F729CD" w:rsidRPr="00814A92" w:rsidRDefault="00F729CD">
      <w:pPr>
        <w:rPr>
          <w:rFonts w:cstheme="minorHAnsi"/>
          <w:color w:val="7030A0"/>
          <w:lang w:val="en-GB"/>
        </w:rPr>
      </w:pPr>
    </w:p>
    <w:p w14:paraId="16D12A6D" w14:textId="77777777" w:rsidR="00F729CD" w:rsidRPr="00814A92" w:rsidRDefault="00000000">
      <w:pPr>
        <w:spacing w:after="0" w:line="240" w:lineRule="auto"/>
        <w:rPr>
          <w:rFonts w:cstheme="minorHAnsi"/>
          <w:lang w:val="en-GB"/>
        </w:rPr>
      </w:pPr>
      <w:r w:rsidRPr="00814A92">
        <w:rPr>
          <w:lang w:val="en-GB"/>
        </w:rPr>
        <w:t xml:space="preserve">The tender form is available as a separate document (docx format). </w:t>
      </w:r>
    </w:p>
    <w:p w14:paraId="71554BBF" w14:textId="77777777" w:rsidR="00F729CD" w:rsidRPr="00814A92" w:rsidRDefault="00000000">
      <w:pPr>
        <w:jc w:val="center"/>
        <w:rPr>
          <w:rFonts w:cstheme="minorHAnsi"/>
          <w:color w:val="7030A0"/>
          <w:lang w:val="en-GB"/>
        </w:rPr>
      </w:pPr>
      <w:r w:rsidRPr="00814A92">
        <w:rPr>
          <w:rFonts w:cstheme="minorHAnsi"/>
          <w:lang w:val="en-GB"/>
        </w:rPr>
        <w:t>__________</w:t>
      </w:r>
    </w:p>
    <w:p w14:paraId="7047C868" w14:textId="77777777" w:rsidR="00F729CD" w:rsidRPr="00814A92" w:rsidRDefault="00000000">
      <w:pPr>
        <w:rPr>
          <w:rFonts w:cstheme="minorHAnsi"/>
          <w:color w:val="7030A0"/>
          <w:lang w:val="en-GB"/>
        </w:rPr>
      </w:pPr>
      <w:r w:rsidRPr="00814A92">
        <w:rPr>
          <w:rFonts w:cstheme="minorHAnsi"/>
          <w:color w:val="7030A0"/>
          <w:lang w:val="en-GB"/>
        </w:rPr>
        <w:br w:type="page"/>
      </w:r>
    </w:p>
    <w:p w14:paraId="0CE03EE3" w14:textId="77777777" w:rsidR="00F729CD" w:rsidRPr="00814A92" w:rsidRDefault="00F729CD">
      <w:pPr>
        <w:rPr>
          <w:rFonts w:cstheme="minorHAnsi"/>
          <w:b/>
          <w:bCs/>
          <w:smallCaps/>
          <w:sz w:val="22"/>
          <w:szCs w:val="22"/>
          <w:lang w:val="en-GB"/>
        </w:rPr>
      </w:pPr>
    </w:p>
    <w:p w14:paraId="11D93CBF"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5" w:name="_Toc761"/>
      <w:r w:rsidRPr="00814A92">
        <w:rPr>
          <w:rFonts w:asciiTheme="minorHAnsi" w:eastAsia="Calibri" w:hAnsiTheme="minorHAnsi"/>
          <w:color w:val="0070C0"/>
          <w:sz w:val="21"/>
          <w:szCs w:val="21"/>
          <w:lang w:val="en-GB"/>
        </w:rPr>
        <w:t>Annex 7 “Criteria and conditions for evaluation of tenders” to the Procurement Conditions</w:t>
      </w:r>
      <w:bookmarkEnd w:id="35"/>
    </w:p>
    <w:p w14:paraId="55FC1A4A" w14:textId="77777777" w:rsidR="00F729CD" w:rsidRPr="00814A92" w:rsidRDefault="00F729CD">
      <w:pPr>
        <w:jc w:val="center"/>
        <w:rPr>
          <w:b/>
          <w:szCs w:val="24"/>
          <w:lang w:val="en-GB"/>
        </w:rPr>
      </w:pPr>
    </w:p>
    <w:p w14:paraId="43897DD9" w14:textId="77777777" w:rsidR="00F729CD" w:rsidRPr="00814A92" w:rsidRDefault="00000000">
      <w:pPr>
        <w:pStyle w:val="Paantrat"/>
        <w:jc w:val="center"/>
        <w:rPr>
          <w:rFonts w:cstheme="minorHAnsi"/>
          <w:bCs/>
          <w:smallCaps/>
          <w:sz w:val="22"/>
          <w:szCs w:val="22"/>
          <w:lang w:val="en-GB"/>
        </w:rPr>
      </w:pPr>
      <w:r w:rsidRPr="00814A92">
        <w:rPr>
          <w:lang w:val="en-GB"/>
        </w:rPr>
        <w:t>Criteria and conditions for evaluation of tenders</w:t>
      </w:r>
    </w:p>
    <w:p w14:paraId="0CADB611" w14:textId="77777777" w:rsidR="00F729CD" w:rsidRPr="00814A92" w:rsidRDefault="00F729CD">
      <w:pPr>
        <w:spacing w:line="240" w:lineRule="auto"/>
        <w:ind w:left="7314"/>
        <w:rPr>
          <w:rFonts w:ascii="Arial" w:hAnsi="Arial" w:cs="Arial"/>
          <w:lang w:val="en-GB"/>
        </w:rPr>
      </w:pPr>
    </w:p>
    <w:p w14:paraId="7F2E618B" w14:textId="77777777" w:rsidR="00F729CD" w:rsidRPr="00814A92" w:rsidRDefault="00000000">
      <w:pPr>
        <w:pStyle w:val="Sraopastraipa"/>
        <w:numPr>
          <w:ilvl w:val="0"/>
          <w:numId w:val="13"/>
        </w:numPr>
        <w:spacing w:after="0" w:line="240" w:lineRule="auto"/>
        <w:ind w:left="0" w:firstLine="567"/>
        <w:jc w:val="both"/>
        <w:rPr>
          <w:lang w:val="en-GB"/>
        </w:rPr>
      </w:pPr>
      <w:r w:rsidRPr="00814A92">
        <w:rPr>
          <w:lang w:val="en-GB"/>
        </w:rPr>
        <w:t>The Contracting Authority shall select the most economically advantageous tender on the basis of price. The successful tenderer shall be the supplier offering the lowest fixed mark-up as a percentage of the price of the flight administration and maintenance services purchased from third parties, including airport services (excluding aircraft maintenance), refuelling, transport of crew(s) and other personnel, hotel accommodation for crew(s) and other personnel, and the provision of aeronautical navigation information.</w:t>
      </w:r>
    </w:p>
    <w:p w14:paraId="31611A9E" w14:textId="77777777" w:rsidR="00F729CD" w:rsidRPr="00814A92" w:rsidRDefault="00000000">
      <w:pPr>
        <w:pStyle w:val="Sraopastraipa"/>
        <w:numPr>
          <w:ilvl w:val="0"/>
          <w:numId w:val="13"/>
        </w:numPr>
        <w:spacing w:after="0" w:line="240" w:lineRule="auto"/>
        <w:ind w:left="0" w:firstLine="567"/>
        <w:jc w:val="both"/>
        <w:rPr>
          <w:rFonts w:cstheme="minorHAnsi"/>
          <w:b/>
          <w:bCs/>
          <w:smallCaps/>
          <w:sz w:val="22"/>
          <w:szCs w:val="22"/>
          <w:lang w:val="en-GB"/>
        </w:rPr>
      </w:pPr>
      <w:r w:rsidRPr="00814A92">
        <w:rPr>
          <w:rFonts w:eastAsiaTheme="minorHAnsi"/>
          <w:bCs/>
          <w:iCs/>
          <w:lang w:val="en-GB"/>
        </w:rPr>
        <w:t>The price quoted in the tender for the object of the contract shall in all cases be considered abnormally low if it is 30 % or more below the arithmetic mean of the prices quoted by all suppliers whose tenders have not been rejected on other grounds, and whose quotations do not exceed the amount of funds available for the contract as determined and recorded in the documents drawn up by the contracting authority prior to the start of the procedure.</w:t>
      </w:r>
      <w:r w:rsidRPr="00814A92">
        <w:rPr>
          <w:rFonts w:eastAsiaTheme="minorHAnsi" w:cstheme="minorHAnsi"/>
          <w:bCs/>
          <w:iCs/>
          <w:lang w:val="en-GB"/>
        </w:rPr>
        <w:t xml:space="preserve"> </w:t>
      </w:r>
    </w:p>
    <w:p w14:paraId="7546E275" w14:textId="77777777" w:rsidR="00F729CD" w:rsidRPr="00814A92" w:rsidRDefault="00000000">
      <w:pPr>
        <w:pStyle w:val="paragrafesrasas2lygis"/>
        <w:ind w:firstLine="397"/>
        <w:jc w:val="left"/>
        <w:rPr>
          <w:rFonts w:asciiTheme="minorHAnsi" w:hAnsiTheme="minorHAnsi" w:cstheme="minorHAnsi"/>
          <w:color w:val="7030A0"/>
          <w:lang w:val="en-GB"/>
        </w:rPr>
      </w:pPr>
      <w:r w:rsidRPr="00814A92">
        <w:rPr>
          <w:rFonts w:asciiTheme="minorHAnsi" w:hAnsiTheme="minorHAnsi" w:cstheme="minorHAnsi"/>
          <w:color w:val="7030A0"/>
          <w:sz w:val="21"/>
          <w:szCs w:val="21"/>
          <w:lang w:val="en-GB"/>
        </w:rPr>
        <w:t xml:space="preserve">  </w:t>
      </w:r>
    </w:p>
    <w:p w14:paraId="3B6A9226" w14:textId="77777777" w:rsidR="00F729CD" w:rsidRPr="00814A92" w:rsidRDefault="00000000">
      <w:pPr>
        <w:jc w:val="center"/>
        <w:rPr>
          <w:rFonts w:cstheme="minorHAnsi"/>
          <w:b/>
          <w:bCs/>
          <w:smallCaps/>
          <w:sz w:val="22"/>
          <w:szCs w:val="22"/>
          <w:lang w:val="en-GB"/>
        </w:rPr>
      </w:pPr>
      <w:r w:rsidRPr="00814A92">
        <w:rPr>
          <w:rFonts w:cstheme="minorHAnsi"/>
          <w:lang w:val="en-GB"/>
        </w:rPr>
        <w:t>__________</w:t>
      </w:r>
      <w:r w:rsidRPr="00814A92">
        <w:rPr>
          <w:rFonts w:cstheme="minorHAnsi"/>
          <w:b/>
          <w:bCs/>
          <w:smallCaps/>
          <w:sz w:val="22"/>
          <w:szCs w:val="22"/>
          <w:lang w:val="en-GB"/>
        </w:rPr>
        <w:br w:type="page"/>
      </w:r>
    </w:p>
    <w:p w14:paraId="02758829" w14:textId="77777777" w:rsidR="00F729CD" w:rsidRPr="00814A92" w:rsidRDefault="00000000">
      <w:pPr>
        <w:pStyle w:val="Antrat2"/>
        <w:ind w:left="5103"/>
        <w:rPr>
          <w:rFonts w:asciiTheme="minorHAnsi" w:hAnsiTheme="minorHAnsi"/>
          <w:color w:val="0070C0"/>
          <w:sz w:val="21"/>
          <w:szCs w:val="21"/>
          <w:lang w:val="en-GB"/>
        </w:rPr>
      </w:pPr>
      <w:bookmarkStart w:id="36" w:name="_Toc599"/>
      <w:bookmarkStart w:id="37" w:name="_Hlk181447094"/>
      <w:bookmarkStart w:id="38" w:name="_Ref39586171"/>
      <w:bookmarkStart w:id="39" w:name="_Ref39674283"/>
      <w:bookmarkStart w:id="40" w:name="_Ref39673580"/>
      <w:r w:rsidRPr="00814A92">
        <w:rPr>
          <w:rFonts w:asciiTheme="minorHAnsi" w:hAnsiTheme="minorHAnsi"/>
          <w:color w:val="0070C0"/>
          <w:sz w:val="21"/>
          <w:szCs w:val="21"/>
          <w:lang w:val="en-GB"/>
        </w:rPr>
        <w:lastRenderedPageBreak/>
        <w:t>Annex 8 “Declaration of Conformity” to the Procurement Conditions</w:t>
      </w:r>
      <w:bookmarkEnd w:id="36"/>
    </w:p>
    <w:p w14:paraId="71F543E4" w14:textId="77777777" w:rsidR="00F729CD" w:rsidRPr="00814A92" w:rsidRDefault="00F729CD">
      <w:pPr>
        <w:rPr>
          <w:sz w:val="2"/>
          <w:szCs w:val="2"/>
          <w:lang w:val="en-GB"/>
        </w:rPr>
      </w:pPr>
    </w:p>
    <w:bookmarkEnd w:id="37"/>
    <w:p w14:paraId="693A681B" w14:textId="77777777" w:rsidR="00F729CD" w:rsidRPr="00814A92" w:rsidRDefault="00000000">
      <w:pPr>
        <w:jc w:val="center"/>
        <w:rPr>
          <w:b/>
          <w:bCs/>
          <w:lang w:val="en-GB"/>
        </w:rPr>
      </w:pPr>
      <w:r w:rsidRPr="00814A92">
        <w:rPr>
          <w:b/>
          <w:bCs/>
          <w:lang w:val="en-GB"/>
        </w:rPr>
        <w:t>(Example form)</w:t>
      </w:r>
    </w:p>
    <w:p w14:paraId="00B8C255" w14:textId="77777777" w:rsidR="00F729CD" w:rsidRPr="00814A92" w:rsidRDefault="00F729CD">
      <w:pPr>
        <w:rPr>
          <w:sz w:val="20"/>
          <w:szCs w:val="20"/>
          <w:lang w:val="en-GB"/>
        </w:rPr>
      </w:pPr>
    </w:p>
    <w:p w14:paraId="4B03E748" w14:textId="77777777" w:rsidR="00F729CD" w:rsidRPr="00814A92" w:rsidRDefault="00000000">
      <w:pPr>
        <w:tabs>
          <w:tab w:val="left" w:pos="2977"/>
        </w:tabs>
        <w:spacing w:after="120" w:line="20" w:lineRule="atLeast"/>
        <w:jc w:val="center"/>
        <w:rPr>
          <w:rFonts w:ascii="Tahoma" w:eastAsia="Calibri" w:hAnsi="Tahoma" w:cs="Tahoma"/>
          <w:b/>
          <w:lang w:val="en-GB"/>
        </w:rPr>
      </w:pPr>
      <w:r w:rsidRPr="00814A92">
        <w:rPr>
          <w:rFonts w:ascii="Tahoma" w:eastAsia="Calibri" w:hAnsi="Tahoma"/>
          <w:b/>
          <w:lang w:val="en-GB"/>
        </w:rPr>
        <w:t>NAME OF SUPPLIER</w:t>
      </w:r>
    </w:p>
    <w:p w14:paraId="6FCC9C08" w14:textId="77777777" w:rsidR="00F729CD" w:rsidRPr="00814A92" w:rsidRDefault="00000000">
      <w:pPr>
        <w:jc w:val="center"/>
        <w:rPr>
          <w:rFonts w:ascii="Tahoma" w:eastAsia="Calibri" w:hAnsi="Tahoma" w:cs="Tahoma"/>
          <w:b/>
          <w:lang w:val="en-GB"/>
        </w:rPr>
      </w:pPr>
      <w:r w:rsidRPr="00814A92">
        <w:rPr>
          <w:rFonts w:ascii="Tahoma" w:eastAsia="Calibri" w:hAnsi="Tahoma"/>
          <w:b/>
          <w:lang w:val="en-GB"/>
        </w:rPr>
        <w:t>HEAD OR AUTHORISED PERSON OF THE HEAD</w:t>
      </w:r>
      <w:r w:rsidRPr="00814A92">
        <w:rPr>
          <w:rFonts w:ascii="Tahoma" w:eastAsia="Calibri" w:hAnsi="Tahoma" w:cs="Tahoma"/>
          <w:b/>
          <w:vertAlign w:val="superscript"/>
          <w:lang w:val="en-GB"/>
        </w:rPr>
        <w:footnoteReference w:id="2"/>
      </w:r>
      <w:r w:rsidRPr="00814A92">
        <w:rPr>
          <w:rFonts w:ascii="Tahoma" w:eastAsia="Calibri" w:hAnsi="Tahoma" w:cs="Tahoma"/>
          <w:b/>
          <w:lang w:val="en-GB"/>
        </w:rPr>
        <w:t xml:space="preserve"> </w:t>
      </w:r>
    </w:p>
    <w:p w14:paraId="178AD346" w14:textId="77777777" w:rsidR="00F729CD" w:rsidRPr="00814A92" w:rsidRDefault="00000000">
      <w:pPr>
        <w:jc w:val="center"/>
        <w:rPr>
          <w:rFonts w:ascii="Tahoma" w:eastAsia="Calibri" w:hAnsi="Tahoma" w:cs="Tahoma"/>
          <w:b/>
          <w:lang w:val="en-GB"/>
        </w:rPr>
      </w:pPr>
      <w:r w:rsidRPr="00814A92">
        <w:rPr>
          <w:rFonts w:ascii="Tahoma" w:eastAsia="Calibri" w:hAnsi="Tahoma" w:cs="Tahoma"/>
          <w:b/>
          <w:lang w:val="en-GB"/>
        </w:rPr>
        <w:t>Name, surname</w:t>
      </w:r>
    </w:p>
    <w:p w14:paraId="43D7DB5A" w14:textId="77777777" w:rsidR="00F729CD" w:rsidRPr="00814A92" w:rsidRDefault="00000000">
      <w:pPr>
        <w:jc w:val="center"/>
        <w:rPr>
          <w:rFonts w:ascii="Tahoma" w:eastAsia="Calibri" w:hAnsi="Tahoma" w:cs="Tahoma"/>
          <w:lang w:val="en-GB"/>
        </w:rPr>
      </w:pPr>
      <w:r w:rsidRPr="00814A92">
        <w:rPr>
          <w:rFonts w:ascii="Tahoma" w:eastAsia="Calibri" w:hAnsi="Tahoma" w:cs="Tahoma"/>
          <w:lang w:val="en-GB"/>
        </w:rPr>
        <w:t>[Date]</w:t>
      </w:r>
    </w:p>
    <w:p w14:paraId="4B06EB01" w14:textId="77777777" w:rsidR="00F729CD" w:rsidRPr="00814A92" w:rsidRDefault="00000000">
      <w:pPr>
        <w:jc w:val="center"/>
        <w:rPr>
          <w:rFonts w:ascii="Tahoma" w:eastAsia="Calibri" w:hAnsi="Tahoma" w:cs="Tahoma"/>
          <w:lang w:val="en-GB"/>
        </w:rPr>
      </w:pPr>
      <w:r w:rsidRPr="00814A92">
        <w:rPr>
          <w:rFonts w:ascii="Tahoma" w:eastAsia="Calibri" w:hAnsi="Tahoma" w:cs="Tahoma"/>
          <w:lang w:val="en-GB"/>
        </w:rPr>
        <w:t xml:space="preserve">[Place] </w:t>
      </w:r>
    </w:p>
    <w:p w14:paraId="63726100" w14:textId="77777777" w:rsidR="00F729CD" w:rsidRPr="00814A92" w:rsidRDefault="00F729CD">
      <w:pPr>
        <w:jc w:val="center"/>
        <w:rPr>
          <w:rFonts w:ascii="Tahoma" w:eastAsia="Calibri" w:hAnsi="Tahoma" w:cs="Tahoma"/>
          <w:lang w:val="en-GB"/>
        </w:rPr>
      </w:pPr>
    </w:p>
    <w:p w14:paraId="36001C76" w14:textId="77777777" w:rsidR="00F729CD" w:rsidRPr="00814A92" w:rsidRDefault="00000000">
      <w:pPr>
        <w:rPr>
          <w:rFonts w:ascii="Tahoma" w:eastAsia="Calibri" w:hAnsi="Tahoma" w:cs="Tahoma"/>
          <w:lang w:val="en-GB"/>
        </w:rPr>
      </w:pPr>
      <w:r w:rsidRPr="00814A92">
        <w:rPr>
          <w:rFonts w:ascii="Tahoma" w:eastAsia="Calibri" w:hAnsi="Tahoma"/>
          <w:lang w:val="en-GB"/>
        </w:rPr>
        <w:t>State Border Guard Service under the Ministry of the Interior of the Republic of Lithuania</w:t>
      </w:r>
    </w:p>
    <w:p w14:paraId="3D509E14" w14:textId="77777777" w:rsidR="00F729CD" w:rsidRPr="00814A92" w:rsidRDefault="00000000">
      <w:pPr>
        <w:jc w:val="center"/>
        <w:rPr>
          <w:rFonts w:ascii="Tahoma" w:eastAsia="Calibri" w:hAnsi="Tahoma" w:cs="Tahoma"/>
          <w:b/>
          <w:lang w:val="en-GB"/>
        </w:rPr>
      </w:pPr>
      <w:r w:rsidRPr="00814A92">
        <w:rPr>
          <w:rFonts w:ascii="Tahoma" w:eastAsia="Calibri" w:hAnsi="Tahoma"/>
          <w:b/>
          <w:lang w:val="en-GB"/>
        </w:rPr>
        <w:t>DECLARATION OF CONFORMITY</w:t>
      </w:r>
      <w:r w:rsidRPr="00814A92">
        <w:rPr>
          <w:rFonts w:ascii="Tahoma" w:eastAsia="Calibri" w:hAnsi="Tahoma" w:cs="Tahoma"/>
          <w:b/>
          <w:vertAlign w:val="superscript"/>
          <w:lang w:val="en-GB"/>
        </w:rPr>
        <w:footnoteReference w:id="3"/>
      </w:r>
    </w:p>
    <w:p w14:paraId="58CD3C7B" w14:textId="77777777" w:rsidR="00F729CD" w:rsidRPr="00814A92" w:rsidRDefault="00F729CD">
      <w:pPr>
        <w:jc w:val="center"/>
        <w:rPr>
          <w:rFonts w:ascii="Tahoma" w:eastAsia="Calibri" w:hAnsi="Tahoma" w:cs="Tahoma"/>
          <w:lang w:val="en-GB"/>
        </w:rPr>
      </w:pPr>
    </w:p>
    <w:p w14:paraId="54962502" w14:textId="77777777" w:rsidR="00F729CD" w:rsidRPr="00814A92" w:rsidRDefault="00000000">
      <w:pPr>
        <w:ind w:firstLine="567"/>
        <w:jc w:val="both"/>
        <w:rPr>
          <w:rFonts w:ascii="Tahoma" w:eastAsia="Calibri" w:hAnsi="Tahoma" w:cs="Tahoma"/>
          <w:lang w:val="en-GB"/>
        </w:rPr>
      </w:pPr>
      <w:r w:rsidRPr="00814A92">
        <w:rPr>
          <w:rFonts w:ascii="Tahoma" w:eastAsia="Calibri" w:hAnsi="Tahoma"/>
          <w:lang w:val="en-GB"/>
        </w:rPr>
        <w:t>I declare and confirm that:</w:t>
      </w:r>
    </w:p>
    <w:p w14:paraId="1F168DE7"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1) </w:t>
      </w:r>
      <w:r w:rsidRPr="00814A92">
        <w:rPr>
          <w:rFonts w:ascii="Tahoma" w:eastAsia="Times New Roman" w:hAnsi="Tahoma"/>
          <w:color w:val="000000"/>
          <w:lang w:val="en-GB"/>
        </w:rPr>
        <w:t>I (the supplier), my sub-supplier, the economic operators whose capacities I rely on, the manufacturer and controlling persons</w:t>
      </w:r>
      <w:r w:rsidRPr="00814A92">
        <w:rPr>
          <w:rFonts w:ascii="Tahoma" w:eastAsia="Times New Roman" w:hAnsi="Tahoma" w:cs="Tahoma"/>
          <w:color w:val="000000"/>
          <w:vertAlign w:val="superscript"/>
          <w:lang w:val="en-GB"/>
        </w:rPr>
        <w:footnoteReference w:id="4"/>
      </w:r>
      <w:r w:rsidRPr="00814A92">
        <w:rPr>
          <w:rFonts w:ascii="Tahoma" w:eastAsia="Times New Roman" w:hAnsi="Tahoma" w:cs="Tahoma"/>
          <w:color w:val="000000"/>
          <w:lang w:val="en-GB"/>
        </w:rPr>
        <w:t xml:space="preserve"> </w:t>
      </w:r>
      <w:r w:rsidRPr="00814A92">
        <w:rPr>
          <w:rFonts w:ascii="Tahoma" w:eastAsia="Times New Roman" w:hAnsi="Tahoma"/>
          <w:color w:val="000000"/>
          <w:lang w:val="en-GB"/>
        </w:rPr>
        <w:t>of the goods (including their components and packaging) I supply, are not legal persons registered in the countries or territories referred to in the list referred to in Article 92(15) of the Public Procurement Law of the Republic of Lithuania</w:t>
      </w:r>
      <w:r w:rsidRPr="00814A92">
        <w:rPr>
          <w:rFonts w:ascii="Tahoma" w:eastAsia="Times New Roman" w:hAnsi="Tahoma" w:cs="Tahoma"/>
          <w:color w:val="000000"/>
          <w:lang w:val="en-GB"/>
        </w:rPr>
        <w:t>;</w:t>
      </w:r>
      <w:bookmarkStart w:id="41" w:name="part_0bf49b47971946ecbbec156f895bdd28"/>
      <w:bookmarkEnd w:id="41"/>
      <w:r w:rsidRPr="00814A92">
        <w:rPr>
          <w:rFonts w:ascii="Tahoma" w:eastAsia="Times New Roman" w:hAnsi="Tahoma" w:cs="Tahoma"/>
          <w:color w:val="000000"/>
          <w:lang w:val="en-GB"/>
        </w:rPr>
        <w:t xml:space="preserve">    </w:t>
      </w:r>
    </w:p>
    <w:p w14:paraId="3F4E9808"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2) </w:t>
      </w:r>
      <w:r w:rsidRPr="00814A92">
        <w:rPr>
          <w:rFonts w:ascii="Tahoma" w:eastAsia="Times New Roman" w:hAnsi="Tahoma"/>
          <w:color w:val="000000"/>
          <w:lang w:val="en-GB"/>
        </w:rPr>
        <w:t>I (the supplier), my sub-supplier, the economic entity whose capacities I rely on, the manufacturer and controlling persons of the goods (including their components, packaging) I supply, are not natural persons permanently residing in the countries or territories referred to in Article 92(15) of the Public Procurement Law of the Republic of Lithuania, or holding the citizenship of those countries;</w:t>
      </w:r>
    </w:p>
    <w:p w14:paraId="452B3ED3" w14:textId="77777777" w:rsidR="00F729CD" w:rsidRPr="00814A92" w:rsidRDefault="00000000">
      <w:pPr>
        <w:spacing w:line="360" w:lineRule="atLeast"/>
        <w:ind w:firstLine="720"/>
        <w:jc w:val="both"/>
        <w:rPr>
          <w:rFonts w:ascii="Tahoma" w:eastAsia="Times New Roman" w:hAnsi="Tahoma" w:cs="Tahoma"/>
          <w:color w:val="000000"/>
          <w:lang w:val="en-GB"/>
        </w:rPr>
      </w:pPr>
      <w:bookmarkStart w:id="42" w:name="part_ce0c1ec65cd04504a5c7e7a6019a52b2"/>
      <w:bookmarkEnd w:id="42"/>
      <w:r w:rsidRPr="00814A92">
        <w:rPr>
          <w:rFonts w:ascii="Tahoma" w:eastAsia="Times New Roman" w:hAnsi="Tahoma" w:cs="Tahoma"/>
          <w:color w:val="000000"/>
          <w:lang w:val="en-GB"/>
        </w:rPr>
        <w:lastRenderedPageBreak/>
        <w:t xml:space="preserve">3) </w:t>
      </w:r>
      <w:r w:rsidRPr="00814A92">
        <w:rPr>
          <w:rFonts w:ascii="Tahoma" w:eastAsia="Times New Roman" w:hAnsi="Tahoma"/>
          <w:color w:val="000000"/>
          <w:lang w:val="en-GB"/>
        </w:rPr>
        <w:t>the origin of the goods (including their components, packaging) or the services offered by me do not originate in the countries or territories specified in the list provided for in Article 92(15) of the Public Procurement Law of the Republic of Lithuania;</w:t>
      </w:r>
    </w:p>
    <w:p w14:paraId="27160F47" w14:textId="77777777" w:rsidR="00F729CD" w:rsidRPr="00814A92" w:rsidRDefault="00000000">
      <w:pPr>
        <w:spacing w:line="360" w:lineRule="atLeast"/>
        <w:ind w:firstLine="720"/>
        <w:jc w:val="both"/>
        <w:rPr>
          <w:rFonts w:ascii="Tahoma" w:eastAsia="Times New Roman" w:hAnsi="Tahoma" w:cs="Tahoma"/>
          <w:color w:val="000000"/>
          <w:lang w:val="en-GB"/>
        </w:rPr>
      </w:pPr>
      <w:bookmarkStart w:id="43" w:name="_Hlk170300397"/>
      <w:bookmarkStart w:id="44" w:name="_Hlk170300794"/>
      <w:r w:rsidRPr="00814A92">
        <w:rPr>
          <w:rFonts w:ascii="Tahoma" w:eastAsia="Times New Roman" w:hAnsi="Tahoma" w:cs="Tahoma"/>
          <w:color w:val="000000"/>
          <w:lang w:val="en-GB"/>
        </w:rPr>
        <w:t xml:space="preserve">4) </w:t>
      </w:r>
      <w:bookmarkEnd w:id="43"/>
      <w:bookmarkEnd w:id="44"/>
      <w:r w:rsidRPr="00814A92">
        <w:rPr>
          <w:rFonts w:ascii="Tahoma" w:eastAsia="Times New Roman" w:hAnsi="Tahoma"/>
          <w:color w:val="000000"/>
          <w:lang w:val="en-GB"/>
        </w:rPr>
        <w:t>I (the supplier), my sub-supplier, the economic operator whose capacities I rely on, are not established in the countries or territories referred to in the list provided for in Article 92(15) of the PPL and I am not a member of a group of economic operators whose any member is established in the countries or territories referred to in the list provided for in Article 92(15) of the PPL, or a member or its head, other member of the management or supervisory body or other person(s) having the right to represent, decide on behalf of, conclude a transaction with or control the supplier, subcontractor, economic operator whose capacities I rely on, and thus participate in the activities of such groups of economic operators and/or economic operators.</w:t>
      </w:r>
    </w:p>
    <w:p w14:paraId="1454DC7B"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 </w:t>
      </w:r>
    </w:p>
    <w:p w14:paraId="169B0B51" w14:textId="77777777" w:rsidR="00F729CD" w:rsidRPr="00814A92" w:rsidRDefault="00000000">
      <w:pPr>
        <w:ind w:left="3888" w:hanging="3321"/>
        <w:jc w:val="both"/>
        <w:rPr>
          <w:rFonts w:ascii="Tahoma" w:eastAsia="Calibri" w:hAnsi="Tahoma" w:cs="Tahoma"/>
          <w:lang w:val="en-GB"/>
        </w:rPr>
      </w:pPr>
      <w:r w:rsidRPr="00814A92">
        <w:rPr>
          <w:rFonts w:ascii="Tahoma" w:eastAsia="Calibri" w:hAnsi="Tahoma" w:cs="Tahoma"/>
          <w:lang w:val="en-GB"/>
        </w:rPr>
        <w:t>Position</w:t>
      </w:r>
      <w:r w:rsidRPr="00814A92">
        <w:rPr>
          <w:rFonts w:ascii="Tahoma" w:eastAsia="Calibri" w:hAnsi="Tahoma" w:cs="Tahoma"/>
          <w:lang w:val="en-GB"/>
        </w:rPr>
        <w:tab/>
        <w:t>Name, surname</w:t>
      </w:r>
      <w:r w:rsidRPr="00814A92">
        <w:rPr>
          <w:rFonts w:ascii="Tahoma" w:eastAsia="Calibri" w:hAnsi="Tahoma" w:cs="Tahoma"/>
          <w:lang w:val="en-GB"/>
        </w:rPr>
        <w:tab/>
      </w:r>
      <w:r w:rsidRPr="00814A92">
        <w:rPr>
          <w:rFonts w:ascii="Tahoma" w:eastAsia="Calibri" w:hAnsi="Tahoma" w:cs="Tahoma"/>
          <w:lang w:val="en-GB"/>
        </w:rPr>
        <w:tab/>
        <w:t xml:space="preserve">        Signature</w:t>
      </w:r>
    </w:p>
    <w:p w14:paraId="550DD17B" w14:textId="77777777" w:rsidR="00F729CD" w:rsidRPr="00814A92" w:rsidRDefault="00F729CD">
      <w:pPr>
        <w:rPr>
          <w:rFonts w:ascii="Calibri" w:eastAsia="Times New Roman" w:hAnsi="Calibri" w:cs="Tahoma"/>
          <w:lang w:val="en-GB"/>
        </w:rPr>
      </w:pPr>
    </w:p>
    <w:p w14:paraId="0E2A3839" w14:textId="77777777" w:rsidR="00F729CD" w:rsidRPr="00814A92" w:rsidRDefault="00F729CD">
      <w:pPr>
        <w:rPr>
          <w:sz w:val="20"/>
          <w:szCs w:val="20"/>
          <w:lang w:val="en-GB"/>
        </w:rPr>
      </w:pPr>
    </w:p>
    <w:p w14:paraId="04BBA2B3" w14:textId="77777777" w:rsidR="00F729CD" w:rsidRPr="00814A92" w:rsidRDefault="00F729CD">
      <w:pPr>
        <w:rPr>
          <w:sz w:val="20"/>
          <w:szCs w:val="20"/>
          <w:lang w:val="en-GB"/>
        </w:rPr>
      </w:pPr>
    </w:p>
    <w:p w14:paraId="2D5D6526" w14:textId="77777777" w:rsidR="00F729CD" w:rsidRPr="00814A92" w:rsidRDefault="00F729CD">
      <w:pPr>
        <w:rPr>
          <w:sz w:val="20"/>
          <w:szCs w:val="20"/>
          <w:lang w:val="en-GB"/>
        </w:rPr>
      </w:pPr>
    </w:p>
    <w:p w14:paraId="72FE3E84" w14:textId="77777777" w:rsidR="00F729CD" w:rsidRPr="00814A92" w:rsidRDefault="00F729CD">
      <w:pPr>
        <w:rPr>
          <w:sz w:val="20"/>
          <w:szCs w:val="20"/>
          <w:lang w:val="en-GB"/>
        </w:rPr>
      </w:pPr>
    </w:p>
    <w:p w14:paraId="1EB13462" w14:textId="77777777" w:rsidR="00F729CD" w:rsidRPr="00814A92" w:rsidRDefault="00F729CD">
      <w:pPr>
        <w:rPr>
          <w:sz w:val="20"/>
          <w:szCs w:val="20"/>
          <w:lang w:val="en-GB"/>
        </w:rPr>
      </w:pPr>
    </w:p>
    <w:p w14:paraId="0F3352C5" w14:textId="77777777" w:rsidR="00F729CD" w:rsidRPr="00814A92" w:rsidRDefault="00F729CD">
      <w:pPr>
        <w:rPr>
          <w:sz w:val="20"/>
          <w:szCs w:val="20"/>
          <w:lang w:val="en-GB"/>
        </w:rPr>
      </w:pPr>
    </w:p>
    <w:p w14:paraId="3EFB07C3" w14:textId="77777777" w:rsidR="00F729CD" w:rsidRPr="00814A92" w:rsidRDefault="00F729CD">
      <w:pPr>
        <w:rPr>
          <w:sz w:val="20"/>
          <w:szCs w:val="20"/>
          <w:lang w:val="en-GB"/>
        </w:rPr>
      </w:pPr>
    </w:p>
    <w:p w14:paraId="3F65A685" w14:textId="77777777" w:rsidR="00F729CD" w:rsidRPr="00814A92" w:rsidRDefault="00F729CD">
      <w:pPr>
        <w:rPr>
          <w:sz w:val="20"/>
          <w:szCs w:val="20"/>
          <w:lang w:val="en-GB"/>
        </w:rPr>
      </w:pPr>
    </w:p>
    <w:p w14:paraId="39B21E9F" w14:textId="77777777" w:rsidR="00F729CD" w:rsidRPr="00814A92" w:rsidRDefault="00F729CD">
      <w:pPr>
        <w:rPr>
          <w:sz w:val="20"/>
          <w:szCs w:val="20"/>
          <w:lang w:val="en-GB"/>
        </w:rPr>
      </w:pPr>
    </w:p>
    <w:p w14:paraId="014D9F98" w14:textId="77777777" w:rsidR="00F729CD" w:rsidRPr="00814A92" w:rsidRDefault="00F729CD">
      <w:pPr>
        <w:rPr>
          <w:sz w:val="20"/>
          <w:szCs w:val="20"/>
          <w:lang w:val="en-GB"/>
        </w:rPr>
      </w:pPr>
    </w:p>
    <w:p w14:paraId="19F037ED" w14:textId="77777777" w:rsidR="00F729CD" w:rsidRPr="00814A92" w:rsidRDefault="00F729CD">
      <w:pPr>
        <w:rPr>
          <w:sz w:val="20"/>
          <w:szCs w:val="20"/>
          <w:lang w:val="en-GB"/>
        </w:rPr>
      </w:pPr>
    </w:p>
    <w:p w14:paraId="2F9E514C" w14:textId="77777777" w:rsidR="00F729CD" w:rsidRPr="00814A92" w:rsidRDefault="00F729CD">
      <w:pPr>
        <w:rPr>
          <w:sz w:val="20"/>
          <w:szCs w:val="20"/>
          <w:lang w:val="en-GB"/>
        </w:rPr>
      </w:pPr>
    </w:p>
    <w:p w14:paraId="67A1998D" w14:textId="77777777" w:rsidR="00F729CD" w:rsidRPr="00814A92" w:rsidRDefault="00F729CD">
      <w:pPr>
        <w:rPr>
          <w:sz w:val="20"/>
          <w:szCs w:val="20"/>
          <w:lang w:val="en-GB"/>
        </w:rPr>
      </w:pPr>
    </w:p>
    <w:p w14:paraId="3D8C9C9D" w14:textId="77777777" w:rsidR="00F729CD" w:rsidRPr="00814A92" w:rsidRDefault="00F729CD">
      <w:pPr>
        <w:rPr>
          <w:sz w:val="20"/>
          <w:szCs w:val="20"/>
          <w:lang w:val="en-GB"/>
        </w:rPr>
      </w:pPr>
    </w:p>
    <w:p w14:paraId="566101DC" w14:textId="77777777" w:rsidR="00F729CD" w:rsidRPr="00814A92" w:rsidRDefault="00F729CD">
      <w:pPr>
        <w:rPr>
          <w:sz w:val="20"/>
          <w:szCs w:val="20"/>
          <w:lang w:val="en-GB"/>
        </w:rPr>
      </w:pPr>
    </w:p>
    <w:p w14:paraId="6291320E" w14:textId="77777777" w:rsidR="00F729CD" w:rsidRPr="00814A92" w:rsidRDefault="00000000">
      <w:pPr>
        <w:pStyle w:val="Antrat2"/>
        <w:ind w:left="5103"/>
        <w:rPr>
          <w:rFonts w:asciiTheme="minorHAnsi" w:hAnsiTheme="minorHAnsi"/>
          <w:color w:val="0070C0"/>
          <w:sz w:val="21"/>
          <w:szCs w:val="21"/>
          <w:lang w:val="en-GB"/>
        </w:rPr>
      </w:pPr>
      <w:bookmarkStart w:id="45" w:name="_Toc11486"/>
      <w:r w:rsidRPr="00814A92">
        <w:rPr>
          <w:rFonts w:asciiTheme="minorHAnsi" w:hAnsiTheme="minorHAnsi"/>
          <w:color w:val="0070C0"/>
          <w:sz w:val="21"/>
          <w:szCs w:val="21"/>
          <w:lang w:val="en-GB"/>
        </w:rPr>
        <w:lastRenderedPageBreak/>
        <w:t>Annex 9 “Declaration of non-performance of activities in countries conducting aggression against Ukraine” to the Procurement Conditions</w:t>
      </w:r>
      <w:bookmarkEnd w:id="45"/>
    </w:p>
    <w:p w14:paraId="773A3AD1" w14:textId="77777777" w:rsidR="00F729CD" w:rsidRPr="00814A92" w:rsidRDefault="00F729CD">
      <w:pPr>
        <w:rPr>
          <w:sz w:val="20"/>
          <w:szCs w:val="20"/>
          <w:lang w:val="en-GB"/>
        </w:rPr>
      </w:pPr>
    </w:p>
    <w:p w14:paraId="0FEF6E2C" w14:textId="77777777" w:rsidR="00F729CD" w:rsidRPr="00814A92" w:rsidRDefault="00F729CD">
      <w:pPr>
        <w:rPr>
          <w:lang w:val="en-GB"/>
        </w:rPr>
      </w:pPr>
    </w:p>
    <w:p w14:paraId="6F624667" w14:textId="77777777" w:rsidR="00F729CD" w:rsidRPr="00814A92" w:rsidRDefault="00000000">
      <w:pPr>
        <w:spacing w:after="0" w:line="240" w:lineRule="auto"/>
        <w:ind w:left="720" w:firstLine="720"/>
        <w:rPr>
          <w:rFonts w:ascii="Times New Roman" w:eastAsia="Times New Roman" w:hAnsi="Times New Roman" w:cs="Times New Roman"/>
          <w:b/>
          <w:sz w:val="20"/>
          <w:szCs w:val="20"/>
          <w:lang w:val="en-GB" w:eastAsia="en-US"/>
        </w:rPr>
      </w:pPr>
      <w:r w:rsidRPr="00814A92">
        <w:rPr>
          <w:rFonts w:ascii="Times New Roman" w:eastAsia="Times New Roman" w:hAnsi="Times New Roman"/>
          <w:b/>
          <w:sz w:val="20"/>
          <w:szCs w:val="20"/>
          <w:lang w:val="en-GB" w:eastAsia="en-US"/>
        </w:rPr>
        <w:t>Standard form for declaration of non-compliance with activities in countries conducting aggression against Ukraine</w:t>
      </w:r>
      <w:r w:rsidRPr="00814A92">
        <w:rPr>
          <w:rFonts w:ascii="Times New Roman" w:eastAsia="Times New Roman" w:hAnsi="Times New Roman" w:cs="Times New Roman"/>
          <w:b/>
          <w:sz w:val="20"/>
          <w:szCs w:val="20"/>
          <w:lang w:val="en-GB" w:eastAsia="en-US"/>
        </w:rPr>
        <w:t xml:space="preserve"> </w:t>
      </w:r>
    </w:p>
    <w:p w14:paraId="2833D501" w14:textId="77777777" w:rsidR="00F729CD" w:rsidRPr="00814A92" w:rsidRDefault="00F729C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en-GB" w:eastAsia="en-US"/>
        </w:rPr>
      </w:pPr>
    </w:p>
    <w:p w14:paraId="677F5D4E" w14:textId="77777777" w:rsidR="00F729CD" w:rsidRPr="00814A92" w:rsidRDefault="00F729C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en-GB" w:eastAsia="en-US"/>
        </w:rPr>
      </w:pPr>
    </w:p>
    <w:p w14:paraId="1C2B604A" w14:textId="77777777" w:rsidR="00F729CD" w:rsidRPr="00814A92" w:rsidRDefault="0000000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sz w:val="24"/>
          <w:szCs w:val="20"/>
          <w:lang w:val="en-GB" w:eastAsia="en-US"/>
        </w:rPr>
        <w:tab/>
      </w:r>
    </w:p>
    <w:p w14:paraId="4719C063" w14:textId="77777777" w:rsidR="00F729CD" w:rsidRPr="00814A92" w:rsidRDefault="00000000">
      <w:pPr>
        <w:shd w:val="clear" w:color="auto" w:fill="FFFFFF"/>
        <w:suppressAutoHyphens/>
        <w:spacing w:after="0" w:line="240" w:lineRule="auto"/>
        <w:ind w:right="-178"/>
        <w:jc w:val="center"/>
        <w:rPr>
          <w:rFonts w:ascii="Times New Roman" w:eastAsia="Times New Roman" w:hAnsi="Times New Roman" w:cs="Times New Roman"/>
          <w:sz w:val="20"/>
          <w:szCs w:val="20"/>
          <w:lang w:val="en-GB" w:eastAsia="en-US"/>
        </w:rPr>
      </w:pPr>
      <w:r w:rsidRPr="00814A92">
        <w:rPr>
          <w:rFonts w:ascii="Times New Roman" w:eastAsia="Times New Roman" w:hAnsi="Times New Roman" w:cs="Times New Roman"/>
          <w:sz w:val="20"/>
          <w:szCs w:val="20"/>
          <w:lang w:val="en-GB" w:eastAsia="en-US"/>
        </w:rPr>
        <w:t>(</w:t>
      </w:r>
      <w:r w:rsidRPr="00814A92">
        <w:rPr>
          <w:rFonts w:ascii="Times New Roman" w:eastAsia="Times New Roman" w:hAnsi="Times New Roman"/>
          <w:i/>
          <w:iCs/>
          <w:sz w:val="20"/>
          <w:szCs w:val="20"/>
          <w:lang w:val="en-GB" w:eastAsia="en-US"/>
        </w:rPr>
        <w:t>name of supplier</w:t>
      </w:r>
      <w:r w:rsidRPr="00814A92">
        <w:rPr>
          <w:rFonts w:ascii="Times New Roman" w:eastAsia="Times New Roman" w:hAnsi="Times New Roman" w:cs="Times New Roman"/>
          <w:sz w:val="20"/>
          <w:szCs w:val="20"/>
          <w:lang w:val="en-GB" w:eastAsia="en-US"/>
        </w:rPr>
        <w:t>)</w:t>
      </w:r>
      <w:r w:rsidRPr="00814A92">
        <w:rPr>
          <w:rFonts w:ascii="Times New Roman" w:eastAsia="Times New Roman" w:hAnsi="Times New Roman" w:cs="Times New Roman"/>
          <w:sz w:val="20"/>
          <w:szCs w:val="20"/>
          <w:vertAlign w:val="superscript"/>
          <w:lang w:val="en-GB" w:eastAsia="en-US"/>
        </w:rPr>
        <w:footnoteReference w:id="5"/>
      </w:r>
    </w:p>
    <w:p w14:paraId="41F67712" w14:textId="77777777" w:rsidR="00F729CD" w:rsidRPr="00814A92" w:rsidRDefault="0000000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ab/>
      </w:r>
    </w:p>
    <w:p w14:paraId="2742D6F7" w14:textId="77777777" w:rsidR="00F729CD" w:rsidRPr="00814A92" w:rsidRDefault="00000000">
      <w:pPr>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Cs/>
          <w:sz w:val="20"/>
          <w:szCs w:val="20"/>
          <w:lang w:val="en-GB" w:eastAsia="en-US"/>
        </w:rPr>
        <w:t>(</w:t>
      </w:r>
      <w:r w:rsidRPr="00814A92">
        <w:rPr>
          <w:rFonts w:ascii="Times New Roman" w:eastAsia="Calibri" w:hAnsi="Times New Roman"/>
          <w:i/>
          <w:sz w:val="20"/>
          <w:szCs w:val="20"/>
          <w:lang w:val="en-GB" w:eastAsia="en-US"/>
        </w:rPr>
        <w:t>addressee (name of the Contracting Authority/entity)</w:t>
      </w:r>
      <w:r w:rsidRPr="00814A92">
        <w:rPr>
          <w:rFonts w:ascii="Times New Roman" w:eastAsia="Calibri" w:hAnsi="Times New Roman" w:cs="Times New Roman"/>
          <w:iCs/>
          <w:sz w:val="20"/>
          <w:szCs w:val="20"/>
          <w:lang w:val="en-GB" w:eastAsia="en-US"/>
        </w:rPr>
        <w:t>)</w:t>
      </w:r>
    </w:p>
    <w:p w14:paraId="4A3D8B03" w14:textId="77777777" w:rsidR="00F729CD" w:rsidRPr="00814A92" w:rsidRDefault="00F729C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60ABE4B"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en-GB" w:eastAsia="en-US"/>
        </w:rPr>
      </w:pPr>
      <w:r w:rsidRPr="00814A92">
        <w:rPr>
          <w:rFonts w:ascii="Times New Roman" w:eastAsia="Calibri" w:hAnsi="Times New Roman"/>
          <w:b/>
          <w:bCs/>
          <w:sz w:val="24"/>
          <w:szCs w:val="20"/>
          <w:lang w:val="en-GB" w:eastAsia="en-US"/>
        </w:rPr>
        <w:t>DECLARATION ON NON-PERFORMANCE OF ACTIVITIES IN COUNTRIES CONDUCTING AGGRESSION AGAINST UKRAINE</w:t>
      </w:r>
    </w:p>
    <w:p w14:paraId="553312AB"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 20__  No. ______</w:t>
      </w:r>
    </w:p>
    <w:p w14:paraId="236018A4"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__________________________</w:t>
      </w:r>
    </w:p>
    <w:p w14:paraId="389E2259"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
          <w:iCs/>
          <w:sz w:val="20"/>
          <w:szCs w:val="20"/>
          <w:lang w:val="en-GB" w:eastAsia="en-US"/>
        </w:rPr>
        <w:t>(</w:t>
      </w:r>
      <w:r w:rsidRPr="00814A92">
        <w:rPr>
          <w:rFonts w:ascii="Times New Roman" w:eastAsia="Calibri" w:hAnsi="Times New Roman"/>
          <w:i/>
          <w:iCs/>
          <w:sz w:val="20"/>
          <w:szCs w:val="20"/>
          <w:lang w:val="en-GB" w:eastAsia="en-US"/>
        </w:rPr>
        <w:t>Place of conclusion</w:t>
      </w:r>
      <w:r w:rsidRPr="00814A92">
        <w:rPr>
          <w:rFonts w:ascii="Times New Roman" w:eastAsia="Calibri" w:hAnsi="Times New Roman" w:cs="Times New Roman"/>
          <w:i/>
          <w:iCs/>
          <w:sz w:val="20"/>
          <w:szCs w:val="20"/>
          <w:lang w:val="en-GB" w:eastAsia="en-US"/>
        </w:rPr>
        <w:t>)</w:t>
      </w:r>
    </w:p>
    <w:p w14:paraId="259870D9" w14:textId="77777777" w:rsidR="00F729CD" w:rsidRPr="00814A92" w:rsidRDefault="00000000">
      <w:pPr>
        <w:spacing w:after="0" w:line="240" w:lineRule="auto"/>
        <w:ind w:firstLine="567"/>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s="Times New Roman"/>
          <w:color w:val="000000"/>
          <w:sz w:val="24"/>
          <w:szCs w:val="24"/>
          <w:lang w:val="en-GB" w:eastAsia="en-US"/>
        </w:rPr>
        <w:t>I, ___________________________________________________________________ ,</w:t>
      </w:r>
    </w:p>
    <w:p w14:paraId="642DF75E" w14:textId="77777777" w:rsidR="00F729CD" w:rsidRPr="00814A92" w:rsidRDefault="00000000">
      <w:pPr>
        <w:spacing w:after="0" w:line="240" w:lineRule="auto"/>
        <w:ind w:left="960" w:firstLine="318"/>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position, name and surname of the supplier’s head or authorised person</w:t>
      </w:r>
      <w:r w:rsidRPr="00814A92">
        <w:rPr>
          <w:rFonts w:ascii="Times New Roman" w:eastAsia="Times New Roman" w:hAnsi="Times New Roman" w:cs="Times New Roman"/>
          <w:i/>
          <w:iCs/>
          <w:color w:val="000000"/>
          <w:sz w:val="20"/>
          <w:szCs w:val="20"/>
          <w:lang w:val="en-GB" w:eastAsia="en-US"/>
        </w:rPr>
        <w:t>)</w:t>
      </w:r>
    </w:p>
    <w:p w14:paraId="5277B660" w14:textId="77777777" w:rsidR="00F729CD" w:rsidRPr="00814A92" w:rsidRDefault="00000000">
      <w:pPr>
        <w:spacing w:after="0" w:line="240" w:lineRule="auto"/>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olor w:val="000000"/>
          <w:sz w:val="24"/>
          <w:szCs w:val="24"/>
          <w:lang w:val="en-GB" w:eastAsia="en-US"/>
        </w:rPr>
        <w:t xml:space="preserve">certify that </w:t>
      </w:r>
      <w:r w:rsidRPr="00814A92">
        <w:rPr>
          <w:rFonts w:ascii="Times New Roman" w:eastAsia="Times New Roman" w:hAnsi="Times New Roman" w:cs="Times New Roman"/>
          <w:color w:val="000000"/>
          <w:sz w:val="24"/>
          <w:szCs w:val="24"/>
          <w:lang w:val="en-GB" w:eastAsia="en-US"/>
        </w:rPr>
        <w:t xml:space="preserve">____________________________, </w:t>
      </w:r>
      <w:r w:rsidRPr="00814A92">
        <w:rPr>
          <w:rFonts w:ascii="Times New Roman" w:eastAsia="Times New Roman" w:hAnsi="Times New Roman"/>
          <w:color w:val="000000"/>
          <w:sz w:val="24"/>
          <w:szCs w:val="24"/>
          <w:lang w:val="en-GB" w:eastAsia="en-US"/>
        </w:rPr>
        <w:t>under my authority (my representative)</w:t>
      </w:r>
      <w:r w:rsidRPr="00814A92">
        <w:rPr>
          <w:rFonts w:ascii="Times New Roman" w:eastAsia="Times New Roman" w:hAnsi="Times New Roman" w:cs="Times New Roman"/>
          <w:color w:val="000000"/>
          <w:sz w:val="24"/>
          <w:szCs w:val="24"/>
          <w:lang w:val="en-GB" w:eastAsia="en-US"/>
        </w:rPr>
        <w:t>,</w:t>
      </w:r>
    </w:p>
    <w:p w14:paraId="559C69EC" w14:textId="77777777" w:rsidR="00F729CD" w:rsidRPr="00814A92" w:rsidRDefault="00000000">
      <w:pPr>
        <w:spacing w:after="0" w:line="240" w:lineRule="auto"/>
        <w:ind w:left="5640" w:firstLine="742"/>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name of supplier</w:t>
      </w:r>
      <w:r w:rsidRPr="00814A92">
        <w:rPr>
          <w:rFonts w:ascii="Times New Roman" w:eastAsia="Times New Roman" w:hAnsi="Times New Roman" w:cs="Times New Roman"/>
          <w:i/>
          <w:iCs/>
          <w:color w:val="000000"/>
          <w:sz w:val="20"/>
          <w:szCs w:val="20"/>
          <w:lang w:val="en-GB" w:eastAsia="en-US"/>
        </w:rPr>
        <w:t xml:space="preserve">)     </w:t>
      </w:r>
    </w:p>
    <w:p w14:paraId="6C9875E6" w14:textId="77777777" w:rsidR="00F729CD" w:rsidRPr="00814A92" w:rsidRDefault="00000000">
      <w:pPr>
        <w:spacing w:after="0" w:line="240" w:lineRule="auto"/>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olor w:val="000000"/>
          <w:sz w:val="24"/>
          <w:szCs w:val="24"/>
          <w:lang w:val="en-GB" w:eastAsia="en-US"/>
        </w:rPr>
        <w:t xml:space="preserve">participating in </w:t>
      </w:r>
      <w:r w:rsidRPr="00814A92">
        <w:rPr>
          <w:rFonts w:ascii="Times New Roman" w:eastAsia="Times New Roman" w:hAnsi="Times New Roman" w:cs="Times New Roman"/>
          <w:color w:val="000000"/>
          <w:sz w:val="24"/>
          <w:szCs w:val="24"/>
          <w:lang w:val="en-GB" w:eastAsia="en-US"/>
        </w:rPr>
        <w:t>_____________________________________</w:t>
      </w:r>
      <w:r w:rsidRPr="00814A92">
        <w:rPr>
          <w:rFonts w:ascii="Times New Roman" w:eastAsia="Times New Roman" w:hAnsi="Times New Roman"/>
          <w:color w:val="000000"/>
          <w:sz w:val="24"/>
          <w:szCs w:val="24"/>
          <w:lang w:val="en-GB" w:eastAsia="en-US"/>
        </w:rPr>
        <w:t xml:space="preserve"> of </w:t>
      </w:r>
      <w:r w:rsidRPr="00814A92">
        <w:rPr>
          <w:rFonts w:ascii="Times New Roman" w:eastAsia="Times New Roman" w:hAnsi="Times New Roman" w:cs="Times New Roman"/>
          <w:color w:val="000000"/>
          <w:sz w:val="24"/>
          <w:szCs w:val="24"/>
          <w:lang w:val="en-GB" w:eastAsia="en-US"/>
        </w:rPr>
        <w:t xml:space="preserve"> ..............................., </w:t>
      </w:r>
      <w:r w:rsidRPr="00814A92">
        <w:rPr>
          <w:rFonts w:ascii="Times New Roman" w:eastAsia="Times New Roman" w:hAnsi="Times New Roman"/>
          <w:color w:val="000000"/>
          <w:sz w:val="24"/>
          <w:szCs w:val="24"/>
          <w:lang w:val="en-GB" w:eastAsia="en-US"/>
        </w:rPr>
        <w:t>meets the following requirements</w:t>
      </w:r>
      <w:r w:rsidRPr="00814A92">
        <w:rPr>
          <w:rFonts w:ascii="Times New Roman" w:eastAsia="Times New Roman" w:hAnsi="Times New Roman" w:cs="Times New Roman"/>
          <w:color w:val="000000"/>
          <w:sz w:val="24"/>
          <w:szCs w:val="24"/>
          <w:lang w:val="en-GB" w:eastAsia="en-US"/>
        </w:rPr>
        <w:t xml:space="preserve">: </w:t>
      </w:r>
    </w:p>
    <w:p w14:paraId="2FEFD95D" w14:textId="77777777" w:rsidR="00F729CD" w:rsidRPr="00814A92" w:rsidRDefault="00000000">
      <w:pPr>
        <w:spacing w:after="0" w:line="240" w:lineRule="auto"/>
        <w:ind w:firstLine="636"/>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name of procurement object, procurement number, date of publication in CPP IS</w:t>
      </w:r>
      <w:r w:rsidRPr="00814A92">
        <w:rPr>
          <w:rFonts w:ascii="Times New Roman" w:eastAsia="Times New Roman" w:hAnsi="Times New Roman" w:cs="Times New Roman"/>
          <w:color w:val="000000"/>
          <w:sz w:val="20"/>
          <w:szCs w:val="20"/>
          <w:lang w:val="en-GB" w:eastAsia="en-US"/>
        </w:rPr>
        <w:t>)</w:t>
      </w:r>
    </w:p>
    <w:p w14:paraId="1F729257" w14:textId="77777777" w:rsidR="00F729CD" w:rsidRPr="00814A92" w:rsidRDefault="00F729CD">
      <w:pPr>
        <w:spacing w:after="0" w:line="240" w:lineRule="auto"/>
        <w:ind w:firstLine="636"/>
        <w:jc w:val="both"/>
        <w:rPr>
          <w:rFonts w:ascii="Times New Roman" w:eastAsia="Times New Roman" w:hAnsi="Times New Roman" w:cs="Times New Roman"/>
          <w:color w:val="000000"/>
          <w:sz w:val="20"/>
          <w:szCs w:val="20"/>
          <w:lang w:val="en-GB" w:eastAsia="en-US"/>
        </w:rPr>
      </w:pPr>
    </w:p>
    <w:p w14:paraId="0964C703" w14:textId="77777777" w:rsidR="00F729CD" w:rsidRPr="00814A92" w:rsidRDefault="00F729C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p w14:paraId="7A33626D" w14:textId="77777777" w:rsidR="00F729CD" w:rsidRPr="00814A92" w:rsidRDefault="00F729CD">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729CD" w:rsidRPr="00814A92" w14:paraId="36337279" w14:textId="77777777">
        <w:tc>
          <w:tcPr>
            <w:tcW w:w="352" w:type="dxa"/>
            <w:tcBorders>
              <w:top w:val="single" w:sz="4" w:space="0" w:color="auto"/>
              <w:left w:val="single" w:sz="4" w:space="0" w:color="auto"/>
              <w:bottom w:val="single" w:sz="4" w:space="0" w:color="auto"/>
              <w:right w:val="single" w:sz="4" w:space="0" w:color="auto"/>
            </w:tcBorders>
          </w:tcPr>
          <w:p w14:paraId="2053F379" w14:textId="77777777" w:rsidR="00F729CD" w:rsidRPr="00814A92" w:rsidRDefault="00000000">
            <w:pPr>
              <w:spacing w:after="0" w:line="240" w:lineRule="auto"/>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574" w:type="dxa"/>
            <w:vMerge w:val="restart"/>
            <w:tcBorders>
              <w:top w:val="nil"/>
              <w:left w:val="single" w:sz="4" w:space="0" w:color="auto"/>
              <w:bottom w:val="nil"/>
              <w:right w:val="nil"/>
            </w:tcBorders>
          </w:tcPr>
          <w:p w14:paraId="4FB036CF" w14:textId="77777777" w:rsidR="00F729CD" w:rsidRPr="00814A92" w:rsidRDefault="00000000">
            <w:pPr>
              <w:spacing w:after="0" w:line="240" w:lineRule="auto"/>
              <w:jc w:val="both"/>
              <w:rPr>
                <w:rFonts w:ascii="Times New Roman" w:eastAsia="Times New Roman" w:hAnsi="Times New Roman" w:cs="Times New Roman"/>
                <w:sz w:val="24"/>
                <w:szCs w:val="20"/>
                <w:lang w:val="en-GB"/>
              </w:rPr>
            </w:pPr>
            <w:r w:rsidRPr="00814A92">
              <w:rPr>
                <w:rFonts w:ascii="Times New Roman" w:eastAsia="Times New Roman" w:hAnsi="Times New Roman"/>
                <w:sz w:val="24"/>
                <w:szCs w:val="20"/>
                <w:lang w:val="en-GB"/>
              </w:rPr>
              <w:t>at the time of conclusion of the contract, comply with the requirement of clause 49 of the Supplier Code of Conduct</w:t>
            </w:r>
            <w:r w:rsidRPr="00814A92">
              <w:rPr>
                <w:rFonts w:ascii="Times New Roman" w:eastAsia="Times New Roman" w:hAnsi="Times New Roman" w:cs="Times New Roman"/>
                <w:sz w:val="24"/>
                <w:szCs w:val="20"/>
                <w:vertAlign w:val="superscript"/>
                <w:lang w:val="en-GB"/>
              </w:rPr>
              <w:footnoteReference w:id="6"/>
            </w:r>
            <w:r w:rsidRPr="00814A92">
              <w:rPr>
                <w:rFonts w:ascii="Times New Roman" w:eastAsia="Times New Roman" w:hAnsi="Times New Roman" w:cs="Times New Roman"/>
                <w:sz w:val="24"/>
                <w:szCs w:val="20"/>
                <w:lang w:val="en-GB"/>
              </w:rPr>
              <w:t xml:space="preserve"> </w:t>
            </w:r>
            <w:r w:rsidRPr="00814A92">
              <w:rPr>
                <w:rFonts w:ascii="Times New Roman" w:eastAsia="Times New Roman" w:hAnsi="Times New Roman"/>
                <w:sz w:val="24"/>
                <w:szCs w:val="20"/>
                <w:lang w:val="en-GB"/>
              </w:rPr>
              <w:t xml:space="preserve">issued by the Public Procurement Office, that is, they are not engaged in activities in countries that are subject to military aggression against Ukraine and/or are not part of a group of companies, any member of which is engaged in activities in countries that are subject to military aggression against Ukraine, is not a member of such a group of undertakings and/or does not participate in the activities of such group of undertakings through its manager, members of any other management or supervisory body, or through any other person(s) having the right to represent or control the supplier, to take a decision on its behalf, to enter into a transaction, or through any person(s) having the right to draw up and sign the supplier's financial accounting </w:t>
            </w:r>
            <w:r w:rsidRPr="00814A92">
              <w:rPr>
                <w:rFonts w:ascii="Times New Roman" w:eastAsia="Times New Roman" w:hAnsi="Times New Roman"/>
                <w:sz w:val="24"/>
                <w:szCs w:val="20"/>
                <w:lang w:val="en-GB"/>
              </w:rPr>
              <w:lastRenderedPageBreak/>
              <w:t>documents.</w:t>
            </w:r>
            <w:r w:rsidRPr="00814A92">
              <w:rPr>
                <w:rFonts w:ascii="Times New Roman" w:eastAsia="Times New Roman" w:hAnsi="Times New Roman" w:cs="Times New Roman"/>
                <w:sz w:val="24"/>
                <w:szCs w:val="20"/>
                <w:lang w:val="en-GB"/>
              </w:rPr>
              <w:t xml:space="preserve"> </w:t>
            </w:r>
            <w:r w:rsidRPr="00814A92">
              <w:rPr>
                <w:rFonts w:ascii="Times New Roman" w:eastAsia="Times New Roman" w:hAnsi="Times New Roman"/>
                <w:sz w:val="24"/>
                <w:szCs w:val="20"/>
                <w:lang w:val="en-GB"/>
              </w:rPr>
              <w:t>Nor does it rely on capacity and/or has not concluded subcontracting agreement(s) with subcontractor(s) not fulfilling this condition;</w:t>
            </w:r>
          </w:p>
        </w:tc>
      </w:tr>
      <w:tr w:rsidR="00F729CD" w:rsidRPr="00814A92" w14:paraId="55145034" w14:textId="77777777">
        <w:tc>
          <w:tcPr>
            <w:tcW w:w="352" w:type="dxa"/>
            <w:tcBorders>
              <w:top w:val="single" w:sz="4" w:space="0" w:color="auto"/>
              <w:left w:val="nil"/>
              <w:bottom w:val="nil"/>
              <w:right w:val="nil"/>
            </w:tcBorders>
          </w:tcPr>
          <w:p w14:paraId="6EBB6C89"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tcPr>
          <w:p w14:paraId="273FC925"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r w:rsidR="00F729CD" w:rsidRPr="00814A92" w14:paraId="70368871" w14:textId="77777777">
        <w:tc>
          <w:tcPr>
            <w:tcW w:w="352" w:type="dxa"/>
            <w:tcBorders>
              <w:top w:val="nil"/>
              <w:left w:val="nil"/>
              <w:bottom w:val="nil"/>
              <w:right w:val="nil"/>
            </w:tcBorders>
          </w:tcPr>
          <w:p w14:paraId="0755CAD6"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tcPr>
          <w:p w14:paraId="01533575"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bl>
    <w:p w14:paraId="771D4711" w14:textId="77777777" w:rsidR="00F729CD" w:rsidRPr="00814A92" w:rsidRDefault="00F729CD">
      <w:pPr>
        <w:shd w:val="clear" w:color="auto" w:fill="FFFFFF"/>
        <w:spacing w:after="0" w:line="240" w:lineRule="auto"/>
        <w:rPr>
          <w:rFonts w:ascii="Times New Roman" w:eastAsia="Times New Roman" w:hAnsi="Times New Roman" w:cs="Times New Roman"/>
          <w:iCs/>
          <w:sz w:val="20"/>
          <w:szCs w:val="20"/>
          <w:lang w:val="en-GB" w:eastAsia="en-US"/>
        </w:rPr>
      </w:pPr>
    </w:p>
    <w:p w14:paraId="393C51D6" w14:textId="77777777" w:rsidR="00F729CD" w:rsidRPr="00814A92" w:rsidRDefault="00F729CD">
      <w:pPr>
        <w:shd w:val="clear" w:color="auto" w:fill="FFFFFF"/>
        <w:spacing w:after="0" w:line="240" w:lineRule="auto"/>
        <w:ind w:firstLine="424"/>
        <w:rPr>
          <w:rFonts w:ascii="Times New Roman" w:eastAsia="Times New Roman" w:hAnsi="Times New Roman" w:cs="Times New Roman"/>
          <w:i/>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729CD" w:rsidRPr="00814A92" w14:paraId="23C8F362" w14:textId="77777777">
        <w:tc>
          <w:tcPr>
            <w:tcW w:w="535" w:type="dxa"/>
            <w:tcBorders>
              <w:bottom w:val="single" w:sz="4" w:space="0" w:color="auto"/>
              <w:right w:val="single" w:sz="4" w:space="0" w:color="auto"/>
            </w:tcBorders>
          </w:tcPr>
          <w:p w14:paraId="5A1C3F8E" w14:textId="77777777" w:rsidR="00F729CD" w:rsidRPr="00814A92" w:rsidRDefault="00000000">
            <w:pPr>
              <w:spacing w:after="0"/>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391" w:type="dxa"/>
            <w:vMerge w:val="restart"/>
            <w:tcBorders>
              <w:top w:val="nil"/>
              <w:left w:val="single" w:sz="4" w:space="0" w:color="auto"/>
              <w:bottom w:val="nil"/>
              <w:right w:val="nil"/>
            </w:tcBorders>
          </w:tcPr>
          <w:p w14:paraId="08BF0900" w14:textId="77777777" w:rsidR="00F729CD" w:rsidRPr="00814A92" w:rsidRDefault="00000000">
            <w:pPr>
              <w:shd w:val="clear" w:color="auto" w:fill="FFFFFF"/>
              <w:spacing w:after="0"/>
              <w:jc w:val="both"/>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undertake to comply with the above commitment for the entire duration of the contractual obligations, including the guarantee obligations (if any);</w:t>
            </w:r>
          </w:p>
        </w:tc>
      </w:tr>
      <w:tr w:rsidR="00F729CD" w:rsidRPr="00814A92" w14:paraId="2F821845" w14:textId="77777777">
        <w:tc>
          <w:tcPr>
            <w:tcW w:w="535" w:type="dxa"/>
            <w:tcBorders>
              <w:left w:val="nil"/>
              <w:bottom w:val="nil"/>
              <w:right w:val="nil"/>
            </w:tcBorders>
          </w:tcPr>
          <w:p w14:paraId="6F2DBAC9" w14:textId="77777777" w:rsidR="00F729CD" w:rsidRPr="00814A92" w:rsidRDefault="00F729CD">
            <w:pPr>
              <w:spacing w:after="0"/>
              <w:rPr>
                <w:rFonts w:ascii="Times New Roman" w:eastAsia="Times New Roman" w:hAnsi="Times New Roman" w:cs="Times New Roman"/>
                <w:sz w:val="24"/>
                <w:szCs w:val="24"/>
                <w:lang w:val="en-GB"/>
              </w:rPr>
            </w:pPr>
          </w:p>
        </w:tc>
        <w:tc>
          <w:tcPr>
            <w:tcW w:w="9391" w:type="dxa"/>
            <w:vMerge/>
            <w:tcBorders>
              <w:top w:val="nil"/>
              <w:left w:val="nil"/>
              <w:bottom w:val="nil"/>
              <w:right w:val="nil"/>
            </w:tcBorders>
            <w:vAlign w:val="center"/>
          </w:tcPr>
          <w:p w14:paraId="48639619" w14:textId="77777777" w:rsidR="00F729CD" w:rsidRPr="00814A92" w:rsidRDefault="00F729CD">
            <w:pPr>
              <w:spacing w:after="0"/>
              <w:rPr>
                <w:rFonts w:ascii="Times New Roman" w:eastAsia="Times New Roman" w:hAnsi="Times New Roman" w:cs="Times New Roman"/>
                <w:sz w:val="24"/>
                <w:szCs w:val="24"/>
                <w:lang w:val="en-GB"/>
              </w:rPr>
            </w:pPr>
          </w:p>
        </w:tc>
      </w:tr>
      <w:tr w:rsidR="00F729CD" w:rsidRPr="00814A92" w14:paraId="1581B1DD" w14:textId="77777777">
        <w:trPr>
          <w:trHeight w:val="80"/>
        </w:trPr>
        <w:tc>
          <w:tcPr>
            <w:tcW w:w="535" w:type="dxa"/>
            <w:tcBorders>
              <w:top w:val="nil"/>
              <w:left w:val="nil"/>
              <w:bottom w:val="nil"/>
              <w:right w:val="nil"/>
            </w:tcBorders>
          </w:tcPr>
          <w:p w14:paraId="2CE9EB14" w14:textId="77777777" w:rsidR="00F729CD" w:rsidRPr="00814A92" w:rsidRDefault="00F729CD">
            <w:pPr>
              <w:spacing w:after="0"/>
              <w:rPr>
                <w:rFonts w:ascii="Times New Roman" w:eastAsia="Times New Roman" w:hAnsi="Times New Roman" w:cs="Times New Roman"/>
                <w:sz w:val="24"/>
                <w:szCs w:val="24"/>
                <w:lang w:val="en-GB"/>
              </w:rPr>
            </w:pPr>
          </w:p>
        </w:tc>
        <w:tc>
          <w:tcPr>
            <w:tcW w:w="9391" w:type="dxa"/>
            <w:vMerge/>
            <w:tcBorders>
              <w:top w:val="nil"/>
              <w:left w:val="nil"/>
              <w:bottom w:val="nil"/>
              <w:right w:val="nil"/>
            </w:tcBorders>
            <w:vAlign w:val="center"/>
          </w:tcPr>
          <w:p w14:paraId="24EC3A34" w14:textId="77777777" w:rsidR="00F729CD" w:rsidRPr="00814A92" w:rsidRDefault="00F729CD">
            <w:pPr>
              <w:spacing w:after="0"/>
              <w:rPr>
                <w:rFonts w:ascii="Times New Roman" w:eastAsia="Times New Roman" w:hAnsi="Times New Roman" w:cs="Times New Roman"/>
                <w:sz w:val="24"/>
                <w:szCs w:val="24"/>
                <w:lang w:val="en-GB"/>
              </w:rPr>
            </w:pPr>
          </w:p>
        </w:tc>
      </w:tr>
    </w:tbl>
    <w:p w14:paraId="2B911E03" w14:textId="77777777" w:rsidR="00F729CD" w:rsidRPr="00814A92" w:rsidRDefault="00F729CD">
      <w:pPr>
        <w:shd w:val="clear" w:color="auto" w:fill="FFFFFF"/>
        <w:spacing w:after="0" w:line="240" w:lineRule="auto"/>
        <w:rPr>
          <w:rFonts w:ascii="Times New Roman" w:eastAsia="Times New Roman" w:hAnsi="Times New Roman" w:cs="Times New Roman"/>
          <w:i/>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729CD" w:rsidRPr="00814A92" w14:paraId="6DC90B74" w14:textId="77777777">
        <w:tc>
          <w:tcPr>
            <w:tcW w:w="352" w:type="dxa"/>
            <w:tcBorders>
              <w:top w:val="single" w:sz="4" w:space="0" w:color="auto"/>
              <w:left w:val="single" w:sz="4" w:space="0" w:color="auto"/>
              <w:bottom w:val="single" w:sz="4" w:space="0" w:color="auto"/>
              <w:right w:val="single" w:sz="4" w:space="0" w:color="auto"/>
            </w:tcBorders>
          </w:tcPr>
          <w:p w14:paraId="793931CD" w14:textId="77777777" w:rsidR="00F729CD" w:rsidRPr="00814A92" w:rsidRDefault="00000000">
            <w:pPr>
              <w:spacing w:after="0" w:line="240" w:lineRule="auto"/>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453" w:type="dxa"/>
            <w:vMerge w:val="restart"/>
            <w:tcBorders>
              <w:top w:val="nil"/>
              <w:left w:val="single" w:sz="4" w:space="0" w:color="auto"/>
              <w:bottom w:val="nil"/>
              <w:right w:val="nil"/>
            </w:tcBorders>
          </w:tcPr>
          <w:p w14:paraId="22388813" w14:textId="77777777" w:rsidR="00F729CD" w:rsidRPr="00814A92" w:rsidRDefault="00000000">
            <w:pPr>
              <w:spacing w:after="0" w:line="240" w:lineRule="auto"/>
              <w:jc w:val="both"/>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 xml:space="preserve">ensure that all third parties (subcontractors and other economic operators on whose behalf the supplier relies) used by the supplier comply with the above requirement at the time of the award of the contract and undertake to ensure that all third parties (subcontractors and other economic operators on whose behalf the supplier relies) already used by the supplier and to be used by the supplier (sub-suppliers and other economic operators on whose behalf the supplier relies) comply with the above requirement throughout the period of performance of the contractual obligations, including the warranty obligations (if any).      </w:t>
            </w:r>
          </w:p>
        </w:tc>
      </w:tr>
      <w:tr w:rsidR="00F729CD" w:rsidRPr="00814A92" w14:paraId="69CF07B0" w14:textId="77777777">
        <w:tc>
          <w:tcPr>
            <w:tcW w:w="352" w:type="dxa"/>
            <w:tcBorders>
              <w:top w:val="single" w:sz="4" w:space="0" w:color="auto"/>
              <w:left w:val="nil"/>
              <w:bottom w:val="nil"/>
              <w:right w:val="nil"/>
            </w:tcBorders>
          </w:tcPr>
          <w:p w14:paraId="54C95714"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9453" w:type="dxa"/>
            <w:vMerge/>
            <w:tcBorders>
              <w:top w:val="nil"/>
              <w:left w:val="nil"/>
              <w:bottom w:val="nil"/>
              <w:right w:val="nil"/>
            </w:tcBorders>
            <w:vAlign w:val="center"/>
          </w:tcPr>
          <w:p w14:paraId="4B1E7082"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r w:rsidR="00F729CD" w:rsidRPr="00814A92" w14:paraId="0F9F9408" w14:textId="77777777">
        <w:tc>
          <w:tcPr>
            <w:tcW w:w="352" w:type="dxa"/>
            <w:tcBorders>
              <w:top w:val="nil"/>
              <w:left w:val="nil"/>
              <w:bottom w:val="nil"/>
              <w:right w:val="nil"/>
            </w:tcBorders>
          </w:tcPr>
          <w:p w14:paraId="4666CA52"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9453" w:type="dxa"/>
            <w:vMerge/>
            <w:tcBorders>
              <w:top w:val="nil"/>
              <w:left w:val="nil"/>
              <w:bottom w:val="nil"/>
              <w:right w:val="nil"/>
            </w:tcBorders>
            <w:vAlign w:val="center"/>
          </w:tcPr>
          <w:p w14:paraId="706C8E64"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bl>
    <w:p w14:paraId="77FEBA90" w14:textId="77777777" w:rsidR="00F729CD" w:rsidRPr="00814A92" w:rsidRDefault="00F729CD">
      <w:pPr>
        <w:shd w:val="clear" w:color="auto" w:fill="FFFFFF"/>
        <w:spacing w:after="0" w:line="240" w:lineRule="auto"/>
        <w:rPr>
          <w:rFonts w:ascii="Times New Roman" w:eastAsia="Times New Roman" w:hAnsi="Times New Roman" w:cs="Times New Roman"/>
          <w:i/>
          <w:sz w:val="20"/>
          <w:szCs w:val="20"/>
          <w:lang w:val="en-GB" w:eastAsia="en-US"/>
        </w:rPr>
      </w:pPr>
    </w:p>
    <w:p w14:paraId="02482758" w14:textId="77777777" w:rsidR="00F729CD" w:rsidRPr="00814A92" w:rsidRDefault="00F729CD">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val="en-GB" w:eastAsia="en-US"/>
        </w:rPr>
      </w:pPr>
    </w:p>
    <w:p w14:paraId="251A065B" w14:textId="77777777" w:rsidR="00F729CD" w:rsidRPr="00814A92" w:rsidRDefault="00F729C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p w14:paraId="72728B0D" w14:textId="77777777" w:rsidR="00F729CD" w:rsidRPr="00814A92" w:rsidRDefault="00000000">
      <w:pPr>
        <w:shd w:val="clear" w:color="auto" w:fill="FFFFFF"/>
        <w:spacing w:after="0" w:line="240" w:lineRule="auto"/>
        <w:ind w:firstLine="720"/>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I certify that this information is correct and up to date.</w:t>
      </w:r>
    </w:p>
    <w:p w14:paraId="2F4D7932" w14:textId="77777777" w:rsidR="00F729CD" w:rsidRPr="00814A92" w:rsidRDefault="00F729CD">
      <w:pPr>
        <w:shd w:val="clear" w:color="auto" w:fill="FFFFFF"/>
        <w:spacing w:after="0" w:line="240" w:lineRule="auto"/>
        <w:ind w:firstLine="720"/>
        <w:rPr>
          <w:rFonts w:ascii="Times New Roman" w:eastAsia="Times New Roman" w:hAnsi="Times New Roman" w:cs="Times New Roman"/>
          <w:sz w:val="24"/>
          <w:szCs w:val="24"/>
          <w:lang w:val="en-GB" w:eastAsia="en-US"/>
        </w:rPr>
      </w:pPr>
    </w:p>
    <w:p w14:paraId="4A2F3639" w14:textId="77777777" w:rsidR="00F729CD" w:rsidRPr="00814A92" w:rsidRDefault="00000000">
      <w:pPr>
        <w:spacing w:after="0" w:line="240" w:lineRule="auto"/>
        <w:ind w:left="709"/>
        <w:jc w:val="both"/>
        <w:rPr>
          <w:rFonts w:ascii="Times New Roman" w:eastAsia="Times New Roman" w:hAnsi="Times New Roman" w:cs="Times New Roman"/>
          <w:color w:val="000000"/>
          <w:sz w:val="24"/>
          <w:szCs w:val="20"/>
          <w:shd w:val="clear" w:color="auto" w:fill="00FF00"/>
          <w:lang w:val="en-GB" w:eastAsia="en-US"/>
        </w:rPr>
      </w:pPr>
      <w:r w:rsidRPr="00814A92">
        <w:rPr>
          <w:rFonts w:ascii="Times New Roman" w:eastAsia="Times New Roman" w:hAnsi="Times New Roman"/>
          <w:sz w:val="24"/>
          <w:szCs w:val="24"/>
          <w:lang w:val="en-GB" w:eastAsia="en-US"/>
        </w:rPr>
        <w:t>I understand that if the prohibited circumstances set out in this declaration are discovered or the declaration is found to be false, the supplier will be deemed to have refused to conclude the public contract and, if the falsity of the declaration is discovered after the public contract has been concluded, the public contract will be terminated.</w:t>
      </w:r>
      <w:r w:rsidRPr="00814A92">
        <w:rPr>
          <w:rFonts w:ascii="Times New Roman" w:eastAsia="Times New Roman" w:hAnsi="Times New Roman" w:cs="Times New Roman"/>
          <w:sz w:val="24"/>
          <w:szCs w:val="24"/>
          <w:lang w:val="en-GB" w:eastAsia="en-US"/>
        </w:rPr>
        <w:t xml:space="preserve"> </w:t>
      </w:r>
    </w:p>
    <w:p w14:paraId="1040185A"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24"/>
          <w:szCs w:val="24"/>
          <w:lang w:val="en-GB" w:eastAsia="en-US"/>
        </w:rPr>
      </w:pPr>
    </w:p>
    <w:p w14:paraId="05F300E7"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18"/>
          <w:szCs w:val="18"/>
          <w:lang w:val="en-GB" w:eastAsia="en-US"/>
        </w:rPr>
      </w:pPr>
    </w:p>
    <w:p w14:paraId="567646FA"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18"/>
          <w:szCs w:val="18"/>
          <w:lang w:val="en-GB" w:eastAsia="en-US"/>
        </w:rPr>
      </w:pPr>
    </w:p>
    <w:p w14:paraId="128DD358" w14:textId="77777777" w:rsidR="00F729CD" w:rsidRPr="00814A92" w:rsidRDefault="00000000">
      <w:pPr>
        <w:widowControl w:val="0"/>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____________________</w:t>
      </w:r>
      <w:r w:rsidRPr="00814A92">
        <w:rPr>
          <w:rFonts w:ascii="Times New Roman" w:eastAsia="Calibri" w:hAnsi="Times New Roman" w:cs="Times New Roman"/>
          <w:i/>
          <w:iCs/>
          <w:sz w:val="22"/>
          <w:szCs w:val="20"/>
          <w:lang w:val="en-GB" w:eastAsia="en-US"/>
        </w:rPr>
        <w:t xml:space="preserve">                             </w:t>
      </w:r>
      <w:r w:rsidRPr="00814A92">
        <w:rPr>
          <w:rFonts w:ascii="Times New Roman" w:eastAsia="Calibri" w:hAnsi="Times New Roman" w:cs="Times New Roman"/>
          <w:sz w:val="24"/>
          <w:szCs w:val="20"/>
          <w:lang w:val="en-GB" w:eastAsia="en-US"/>
        </w:rPr>
        <w:t>____________________</w:t>
      </w:r>
      <w:r w:rsidRPr="00814A92">
        <w:rPr>
          <w:rFonts w:ascii="Times New Roman" w:eastAsia="Calibri" w:hAnsi="Times New Roman" w:cs="Times New Roman"/>
          <w:sz w:val="24"/>
          <w:szCs w:val="20"/>
          <w:lang w:val="en-GB" w:eastAsia="en-US"/>
        </w:rPr>
        <w:tab/>
        <w:t xml:space="preserve">                   ___________________</w:t>
      </w:r>
    </w:p>
    <w:p w14:paraId="65F1875F" w14:textId="77777777" w:rsidR="00F729CD" w:rsidRPr="00814A92" w:rsidRDefault="00000000">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
          <w:iCs/>
          <w:sz w:val="22"/>
          <w:szCs w:val="20"/>
          <w:lang w:val="en-GB" w:eastAsia="en-US"/>
        </w:rPr>
        <w:t>(position)                                                           (signature)                                                 (name, surname)</w:t>
      </w:r>
    </w:p>
    <w:p w14:paraId="7DE32E63" w14:textId="77777777" w:rsidR="00F729CD" w:rsidRPr="00814A92" w:rsidRDefault="00F729CD">
      <w:pPr>
        <w:rPr>
          <w:rFonts w:ascii="Times New Roman" w:hAnsi="Times New Roman" w:cs="Times New Roman"/>
          <w:sz w:val="24"/>
          <w:szCs w:val="24"/>
          <w:lang w:val="en-GB"/>
        </w:rPr>
      </w:pPr>
    </w:p>
    <w:p w14:paraId="0F7774DE" w14:textId="77777777" w:rsidR="00F729CD" w:rsidRPr="00814A92" w:rsidRDefault="00F729CD">
      <w:pPr>
        <w:rPr>
          <w:lang w:val="en-GB"/>
        </w:rPr>
      </w:pPr>
    </w:p>
    <w:p w14:paraId="74CB2783" w14:textId="77777777" w:rsidR="00F729CD" w:rsidRPr="00814A92" w:rsidRDefault="00F729CD">
      <w:pPr>
        <w:rPr>
          <w:lang w:val="en-GB"/>
        </w:rPr>
      </w:pPr>
    </w:p>
    <w:p w14:paraId="30B7B5A4" w14:textId="77777777" w:rsidR="00F729CD" w:rsidRPr="00814A92" w:rsidRDefault="00F729CD">
      <w:pPr>
        <w:rPr>
          <w:lang w:val="en-GB"/>
        </w:rPr>
      </w:pPr>
    </w:p>
    <w:p w14:paraId="12C02188" w14:textId="77777777" w:rsidR="00F729CD" w:rsidRPr="00814A92" w:rsidRDefault="00F729CD">
      <w:pPr>
        <w:rPr>
          <w:lang w:val="en-GB"/>
        </w:rPr>
      </w:pPr>
    </w:p>
    <w:p w14:paraId="6FD326C9" w14:textId="77777777" w:rsidR="00F729CD" w:rsidRPr="00814A92" w:rsidRDefault="00F729CD">
      <w:pPr>
        <w:rPr>
          <w:lang w:val="en-GB"/>
        </w:rPr>
      </w:pPr>
    </w:p>
    <w:p w14:paraId="1283D8B2" w14:textId="77777777" w:rsidR="00F729CD" w:rsidRPr="00814A92" w:rsidRDefault="00F729CD">
      <w:pPr>
        <w:rPr>
          <w:lang w:val="en-GB"/>
        </w:rPr>
      </w:pPr>
    </w:p>
    <w:p w14:paraId="671CD8E3" w14:textId="77777777" w:rsidR="00F729CD" w:rsidRPr="00814A92" w:rsidRDefault="00F729CD">
      <w:pPr>
        <w:rPr>
          <w:lang w:val="en-GB"/>
        </w:rPr>
      </w:pPr>
    </w:p>
    <w:p w14:paraId="58B96D75" w14:textId="77777777" w:rsidR="00F729CD" w:rsidRPr="00814A92" w:rsidRDefault="00F729CD">
      <w:pPr>
        <w:rPr>
          <w:lang w:val="en-GB"/>
        </w:rPr>
      </w:pPr>
    </w:p>
    <w:p w14:paraId="5CA8F80B" w14:textId="77777777" w:rsidR="00F729CD" w:rsidRPr="00814A92" w:rsidRDefault="00F729CD">
      <w:pPr>
        <w:rPr>
          <w:lang w:val="en-GB"/>
        </w:rPr>
      </w:pPr>
    </w:p>
    <w:p w14:paraId="5940B654" w14:textId="77777777" w:rsidR="00F729CD" w:rsidRPr="00814A92" w:rsidRDefault="00000000">
      <w:pPr>
        <w:pStyle w:val="Antrat2"/>
        <w:ind w:left="5103"/>
        <w:rPr>
          <w:rFonts w:asciiTheme="minorHAnsi" w:hAnsiTheme="minorHAnsi"/>
          <w:color w:val="0070C0"/>
          <w:sz w:val="21"/>
          <w:szCs w:val="21"/>
          <w:lang w:val="en-GB"/>
        </w:rPr>
      </w:pPr>
      <w:bookmarkStart w:id="46" w:name="_Toc17174"/>
      <w:bookmarkEnd w:id="38"/>
      <w:bookmarkEnd w:id="39"/>
      <w:bookmarkEnd w:id="40"/>
      <w:r w:rsidRPr="00814A92">
        <w:rPr>
          <w:rFonts w:asciiTheme="minorHAnsi" w:hAnsiTheme="minorHAnsi"/>
          <w:color w:val="0070C0"/>
          <w:sz w:val="21"/>
          <w:szCs w:val="21"/>
          <w:lang w:val="en-GB"/>
        </w:rPr>
        <w:lastRenderedPageBreak/>
        <w:t>Annex 10 “Draft Contract” to the Procurement Conditions</w:t>
      </w:r>
      <w:bookmarkEnd w:id="46"/>
    </w:p>
    <w:p w14:paraId="229FA9C8" w14:textId="77777777" w:rsidR="00F729CD" w:rsidRPr="00814A92" w:rsidRDefault="00F729CD">
      <w:pPr>
        <w:rPr>
          <w:lang w:val="en-GB"/>
        </w:rPr>
      </w:pPr>
    </w:p>
    <w:p w14:paraId="62411B65" w14:textId="77777777" w:rsidR="00F729CD" w:rsidRPr="00814A92" w:rsidRDefault="00000000">
      <w:pPr>
        <w:spacing w:after="0" w:line="240" w:lineRule="auto"/>
        <w:rPr>
          <w:rFonts w:cstheme="minorHAnsi"/>
          <w:b/>
          <w:bCs/>
          <w:smallCaps/>
          <w:sz w:val="22"/>
          <w:szCs w:val="22"/>
          <w:lang w:val="en-GB"/>
        </w:rPr>
      </w:pPr>
      <w:r w:rsidRPr="00814A92">
        <w:rPr>
          <w:lang w:val="en-GB"/>
        </w:rPr>
        <w:t xml:space="preserve">The draft contract is available as a separate document (docx format).   </w:t>
      </w:r>
    </w:p>
    <w:p w14:paraId="76C4E54E" w14:textId="77777777" w:rsidR="00F729CD" w:rsidRPr="00814A92" w:rsidRDefault="00F729CD">
      <w:pPr>
        <w:jc w:val="both"/>
        <w:rPr>
          <w:rFonts w:cstheme="minorHAnsi"/>
          <w:b/>
          <w:bCs/>
          <w:smallCaps/>
          <w:sz w:val="22"/>
          <w:szCs w:val="22"/>
          <w:lang w:val="en-GB"/>
        </w:rPr>
      </w:pPr>
    </w:p>
    <w:p w14:paraId="7A9DC596" w14:textId="77777777" w:rsidR="00F729CD" w:rsidRPr="00814A92" w:rsidRDefault="00F729CD">
      <w:pPr>
        <w:jc w:val="both"/>
        <w:rPr>
          <w:rFonts w:cstheme="minorHAnsi"/>
          <w:b/>
          <w:bCs/>
          <w:smallCaps/>
          <w:sz w:val="22"/>
          <w:szCs w:val="22"/>
          <w:lang w:val="en-GB"/>
        </w:rPr>
      </w:pPr>
    </w:p>
    <w:p w14:paraId="11B20D32" w14:textId="77777777" w:rsidR="00F729CD" w:rsidRPr="00814A92" w:rsidRDefault="00F729CD">
      <w:pPr>
        <w:jc w:val="both"/>
        <w:rPr>
          <w:rFonts w:cstheme="minorHAnsi"/>
          <w:b/>
          <w:bCs/>
          <w:smallCaps/>
          <w:sz w:val="22"/>
          <w:szCs w:val="22"/>
          <w:lang w:val="en-GB"/>
        </w:rPr>
      </w:pPr>
    </w:p>
    <w:p w14:paraId="76B0FAD2" w14:textId="77777777" w:rsidR="00F729CD" w:rsidRPr="00814A92" w:rsidRDefault="00F729CD">
      <w:pPr>
        <w:jc w:val="both"/>
        <w:rPr>
          <w:rFonts w:cstheme="minorHAnsi"/>
          <w:b/>
          <w:bCs/>
          <w:smallCaps/>
          <w:sz w:val="22"/>
          <w:szCs w:val="22"/>
          <w:lang w:val="en-GB"/>
        </w:rPr>
      </w:pPr>
    </w:p>
    <w:p w14:paraId="7E934B50" w14:textId="77777777" w:rsidR="00F729CD" w:rsidRPr="00814A92" w:rsidRDefault="00F729CD">
      <w:pPr>
        <w:jc w:val="both"/>
        <w:rPr>
          <w:rFonts w:cstheme="minorHAnsi"/>
          <w:b/>
          <w:bCs/>
          <w:smallCaps/>
          <w:sz w:val="22"/>
          <w:szCs w:val="22"/>
          <w:lang w:val="en-GB"/>
        </w:rPr>
      </w:pPr>
    </w:p>
    <w:p w14:paraId="73BD342B" w14:textId="77777777" w:rsidR="00F729CD" w:rsidRPr="00814A92" w:rsidRDefault="00F729CD">
      <w:pPr>
        <w:jc w:val="both"/>
        <w:rPr>
          <w:rFonts w:cstheme="minorHAnsi"/>
          <w:b/>
          <w:bCs/>
          <w:smallCaps/>
          <w:sz w:val="22"/>
          <w:szCs w:val="22"/>
          <w:lang w:val="en-GB"/>
        </w:rPr>
      </w:pPr>
    </w:p>
    <w:p w14:paraId="3C875C6B" w14:textId="77777777" w:rsidR="00F729CD" w:rsidRPr="00814A92" w:rsidRDefault="00F729CD">
      <w:pPr>
        <w:jc w:val="both"/>
        <w:rPr>
          <w:rFonts w:cstheme="minorHAnsi"/>
          <w:b/>
          <w:bCs/>
          <w:smallCaps/>
          <w:sz w:val="22"/>
          <w:szCs w:val="22"/>
          <w:lang w:val="en-GB"/>
        </w:rPr>
      </w:pPr>
    </w:p>
    <w:p w14:paraId="2FF14605" w14:textId="77777777" w:rsidR="00F729CD" w:rsidRPr="00814A92" w:rsidRDefault="00F729CD">
      <w:pPr>
        <w:jc w:val="both"/>
        <w:rPr>
          <w:rFonts w:cstheme="minorHAnsi"/>
          <w:b/>
          <w:bCs/>
          <w:smallCaps/>
          <w:sz w:val="22"/>
          <w:szCs w:val="22"/>
          <w:lang w:val="en-GB"/>
        </w:rPr>
      </w:pPr>
    </w:p>
    <w:p w14:paraId="5617FCCA" w14:textId="77777777" w:rsidR="00F729CD" w:rsidRPr="00814A92" w:rsidRDefault="00F729CD">
      <w:pPr>
        <w:jc w:val="both"/>
        <w:rPr>
          <w:rFonts w:cstheme="minorHAnsi"/>
          <w:b/>
          <w:bCs/>
          <w:smallCaps/>
          <w:sz w:val="22"/>
          <w:szCs w:val="22"/>
          <w:lang w:val="en-GB"/>
        </w:rPr>
      </w:pPr>
    </w:p>
    <w:p w14:paraId="7149BC74" w14:textId="77777777" w:rsidR="00F729CD" w:rsidRPr="00814A92" w:rsidRDefault="00F729CD">
      <w:pPr>
        <w:jc w:val="both"/>
        <w:rPr>
          <w:rFonts w:cstheme="minorHAnsi"/>
          <w:b/>
          <w:bCs/>
          <w:smallCaps/>
          <w:sz w:val="22"/>
          <w:szCs w:val="22"/>
          <w:lang w:val="en-GB"/>
        </w:rPr>
      </w:pPr>
    </w:p>
    <w:p w14:paraId="34CF9DA3" w14:textId="77777777" w:rsidR="00F729CD" w:rsidRPr="00814A92" w:rsidRDefault="00F729CD">
      <w:pPr>
        <w:jc w:val="both"/>
        <w:rPr>
          <w:rFonts w:cstheme="minorHAnsi"/>
          <w:b/>
          <w:bCs/>
          <w:smallCaps/>
          <w:sz w:val="22"/>
          <w:szCs w:val="22"/>
          <w:lang w:val="en-GB"/>
        </w:rPr>
      </w:pPr>
    </w:p>
    <w:p w14:paraId="1BDF347C" w14:textId="77777777" w:rsidR="00F729CD" w:rsidRPr="00814A92" w:rsidRDefault="00F729CD">
      <w:pPr>
        <w:jc w:val="both"/>
        <w:rPr>
          <w:rFonts w:cstheme="minorHAnsi"/>
          <w:b/>
          <w:bCs/>
          <w:smallCaps/>
          <w:sz w:val="22"/>
          <w:szCs w:val="22"/>
          <w:lang w:val="en-GB"/>
        </w:rPr>
      </w:pPr>
    </w:p>
    <w:p w14:paraId="5CED2A59" w14:textId="77777777" w:rsidR="00F729CD" w:rsidRPr="00814A92" w:rsidRDefault="00F729CD">
      <w:pPr>
        <w:jc w:val="both"/>
        <w:rPr>
          <w:rFonts w:cstheme="minorHAnsi"/>
          <w:b/>
          <w:bCs/>
          <w:smallCaps/>
          <w:sz w:val="22"/>
          <w:szCs w:val="22"/>
          <w:lang w:val="en-GB"/>
        </w:rPr>
      </w:pPr>
    </w:p>
    <w:p w14:paraId="117E861B" w14:textId="77777777" w:rsidR="00F729CD" w:rsidRPr="00814A92" w:rsidRDefault="00F729CD">
      <w:pPr>
        <w:jc w:val="both"/>
        <w:rPr>
          <w:rFonts w:cstheme="minorHAnsi"/>
          <w:b/>
          <w:bCs/>
          <w:smallCaps/>
          <w:sz w:val="22"/>
          <w:szCs w:val="22"/>
          <w:lang w:val="en-GB"/>
        </w:rPr>
      </w:pPr>
    </w:p>
    <w:p w14:paraId="3DEB7142" w14:textId="77777777" w:rsidR="00F729CD" w:rsidRPr="00814A92" w:rsidRDefault="00F729CD">
      <w:pPr>
        <w:jc w:val="both"/>
        <w:rPr>
          <w:rFonts w:cstheme="minorHAnsi"/>
          <w:b/>
          <w:bCs/>
          <w:smallCaps/>
          <w:sz w:val="22"/>
          <w:szCs w:val="22"/>
          <w:lang w:val="en-GB"/>
        </w:rPr>
      </w:pPr>
    </w:p>
    <w:p w14:paraId="0C64B457" w14:textId="77777777" w:rsidR="00F729CD" w:rsidRPr="00814A92" w:rsidRDefault="00F729CD">
      <w:pPr>
        <w:jc w:val="both"/>
        <w:rPr>
          <w:rFonts w:cstheme="minorHAnsi"/>
          <w:b/>
          <w:bCs/>
          <w:smallCaps/>
          <w:sz w:val="22"/>
          <w:szCs w:val="22"/>
          <w:lang w:val="en-GB"/>
        </w:rPr>
      </w:pPr>
    </w:p>
    <w:p w14:paraId="0E672C66" w14:textId="77777777" w:rsidR="00F729CD" w:rsidRPr="00814A92" w:rsidRDefault="00F729CD">
      <w:pPr>
        <w:jc w:val="both"/>
        <w:rPr>
          <w:rFonts w:cstheme="minorHAnsi"/>
          <w:b/>
          <w:bCs/>
          <w:smallCaps/>
          <w:sz w:val="22"/>
          <w:szCs w:val="22"/>
          <w:lang w:val="en-GB"/>
        </w:rPr>
      </w:pPr>
    </w:p>
    <w:p w14:paraId="271F00C6" w14:textId="77777777" w:rsidR="00F729CD" w:rsidRPr="00814A92" w:rsidRDefault="00F729CD">
      <w:pPr>
        <w:jc w:val="both"/>
        <w:rPr>
          <w:rFonts w:cstheme="minorHAnsi"/>
          <w:b/>
          <w:bCs/>
          <w:smallCaps/>
          <w:sz w:val="22"/>
          <w:szCs w:val="22"/>
          <w:lang w:val="en-GB"/>
        </w:rPr>
      </w:pPr>
    </w:p>
    <w:p w14:paraId="6B6D7CDA" w14:textId="77777777" w:rsidR="00F729CD" w:rsidRPr="00814A92" w:rsidRDefault="00F729CD">
      <w:pPr>
        <w:jc w:val="both"/>
        <w:rPr>
          <w:rFonts w:cstheme="minorHAnsi"/>
          <w:b/>
          <w:bCs/>
          <w:smallCaps/>
          <w:sz w:val="22"/>
          <w:szCs w:val="22"/>
          <w:lang w:val="en-GB"/>
        </w:rPr>
      </w:pPr>
    </w:p>
    <w:p w14:paraId="625B97A0" w14:textId="77777777" w:rsidR="00F729CD" w:rsidRPr="00814A92" w:rsidRDefault="00F729CD">
      <w:pPr>
        <w:jc w:val="both"/>
        <w:rPr>
          <w:rFonts w:cstheme="minorHAnsi"/>
          <w:b/>
          <w:bCs/>
          <w:smallCaps/>
          <w:sz w:val="22"/>
          <w:szCs w:val="22"/>
          <w:lang w:val="en-GB"/>
        </w:rPr>
      </w:pPr>
    </w:p>
    <w:p w14:paraId="6ED4CCA2" w14:textId="77777777" w:rsidR="00F729CD" w:rsidRPr="00814A92" w:rsidRDefault="00F729CD">
      <w:pPr>
        <w:jc w:val="both"/>
        <w:rPr>
          <w:rFonts w:cstheme="minorHAnsi"/>
          <w:b/>
          <w:bCs/>
          <w:smallCaps/>
          <w:sz w:val="22"/>
          <w:szCs w:val="22"/>
          <w:lang w:val="en-GB"/>
        </w:rPr>
      </w:pPr>
    </w:p>
    <w:p w14:paraId="74BB5830" w14:textId="77777777" w:rsidR="00F729CD" w:rsidRPr="00814A92" w:rsidRDefault="00F729CD">
      <w:pPr>
        <w:jc w:val="both"/>
        <w:rPr>
          <w:rFonts w:cstheme="minorHAnsi"/>
          <w:b/>
          <w:bCs/>
          <w:smallCaps/>
          <w:sz w:val="22"/>
          <w:szCs w:val="22"/>
          <w:lang w:val="en-GB"/>
        </w:rPr>
      </w:pPr>
    </w:p>
    <w:p w14:paraId="523314A9" w14:textId="77777777" w:rsidR="00F729CD" w:rsidRPr="00814A92" w:rsidRDefault="00F729CD">
      <w:pPr>
        <w:jc w:val="both"/>
        <w:rPr>
          <w:rFonts w:cstheme="minorHAnsi"/>
          <w:b/>
          <w:bCs/>
          <w:smallCaps/>
          <w:sz w:val="22"/>
          <w:szCs w:val="22"/>
          <w:lang w:val="en-GB"/>
        </w:rPr>
      </w:pPr>
    </w:p>
    <w:p w14:paraId="0CAC6E8A" w14:textId="77777777" w:rsidR="00F729CD" w:rsidRPr="00814A92" w:rsidRDefault="00000000">
      <w:pPr>
        <w:pStyle w:val="Antrat2"/>
        <w:ind w:left="5103"/>
        <w:rPr>
          <w:rFonts w:asciiTheme="minorHAnsi" w:hAnsiTheme="minorHAnsi"/>
          <w:color w:val="0070C0"/>
          <w:sz w:val="21"/>
          <w:szCs w:val="21"/>
          <w:lang w:val="en-GB"/>
        </w:rPr>
      </w:pPr>
      <w:bookmarkStart w:id="47" w:name="_Toc20464"/>
      <w:r w:rsidRPr="00814A92">
        <w:rPr>
          <w:rFonts w:asciiTheme="minorHAnsi" w:hAnsiTheme="minorHAnsi"/>
          <w:color w:val="0070C0"/>
          <w:sz w:val="21"/>
          <w:szCs w:val="21"/>
          <w:lang w:val="en-GB"/>
        </w:rPr>
        <w:lastRenderedPageBreak/>
        <w:t>Annex 11 “Supplier declaration of compliance with the provisions of the Regulation for a legal entity” to the Procurement Conditions</w:t>
      </w:r>
      <w:bookmarkEnd w:id="47"/>
      <w:r w:rsidRPr="00814A92">
        <w:rPr>
          <w:rFonts w:asciiTheme="minorHAnsi" w:hAnsiTheme="minorHAnsi"/>
          <w:color w:val="0070C0"/>
          <w:sz w:val="21"/>
          <w:szCs w:val="21"/>
          <w:lang w:val="en-GB"/>
        </w:rPr>
        <w:t xml:space="preserve">  </w:t>
      </w:r>
    </w:p>
    <w:p w14:paraId="4E196120" w14:textId="77777777" w:rsidR="00F729CD" w:rsidRPr="00814A92" w:rsidRDefault="00F729CD">
      <w:pPr>
        <w:rPr>
          <w:lang w:val="en-GB"/>
        </w:rPr>
      </w:pPr>
    </w:p>
    <w:p w14:paraId="3EAFDCEB" w14:textId="77777777" w:rsidR="00F729CD" w:rsidRPr="00814A92" w:rsidRDefault="00000000">
      <w:pPr>
        <w:jc w:val="center"/>
        <w:rPr>
          <w:rFonts w:cstheme="minorHAnsi"/>
          <w:lang w:val="en-GB"/>
        </w:rPr>
      </w:pPr>
      <w:r w:rsidRPr="00814A92">
        <w:rPr>
          <w:lang w:val="en-GB"/>
        </w:rPr>
        <w:t>Coat of arms or trade mark</w:t>
      </w:r>
    </w:p>
    <w:p w14:paraId="7BBB0A78" w14:textId="77777777" w:rsidR="00F729CD" w:rsidRPr="00814A92" w:rsidRDefault="00000000">
      <w:pPr>
        <w:jc w:val="center"/>
        <w:rPr>
          <w:rFonts w:cstheme="minorHAnsi"/>
          <w:sz w:val="20"/>
          <w:szCs w:val="20"/>
          <w:lang w:val="en-GB"/>
        </w:rPr>
      </w:pPr>
      <w:r w:rsidRPr="00814A92">
        <w:rPr>
          <w:rFonts w:cstheme="minorHAnsi"/>
          <w:sz w:val="20"/>
          <w:szCs w:val="20"/>
          <w:lang w:val="en-GB"/>
        </w:rPr>
        <w:t>(</w:t>
      </w:r>
      <w:r w:rsidRPr="00814A92">
        <w:rPr>
          <w:sz w:val="20"/>
          <w:szCs w:val="20"/>
          <w:lang w:val="en-GB"/>
        </w:rPr>
        <w:t>Name of supplier</w:t>
      </w:r>
      <w:r w:rsidRPr="00814A92">
        <w:rPr>
          <w:rFonts w:cstheme="minorHAnsi"/>
          <w:sz w:val="20"/>
          <w:szCs w:val="20"/>
          <w:lang w:val="en-GB"/>
        </w:rPr>
        <w:t>)</w:t>
      </w:r>
    </w:p>
    <w:p w14:paraId="518D9B66" w14:textId="77777777" w:rsidR="00F729CD" w:rsidRPr="00814A92" w:rsidRDefault="00000000">
      <w:pPr>
        <w:jc w:val="both"/>
        <w:rPr>
          <w:rFonts w:cstheme="minorHAnsi"/>
          <w:sz w:val="20"/>
          <w:szCs w:val="20"/>
          <w:lang w:val="en-GB"/>
        </w:rPr>
      </w:pPr>
      <w:r w:rsidRPr="00814A92">
        <w:rPr>
          <w:rFonts w:cstheme="minorHAnsi"/>
          <w:sz w:val="20"/>
          <w:szCs w:val="20"/>
          <w:lang w:val="en-GB"/>
        </w:rPr>
        <w:t>(</w:t>
      </w:r>
      <w:r w:rsidRPr="00814A92">
        <w:rPr>
          <w:sz w:val="20"/>
          <w:szCs w:val="20"/>
          <w:lang w:val="en-GB"/>
        </w:rPr>
        <w:t>Legal form of the legal entity, registered office, contact details, name of the register in which the supplier’s data is collected and stored, legal entity code, value added tax identification number if the legal entity is subject to value added tax</w:t>
      </w:r>
      <w:r w:rsidRPr="00814A92">
        <w:rPr>
          <w:rFonts w:cstheme="minorHAnsi"/>
          <w:sz w:val="20"/>
          <w:szCs w:val="20"/>
          <w:lang w:val="en-GB"/>
        </w:rPr>
        <w:t xml:space="preserve">) </w:t>
      </w:r>
    </w:p>
    <w:p w14:paraId="408F70FF" w14:textId="77777777" w:rsidR="00F729CD" w:rsidRPr="00814A92" w:rsidRDefault="00000000">
      <w:pPr>
        <w:spacing w:after="0" w:line="240" w:lineRule="auto"/>
        <w:jc w:val="center"/>
        <w:rPr>
          <w:rFonts w:cstheme="minorHAnsi"/>
          <w:sz w:val="24"/>
          <w:szCs w:val="24"/>
          <w:lang w:val="en-GB"/>
        </w:rPr>
      </w:pPr>
      <w:r w:rsidRPr="00814A92">
        <w:rPr>
          <w:rFonts w:cstheme="minorHAnsi"/>
          <w:lang w:val="en-GB"/>
        </w:rPr>
        <w:t>__________________________</w:t>
      </w:r>
    </w:p>
    <w:p w14:paraId="59EEB16A" w14:textId="77777777" w:rsidR="00F729CD" w:rsidRPr="00814A92" w:rsidRDefault="00000000">
      <w:pPr>
        <w:tabs>
          <w:tab w:val="center" w:pos="2520"/>
        </w:tabs>
        <w:spacing w:after="0" w:line="240" w:lineRule="auto"/>
        <w:jc w:val="center"/>
        <w:rPr>
          <w:rFonts w:cstheme="minorHAnsi"/>
          <w:i/>
          <w:iCs/>
          <w:sz w:val="20"/>
          <w:szCs w:val="20"/>
          <w:lang w:val="en-GB"/>
        </w:rPr>
      </w:pPr>
      <w:r w:rsidRPr="00814A92">
        <w:rPr>
          <w:rFonts w:cstheme="minorHAnsi"/>
          <w:i/>
          <w:iCs/>
          <w:sz w:val="20"/>
          <w:szCs w:val="20"/>
          <w:lang w:val="en-GB"/>
        </w:rPr>
        <w:t>(</w:t>
      </w:r>
      <w:r w:rsidRPr="00814A92">
        <w:rPr>
          <w:i/>
          <w:iCs/>
          <w:sz w:val="20"/>
          <w:szCs w:val="20"/>
          <w:lang w:val="en-GB"/>
        </w:rPr>
        <w:t>Addressee (Contracting Authority)</w:t>
      </w:r>
      <w:r w:rsidRPr="00814A92">
        <w:rPr>
          <w:rFonts w:cstheme="minorHAnsi"/>
          <w:i/>
          <w:iCs/>
          <w:sz w:val="20"/>
          <w:szCs w:val="20"/>
          <w:lang w:val="en-GB"/>
        </w:rPr>
        <w:t>)</w:t>
      </w:r>
    </w:p>
    <w:p w14:paraId="351913FD" w14:textId="77777777" w:rsidR="00F729CD" w:rsidRPr="00814A92" w:rsidRDefault="00F729CD">
      <w:pPr>
        <w:jc w:val="center"/>
        <w:rPr>
          <w:rFonts w:cstheme="minorHAnsi"/>
          <w:b/>
          <w:sz w:val="24"/>
          <w:szCs w:val="24"/>
          <w:lang w:val="en-GB"/>
        </w:rPr>
      </w:pPr>
    </w:p>
    <w:p w14:paraId="1E209AA4" w14:textId="77777777" w:rsidR="00F729CD" w:rsidRPr="00814A92" w:rsidRDefault="00000000">
      <w:pPr>
        <w:autoSpaceDE w:val="0"/>
        <w:autoSpaceDN w:val="0"/>
        <w:adjustRightInd w:val="0"/>
        <w:jc w:val="center"/>
        <w:rPr>
          <w:rFonts w:cstheme="minorHAnsi"/>
          <w:lang w:val="en-GB"/>
        </w:rPr>
      </w:pPr>
      <w:r w:rsidRPr="00814A92">
        <w:rPr>
          <w:b/>
          <w:bCs/>
          <w:lang w:val="en-GB"/>
        </w:rPr>
        <w:t>SUPPLIER DECLARATION</w:t>
      </w:r>
    </w:p>
    <w:p w14:paraId="63D9553A" w14:textId="77777777" w:rsidR="00F729CD" w:rsidRPr="00814A92" w:rsidRDefault="00000000">
      <w:pPr>
        <w:shd w:val="clear" w:color="auto" w:fill="FFFFFF"/>
        <w:spacing w:after="0" w:line="240" w:lineRule="auto"/>
        <w:jc w:val="center"/>
        <w:rPr>
          <w:rFonts w:cstheme="minorHAnsi"/>
          <w:b/>
          <w:bCs/>
          <w:lang w:val="en-GB"/>
        </w:rPr>
      </w:pPr>
      <w:r w:rsidRPr="00814A92">
        <w:rPr>
          <w:rFonts w:cstheme="minorHAnsi"/>
          <w:lang w:val="en-GB"/>
        </w:rPr>
        <w:t>_____________</w:t>
      </w:r>
      <w:r w:rsidRPr="00814A92">
        <w:rPr>
          <w:rFonts w:cstheme="minorHAnsi"/>
          <w:b/>
          <w:bCs/>
          <w:lang w:val="en-GB"/>
        </w:rPr>
        <w:t xml:space="preserve"> </w:t>
      </w:r>
      <w:r w:rsidRPr="00814A92">
        <w:rPr>
          <w:rFonts w:cstheme="minorHAnsi"/>
          <w:lang w:val="en-GB"/>
        </w:rPr>
        <w:t>No.______</w:t>
      </w:r>
    </w:p>
    <w:p w14:paraId="23A76F22" w14:textId="77777777" w:rsidR="00F729CD" w:rsidRPr="00814A92" w:rsidRDefault="00000000">
      <w:pPr>
        <w:shd w:val="clear" w:color="auto" w:fill="FFFFFF"/>
        <w:spacing w:after="0" w:line="240" w:lineRule="auto"/>
        <w:ind w:firstLine="3969"/>
        <w:rPr>
          <w:rFonts w:cstheme="minorHAnsi"/>
          <w:bCs/>
          <w:i/>
          <w:iCs/>
          <w:color w:val="000000"/>
          <w:sz w:val="20"/>
          <w:szCs w:val="20"/>
          <w:lang w:val="en-GB"/>
        </w:rPr>
      </w:pPr>
      <w:r w:rsidRPr="00814A92">
        <w:rPr>
          <w:rFonts w:cstheme="minorHAnsi"/>
          <w:bCs/>
          <w:i/>
          <w:iCs/>
          <w:color w:val="000000"/>
          <w:sz w:val="20"/>
          <w:szCs w:val="20"/>
          <w:lang w:val="en-GB"/>
        </w:rPr>
        <w:t xml:space="preserve">           (Date)</w:t>
      </w:r>
    </w:p>
    <w:p w14:paraId="695F35C1" w14:textId="77777777" w:rsidR="00F729CD" w:rsidRPr="00814A92" w:rsidRDefault="00F729CD">
      <w:pPr>
        <w:shd w:val="clear" w:color="auto" w:fill="FFFFFF"/>
        <w:spacing w:after="0" w:line="240" w:lineRule="auto"/>
        <w:ind w:firstLine="3969"/>
        <w:rPr>
          <w:rFonts w:cstheme="minorHAnsi"/>
          <w:bCs/>
          <w:color w:val="000000"/>
          <w:sz w:val="20"/>
          <w:szCs w:val="20"/>
          <w:lang w:val="en-GB"/>
        </w:rPr>
      </w:pPr>
    </w:p>
    <w:p w14:paraId="049E151E" w14:textId="77777777" w:rsidR="00F729CD" w:rsidRPr="00814A92" w:rsidRDefault="00000000">
      <w:pPr>
        <w:shd w:val="clear" w:color="auto" w:fill="FFFFFF"/>
        <w:spacing w:after="0" w:line="240" w:lineRule="auto"/>
        <w:jc w:val="center"/>
        <w:rPr>
          <w:rFonts w:cstheme="minorHAnsi"/>
          <w:bCs/>
          <w:color w:val="000000"/>
          <w:sz w:val="24"/>
          <w:szCs w:val="24"/>
          <w:lang w:val="en-GB"/>
        </w:rPr>
      </w:pPr>
      <w:r w:rsidRPr="00814A92">
        <w:rPr>
          <w:rFonts w:cstheme="minorHAnsi"/>
          <w:bCs/>
          <w:color w:val="000000"/>
          <w:lang w:val="en-GB"/>
        </w:rPr>
        <w:t>_____________</w:t>
      </w:r>
    </w:p>
    <w:p w14:paraId="3F9CD7DF" w14:textId="77777777" w:rsidR="00F729CD" w:rsidRPr="00814A92" w:rsidRDefault="00000000">
      <w:pPr>
        <w:shd w:val="clear" w:color="auto" w:fill="FFFFFF"/>
        <w:spacing w:after="0" w:line="240" w:lineRule="auto"/>
        <w:jc w:val="center"/>
        <w:rPr>
          <w:rFonts w:cstheme="minorHAnsi"/>
          <w:bCs/>
          <w:i/>
          <w:iCs/>
          <w:color w:val="000000"/>
          <w:sz w:val="20"/>
          <w:szCs w:val="20"/>
          <w:lang w:val="en-GB"/>
        </w:rPr>
      </w:pPr>
      <w:r w:rsidRPr="00814A92">
        <w:rPr>
          <w:rFonts w:cstheme="minorHAnsi"/>
          <w:bCs/>
          <w:i/>
          <w:iCs/>
          <w:color w:val="000000"/>
          <w:sz w:val="20"/>
          <w:szCs w:val="20"/>
          <w:lang w:val="en-GB"/>
        </w:rPr>
        <w:t>(Place of conclusion)</w:t>
      </w:r>
    </w:p>
    <w:p w14:paraId="7F1253C9" w14:textId="77777777" w:rsidR="00F729CD" w:rsidRPr="00814A92" w:rsidRDefault="00F729CD">
      <w:pPr>
        <w:shd w:val="clear" w:color="auto" w:fill="FFFFFF"/>
        <w:jc w:val="center"/>
        <w:rPr>
          <w:rFonts w:cstheme="minorHAnsi"/>
          <w:bCs/>
          <w:color w:val="000000"/>
          <w:sz w:val="20"/>
          <w:szCs w:val="20"/>
          <w:lang w:val="en-GB"/>
        </w:rPr>
      </w:pPr>
    </w:p>
    <w:p w14:paraId="7D2534AF" w14:textId="77777777" w:rsidR="00F729CD" w:rsidRPr="00814A92" w:rsidRDefault="00000000">
      <w:pPr>
        <w:tabs>
          <w:tab w:val="left" w:pos="851"/>
        </w:tabs>
        <w:snapToGrid w:val="0"/>
        <w:spacing w:after="0" w:line="240" w:lineRule="auto"/>
        <w:ind w:right="-1"/>
        <w:jc w:val="both"/>
        <w:rPr>
          <w:rFonts w:cstheme="minorHAnsi"/>
          <w:spacing w:val="-2"/>
          <w:lang w:val="en-GB"/>
        </w:rPr>
      </w:pPr>
      <w:r w:rsidRPr="00814A92">
        <w:rPr>
          <w:rFonts w:cstheme="minorHAnsi"/>
          <w:spacing w:val="-2"/>
          <w:lang w:val="en-GB"/>
        </w:rPr>
        <w:t>I, ______________________________________________________________________</w:t>
      </w:r>
      <w:r w:rsidRPr="00814A92">
        <w:rPr>
          <w:rFonts w:cstheme="minorHAnsi"/>
          <w:spacing w:val="-2"/>
          <w:lang w:val="en-GB"/>
        </w:rPr>
        <w:softHyphen/>
      </w:r>
      <w:r w:rsidRPr="00814A92">
        <w:rPr>
          <w:rFonts w:cstheme="minorHAnsi"/>
          <w:spacing w:val="-2"/>
          <w:lang w:val="en-GB"/>
        </w:rPr>
        <w:softHyphen/>
      </w:r>
      <w:r w:rsidRPr="00814A92">
        <w:rPr>
          <w:rFonts w:cstheme="minorHAnsi"/>
          <w:spacing w:val="-2"/>
          <w:lang w:val="en-GB"/>
        </w:rPr>
        <w:softHyphen/>
      </w:r>
      <w:r w:rsidRPr="00814A92">
        <w:rPr>
          <w:rFonts w:cstheme="minorHAnsi"/>
          <w:spacing w:val="-2"/>
          <w:lang w:val="en-GB"/>
        </w:rPr>
        <w:softHyphen/>
        <w:t>____________________ ,</w:t>
      </w:r>
    </w:p>
    <w:p w14:paraId="176328B8" w14:textId="77777777" w:rsidR="00F729CD" w:rsidRPr="00814A92" w:rsidRDefault="00000000">
      <w:pPr>
        <w:tabs>
          <w:tab w:val="left" w:pos="851"/>
        </w:tabs>
        <w:snapToGrid w:val="0"/>
        <w:ind w:right="-1"/>
        <w:jc w:val="both"/>
        <w:rPr>
          <w:rFonts w:cstheme="minorHAnsi"/>
          <w:i/>
          <w:iCs/>
          <w:spacing w:val="-2"/>
          <w:sz w:val="20"/>
          <w:szCs w:val="20"/>
          <w:lang w:val="en-GB"/>
        </w:rPr>
      </w:pPr>
      <w:r w:rsidRPr="00814A92">
        <w:rPr>
          <w:rFonts w:cstheme="minorHAnsi"/>
          <w:spacing w:val="-2"/>
          <w:lang w:val="en-GB"/>
        </w:rPr>
        <w:tab/>
      </w:r>
      <w:r w:rsidRPr="00814A92">
        <w:rPr>
          <w:rFonts w:cstheme="minorHAnsi"/>
          <w:spacing w:val="-2"/>
          <w:lang w:val="en-GB"/>
        </w:rPr>
        <w:tab/>
      </w:r>
      <w:r w:rsidRPr="00814A92">
        <w:rPr>
          <w:rFonts w:cstheme="minorHAnsi"/>
          <w:spacing w:val="-2"/>
          <w:sz w:val="20"/>
          <w:szCs w:val="20"/>
          <w:lang w:val="en-GB"/>
        </w:rPr>
        <w:t xml:space="preserve">                 </w:t>
      </w:r>
      <w:r w:rsidRPr="00814A92">
        <w:rPr>
          <w:rFonts w:cstheme="minorHAnsi"/>
          <w:i/>
          <w:iCs/>
          <w:spacing w:val="-2"/>
          <w:sz w:val="20"/>
          <w:szCs w:val="20"/>
          <w:lang w:val="en-GB"/>
        </w:rPr>
        <w:t>(</w:t>
      </w:r>
      <w:r w:rsidRPr="00814A92">
        <w:rPr>
          <w:i/>
          <w:iCs/>
          <w:spacing w:val="-2"/>
          <w:sz w:val="20"/>
          <w:szCs w:val="20"/>
          <w:lang w:val="en-GB"/>
        </w:rPr>
        <w:t>Position, name and surname of the supplier’s head or authorised person</w:t>
      </w:r>
      <w:r w:rsidRPr="00814A92">
        <w:rPr>
          <w:rFonts w:cstheme="minorHAnsi"/>
          <w:i/>
          <w:iCs/>
          <w:spacing w:val="-2"/>
          <w:sz w:val="20"/>
          <w:szCs w:val="20"/>
          <w:lang w:val="en-GB"/>
        </w:rPr>
        <w:t>)</w:t>
      </w:r>
    </w:p>
    <w:p w14:paraId="521DDA28" w14:textId="77777777" w:rsidR="00F729CD" w:rsidRPr="00814A92" w:rsidRDefault="00F729CD">
      <w:pPr>
        <w:snapToGrid w:val="0"/>
        <w:spacing w:after="0" w:line="240" w:lineRule="auto"/>
        <w:jc w:val="both"/>
        <w:rPr>
          <w:rFonts w:cstheme="minorHAnsi"/>
          <w:spacing w:val="-2"/>
          <w:lang w:val="en-GB"/>
        </w:rPr>
      </w:pPr>
    </w:p>
    <w:p w14:paraId="5E471D07" w14:textId="161A6188" w:rsidR="00F729CD" w:rsidRPr="00814A92" w:rsidRDefault="00000000">
      <w:pPr>
        <w:snapToGrid w:val="0"/>
        <w:spacing w:after="0" w:line="240" w:lineRule="auto"/>
        <w:jc w:val="both"/>
        <w:rPr>
          <w:rFonts w:cstheme="minorHAnsi"/>
          <w:spacing w:val="-2"/>
          <w:lang w:val="en-GB"/>
        </w:rPr>
      </w:pPr>
      <w:r w:rsidRPr="00814A92">
        <w:rPr>
          <w:spacing w:val="-2"/>
          <w:lang w:val="en-GB"/>
        </w:rPr>
        <w:t>certify that</w:t>
      </w:r>
      <w:r w:rsidRPr="00814A92">
        <w:rPr>
          <w:rFonts w:cstheme="minorHAnsi"/>
          <w:spacing w:val="-2"/>
          <w:lang w:val="en-GB"/>
        </w:rPr>
        <w:t>_______________________________________________ ,</w:t>
      </w:r>
      <w:r w:rsidR="00814A92">
        <w:rPr>
          <w:rFonts w:cstheme="minorHAnsi"/>
          <w:spacing w:val="-2"/>
          <w:lang w:val="en-GB"/>
        </w:rPr>
        <w:t xml:space="preserve"> </w:t>
      </w:r>
      <w:r w:rsidRPr="00814A92">
        <w:rPr>
          <w:spacing w:val="-2"/>
          <w:lang w:val="en-GB"/>
        </w:rPr>
        <w:t>under my authority (my representative),</w:t>
      </w:r>
    </w:p>
    <w:p w14:paraId="69316FFB" w14:textId="77777777" w:rsidR="00F729CD" w:rsidRPr="00814A92" w:rsidRDefault="00000000">
      <w:pPr>
        <w:snapToGrid w:val="0"/>
        <w:spacing w:after="0" w:line="240" w:lineRule="auto"/>
        <w:jc w:val="both"/>
        <w:rPr>
          <w:rFonts w:cstheme="minorHAnsi"/>
          <w:i/>
          <w:iCs/>
          <w:spacing w:val="-2"/>
          <w:sz w:val="20"/>
          <w:szCs w:val="20"/>
          <w:lang w:val="en-GB"/>
        </w:rPr>
      </w:pPr>
      <w:r w:rsidRPr="00814A92">
        <w:rPr>
          <w:rFonts w:cstheme="minorHAnsi"/>
          <w:spacing w:val="-2"/>
          <w:sz w:val="20"/>
          <w:szCs w:val="20"/>
          <w:lang w:val="en-GB"/>
        </w:rPr>
        <w:t xml:space="preserve">                                      </w:t>
      </w:r>
      <w:r w:rsidRPr="00814A92">
        <w:rPr>
          <w:rFonts w:cstheme="minorHAnsi"/>
          <w:i/>
          <w:iCs/>
          <w:spacing w:val="-2"/>
          <w:sz w:val="20"/>
          <w:szCs w:val="20"/>
          <w:lang w:val="en-GB"/>
        </w:rPr>
        <w:t>(</w:t>
      </w:r>
      <w:r w:rsidRPr="00814A92">
        <w:rPr>
          <w:i/>
          <w:iCs/>
          <w:spacing w:val="-2"/>
          <w:sz w:val="20"/>
          <w:szCs w:val="20"/>
          <w:lang w:val="en-GB"/>
        </w:rPr>
        <w:t>Name of supplier</w:t>
      </w:r>
      <w:r w:rsidRPr="00814A92">
        <w:rPr>
          <w:rFonts w:cstheme="minorHAnsi"/>
          <w:i/>
          <w:iCs/>
          <w:spacing w:val="-2"/>
          <w:sz w:val="20"/>
          <w:szCs w:val="20"/>
          <w:lang w:val="en-GB"/>
        </w:rPr>
        <w:t>)</w:t>
      </w:r>
    </w:p>
    <w:p w14:paraId="28A1D33E" w14:textId="77777777" w:rsidR="00F729CD" w:rsidRPr="00814A92" w:rsidRDefault="00F729CD">
      <w:pPr>
        <w:snapToGrid w:val="0"/>
        <w:ind w:right="-1"/>
        <w:jc w:val="both"/>
        <w:rPr>
          <w:rFonts w:cstheme="minorHAnsi"/>
          <w:spacing w:val="-2"/>
          <w:lang w:val="en-GB"/>
        </w:rPr>
      </w:pPr>
    </w:p>
    <w:p w14:paraId="6331A9F1" w14:textId="77777777" w:rsidR="00F729CD" w:rsidRPr="00814A92" w:rsidRDefault="00000000">
      <w:pPr>
        <w:snapToGrid w:val="0"/>
        <w:spacing w:after="0" w:line="240" w:lineRule="auto"/>
        <w:jc w:val="both"/>
        <w:rPr>
          <w:rFonts w:cstheme="minorHAnsi"/>
          <w:spacing w:val="-2"/>
          <w:sz w:val="24"/>
          <w:szCs w:val="24"/>
          <w:lang w:val="en-GB"/>
        </w:rPr>
      </w:pPr>
      <w:r w:rsidRPr="00814A92">
        <w:rPr>
          <w:spacing w:val="-2"/>
          <w:lang w:val="en-GB"/>
        </w:rPr>
        <w:t xml:space="preserve">who is participating in </w:t>
      </w:r>
      <w:r w:rsidRPr="00814A92">
        <w:rPr>
          <w:rFonts w:cstheme="minorHAnsi"/>
          <w:spacing w:val="-2"/>
          <w:lang w:val="en-GB"/>
        </w:rPr>
        <w:t>______________________________________________________________________________</w:t>
      </w:r>
    </w:p>
    <w:p w14:paraId="03517A24" w14:textId="77777777" w:rsidR="00F729CD" w:rsidRPr="00814A92" w:rsidRDefault="00000000">
      <w:pPr>
        <w:snapToGrid w:val="0"/>
        <w:spacing w:after="0" w:line="240" w:lineRule="auto"/>
        <w:ind w:firstLine="1296"/>
        <w:jc w:val="center"/>
        <w:rPr>
          <w:rFonts w:cstheme="minorHAnsi"/>
          <w:i/>
          <w:iCs/>
          <w:spacing w:val="-2"/>
          <w:sz w:val="20"/>
          <w:szCs w:val="20"/>
          <w:lang w:val="en-GB"/>
        </w:rPr>
      </w:pPr>
      <w:r w:rsidRPr="00814A92">
        <w:rPr>
          <w:rFonts w:cstheme="minorHAnsi"/>
          <w:i/>
          <w:iCs/>
          <w:spacing w:val="-2"/>
          <w:sz w:val="20"/>
          <w:szCs w:val="20"/>
          <w:lang w:val="en-GB"/>
        </w:rPr>
        <w:t>(N</w:t>
      </w:r>
      <w:r w:rsidRPr="00814A92">
        <w:rPr>
          <w:i/>
          <w:iCs/>
          <w:spacing w:val="-2"/>
          <w:sz w:val="20"/>
          <w:szCs w:val="20"/>
          <w:lang w:val="en-GB"/>
        </w:rPr>
        <w:t>ame of the Contracting Authority</w:t>
      </w:r>
      <w:r w:rsidRPr="00814A92">
        <w:rPr>
          <w:rFonts w:cstheme="minorHAnsi"/>
          <w:i/>
          <w:iCs/>
          <w:spacing w:val="-2"/>
          <w:sz w:val="20"/>
          <w:szCs w:val="20"/>
          <w:lang w:val="en-GB"/>
        </w:rPr>
        <w:t>)</w:t>
      </w:r>
    </w:p>
    <w:p w14:paraId="67C766A8" w14:textId="77777777" w:rsidR="00F729CD" w:rsidRPr="00814A92" w:rsidRDefault="00F729CD">
      <w:pPr>
        <w:snapToGrid w:val="0"/>
        <w:ind w:right="-1"/>
        <w:jc w:val="both"/>
        <w:rPr>
          <w:rFonts w:cstheme="minorHAnsi"/>
          <w:spacing w:val="-2"/>
          <w:lang w:val="en-GB"/>
        </w:rPr>
      </w:pPr>
    </w:p>
    <w:p w14:paraId="67BA21FC" w14:textId="77777777" w:rsidR="00F729CD" w:rsidRPr="00814A92" w:rsidRDefault="00000000">
      <w:pPr>
        <w:snapToGrid w:val="0"/>
        <w:spacing w:after="0" w:line="240" w:lineRule="auto"/>
        <w:jc w:val="both"/>
        <w:rPr>
          <w:rFonts w:cstheme="minorHAnsi"/>
          <w:spacing w:val="-2"/>
          <w:sz w:val="24"/>
          <w:szCs w:val="24"/>
          <w:lang w:val="en-GB"/>
        </w:rPr>
      </w:pPr>
      <w:r w:rsidRPr="00814A92">
        <w:rPr>
          <w:spacing w:val="-2"/>
          <w:lang w:val="en-GB"/>
        </w:rPr>
        <w:t>published by</w:t>
      </w:r>
      <w:r w:rsidRPr="00814A92">
        <w:rPr>
          <w:rFonts w:cstheme="minorHAnsi"/>
          <w:spacing w:val="-2"/>
          <w:lang w:val="en-GB"/>
        </w:rPr>
        <w:t>___________________________________________________________________________________</w:t>
      </w:r>
    </w:p>
    <w:p w14:paraId="6AB6A10D" w14:textId="77777777" w:rsidR="00F729CD" w:rsidRPr="00814A92" w:rsidRDefault="00000000">
      <w:pPr>
        <w:snapToGrid w:val="0"/>
        <w:spacing w:after="0" w:line="240" w:lineRule="auto"/>
        <w:ind w:left="1296" w:firstLine="1296"/>
        <w:jc w:val="both"/>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the procurement object, procurement number)</w:t>
      </w:r>
    </w:p>
    <w:p w14:paraId="7B4D6E20" w14:textId="77777777" w:rsidR="00F729CD" w:rsidRPr="00814A92" w:rsidRDefault="00F729CD">
      <w:pPr>
        <w:snapToGrid w:val="0"/>
        <w:ind w:right="-1"/>
        <w:jc w:val="both"/>
        <w:rPr>
          <w:rFonts w:cstheme="minorHAnsi"/>
          <w:spacing w:val="-2"/>
          <w:lang w:val="en-GB"/>
        </w:rPr>
      </w:pPr>
    </w:p>
    <w:p w14:paraId="6486ABDF" w14:textId="77777777" w:rsidR="00F729CD" w:rsidRPr="00814A92" w:rsidRDefault="00000000">
      <w:pPr>
        <w:snapToGrid w:val="0"/>
        <w:spacing w:after="0" w:line="240" w:lineRule="auto"/>
        <w:jc w:val="both"/>
        <w:rPr>
          <w:rFonts w:cstheme="minorHAnsi"/>
          <w:spacing w:val="-2"/>
          <w:lang w:val="en-GB"/>
        </w:rPr>
      </w:pPr>
      <w:r w:rsidRPr="00814A92">
        <w:rPr>
          <w:spacing w:val="-2"/>
          <w:lang w:val="en-GB"/>
        </w:rPr>
        <w:t xml:space="preserve">on </w:t>
      </w:r>
      <w:r w:rsidRPr="00814A92">
        <w:rPr>
          <w:rFonts w:cstheme="minorHAnsi"/>
          <w:spacing w:val="-2"/>
          <w:lang w:val="en-GB"/>
        </w:rPr>
        <w:t>_____________________________________________________________________________________ ,</w:t>
      </w:r>
    </w:p>
    <w:p w14:paraId="1D7C79BB" w14:textId="77777777" w:rsidR="00F729CD" w:rsidRPr="00814A92" w:rsidRDefault="00000000">
      <w:pPr>
        <w:snapToGrid w:val="0"/>
        <w:spacing w:after="0" w:line="240" w:lineRule="auto"/>
        <w:jc w:val="center"/>
        <w:rPr>
          <w:rFonts w:cstheme="minorHAnsi"/>
          <w:i/>
          <w:iCs/>
          <w:spacing w:val="-2"/>
          <w:sz w:val="20"/>
          <w:szCs w:val="20"/>
          <w:lang w:val="en-GB"/>
        </w:rPr>
      </w:pPr>
      <w:r w:rsidRPr="00814A92">
        <w:rPr>
          <w:rFonts w:cstheme="minorHAnsi"/>
          <w:i/>
          <w:iCs/>
          <w:spacing w:val="-2"/>
          <w:sz w:val="20"/>
          <w:szCs w:val="20"/>
          <w:lang w:val="en-GB"/>
        </w:rPr>
        <w:t xml:space="preserve">        (</w:t>
      </w:r>
      <w:r w:rsidRPr="00814A92">
        <w:rPr>
          <w:i/>
          <w:iCs/>
          <w:spacing w:val="-2"/>
          <w:sz w:val="20"/>
          <w:szCs w:val="20"/>
          <w:lang w:val="en-GB"/>
        </w:rPr>
        <w:t>Date of publication</w:t>
      </w:r>
      <w:r w:rsidRPr="00814A92">
        <w:rPr>
          <w:rFonts w:cstheme="minorHAnsi"/>
          <w:i/>
          <w:iCs/>
          <w:spacing w:val="-2"/>
          <w:sz w:val="20"/>
          <w:szCs w:val="20"/>
          <w:lang w:val="en-GB"/>
        </w:rPr>
        <w:t xml:space="preserve">) </w:t>
      </w:r>
    </w:p>
    <w:p w14:paraId="4B56CE1B" w14:textId="77777777" w:rsidR="00F729CD" w:rsidRPr="00814A92" w:rsidRDefault="00F729CD">
      <w:pPr>
        <w:jc w:val="both"/>
        <w:rPr>
          <w:rFonts w:cstheme="minorHAnsi"/>
          <w:sz w:val="24"/>
          <w:szCs w:val="24"/>
          <w:lang w:val="en-GB"/>
        </w:rPr>
      </w:pPr>
    </w:p>
    <w:p w14:paraId="5C2DAD1C" w14:textId="12B4BA52" w:rsidR="00F729CD" w:rsidRPr="00814A92" w:rsidRDefault="00000000">
      <w:pPr>
        <w:jc w:val="both"/>
        <w:rPr>
          <w:rFonts w:cstheme="minorHAnsi"/>
          <w:sz w:val="20"/>
          <w:szCs w:val="20"/>
          <w:lang w:val="en-GB"/>
        </w:rPr>
      </w:pPr>
      <w:r w:rsidRPr="00814A92">
        <w:rPr>
          <w:sz w:val="20"/>
          <w:szCs w:val="20"/>
          <w:lang w:val="en-GB"/>
        </w:rPr>
        <w:t xml:space="preserve">is not under the influence of Russia, as referred to in the </w:t>
      </w:r>
      <w:r w:rsidRPr="00814A92">
        <w:rPr>
          <w:b/>
          <w:bCs/>
          <w:sz w:val="20"/>
          <w:szCs w:val="20"/>
          <w:lang w:val="en-GB"/>
        </w:rPr>
        <w:t>restrictions set out in Article 5k of Council Regulation (EU) 2022/576 of 8 April 2022 amending Regulation (EU) No 833/2014 concerning restrictive measures in view of the actions of Russia to destabilise the situation in Ukraine.</w:t>
      </w:r>
      <w:r w:rsidRPr="00814A92">
        <w:rPr>
          <w:rFonts w:cstheme="minorHAnsi"/>
          <w:sz w:val="20"/>
          <w:szCs w:val="20"/>
          <w:lang w:val="en-GB"/>
        </w:rPr>
        <w:t xml:space="preserve"> </w:t>
      </w:r>
      <w:r w:rsidR="00814A92" w:rsidRPr="00814A92">
        <w:rPr>
          <w:sz w:val="20"/>
          <w:szCs w:val="20"/>
          <w:lang w:val="en-GB"/>
        </w:rPr>
        <w:t>First</w:t>
      </w:r>
      <w:r w:rsidRPr="00814A92">
        <w:rPr>
          <w:sz w:val="20"/>
          <w:szCs w:val="20"/>
          <w:lang w:val="en-GB"/>
        </w:rPr>
        <w:t>, I declare that:</w:t>
      </w:r>
    </w:p>
    <w:p w14:paraId="5F56FA10"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(a) </w:t>
      </w:r>
      <w:r w:rsidRPr="00814A92">
        <w:rPr>
          <w:sz w:val="20"/>
          <w:szCs w:val="20"/>
          <w:lang w:val="en-GB"/>
        </w:rPr>
        <w:t>the company I represent (and none of the companies that are members of our consortium) is based in Russia;</w:t>
      </w:r>
    </w:p>
    <w:p w14:paraId="26C4316C" w14:textId="77777777" w:rsidR="00F729CD" w:rsidRPr="00814A92" w:rsidRDefault="00000000">
      <w:pPr>
        <w:jc w:val="both"/>
        <w:rPr>
          <w:rFonts w:cstheme="minorHAnsi"/>
          <w:sz w:val="20"/>
          <w:szCs w:val="20"/>
          <w:lang w:val="en-GB"/>
        </w:rPr>
      </w:pPr>
      <w:r w:rsidRPr="00814A92">
        <w:rPr>
          <w:rFonts w:cstheme="minorHAnsi"/>
          <w:sz w:val="20"/>
          <w:szCs w:val="20"/>
          <w:lang w:val="en-GB"/>
        </w:rPr>
        <w:lastRenderedPageBreak/>
        <w:t xml:space="preserve">(b) </w:t>
      </w:r>
      <w:r w:rsidRPr="00814A92">
        <w:rPr>
          <w:sz w:val="20"/>
          <w:szCs w:val="20"/>
          <w:lang w:val="en-GB"/>
        </w:rPr>
        <w:t>the company I represent (and none of the companies that are members of our consortium) is a legal person, entity or body in which more than 50 % of the ownership is held, directly or indirectly, by an entity referred to in clause a) of this declaration;</w:t>
      </w:r>
      <w:r w:rsidRPr="00814A92">
        <w:rPr>
          <w:rFonts w:cstheme="minorHAnsi"/>
          <w:sz w:val="20"/>
          <w:szCs w:val="20"/>
          <w:lang w:val="en-GB"/>
        </w:rPr>
        <w:t xml:space="preserve"> </w:t>
      </w:r>
    </w:p>
    <w:p w14:paraId="4FA8CE81" w14:textId="77777777" w:rsidR="00F729CD" w:rsidRPr="00814A92" w:rsidRDefault="00000000">
      <w:pPr>
        <w:jc w:val="both"/>
        <w:rPr>
          <w:rFonts w:cstheme="minorHAnsi"/>
          <w:sz w:val="20"/>
          <w:szCs w:val="20"/>
          <w:shd w:val="clear" w:color="auto" w:fill="FFFFFF"/>
          <w:lang w:val="en-GB"/>
        </w:rPr>
      </w:pPr>
      <w:r w:rsidRPr="00814A92">
        <w:rPr>
          <w:rFonts w:cstheme="minorHAnsi"/>
          <w:sz w:val="20"/>
          <w:szCs w:val="20"/>
          <w:lang w:val="en-GB"/>
        </w:rPr>
        <w:t xml:space="preserve">(c) </w:t>
      </w:r>
      <w:r w:rsidRPr="00814A92">
        <w:rPr>
          <w:sz w:val="20"/>
          <w:szCs w:val="20"/>
          <w:lang w:val="en-GB"/>
        </w:rPr>
        <w:t>neither I nor the company I represent is a natural or legal person, entity or body acting on behalf of or at the direction of the entity referred to in clauses a) or b) of this declaration;</w:t>
      </w:r>
    </w:p>
    <w:p w14:paraId="1A0715A4"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d) </w:t>
      </w:r>
      <w:r w:rsidRPr="00814A92">
        <w:rPr>
          <w:sz w:val="20"/>
          <w:szCs w:val="20"/>
          <w:lang w:val="en-GB"/>
        </w:rPr>
        <w:t xml:space="preserve">the contract will not be awarded to subcontractor(s) or other entity(ies) whose capacities are relied on, which are covered by the entities referred to in clauses a) or b) or c) of this declaration.    </w:t>
      </w:r>
    </w:p>
    <w:p w14:paraId="1CD5E1D6" w14:textId="77777777" w:rsidR="00F729CD" w:rsidRPr="00814A92" w:rsidRDefault="00F729CD">
      <w:pPr>
        <w:pStyle w:val="Antrat2"/>
        <w:ind w:left="5103"/>
        <w:rPr>
          <w:rFonts w:cstheme="minorHAnsi"/>
          <w:b/>
          <w:bCs/>
          <w:smallCaps/>
          <w:sz w:val="22"/>
          <w:szCs w:val="22"/>
          <w:lang w:val="en-GB"/>
        </w:rPr>
      </w:pPr>
    </w:p>
    <w:p w14:paraId="54459D7E" w14:textId="77777777" w:rsidR="00F729CD" w:rsidRPr="00814A92" w:rsidRDefault="00F729CD">
      <w:pPr>
        <w:rPr>
          <w:lang w:val="en-GB"/>
        </w:rPr>
      </w:pPr>
    </w:p>
    <w:p w14:paraId="0DB7C0F2" w14:textId="77777777" w:rsidR="00F729CD" w:rsidRPr="00814A92" w:rsidRDefault="00F729CD">
      <w:pPr>
        <w:rPr>
          <w:lang w:val="en-GB"/>
        </w:rPr>
      </w:pPr>
    </w:p>
    <w:p w14:paraId="5D71B30B" w14:textId="77777777" w:rsidR="00F729CD" w:rsidRPr="00814A92" w:rsidRDefault="00F729CD">
      <w:pPr>
        <w:rPr>
          <w:lang w:val="en-GB"/>
        </w:rPr>
      </w:pPr>
    </w:p>
    <w:p w14:paraId="6DEE9080" w14:textId="77777777" w:rsidR="00F729CD" w:rsidRPr="00814A92" w:rsidRDefault="00F729CD">
      <w:pPr>
        <w:rPr>
          <w:lang w:val="en-GB"/>
        </w:rPr>
      </w:pPr>
    </w:p>
    <w:p w14:paraId="742A60BA" w14:textId="77777777" w:rsidR="00F729CD" w:rsidRPr="00814A92" w:rsidRDefault="00F729CD">
      <w:pPr>
        <w:rPr>
          <w:lang w:val="en-GB"/>
        </w:rPr>
      </w:pPr>
    </w:p>
    <w:p w14:paraId="18CDC4DF" w14:textId="77777777" w:rsidR="00F729CD" w:rsidRPr="00814A92" w:rsidRDefault="00F729CD">
      <w:pPr>
        <w:rPr>
          <w:lang w:val="en-GB"/>
        </w:rPr>
      </w:pPr>
    </w:p>
    <w:p w14:paraId="290657E2" w14:textId="77777777" w:rsidR="00F729CD" w:rsidRPr="00814A92" w:rsidRDefault="00F729CD">
      <w:pPr>
        <w:rPr>
          <w:lang w:val="en-GB"/>
        </w:rPr>
      </w:pPr>
    </w:p>
    <w:p w14:paraId="73664DC5" w14:textId="77777777" w:rsidR="00F729CD" w:rsidRPr="00814A92" w:rsidRDefault="00F729CD">
      <w:pPr>
        <w:rPr>
          <w:lang w:val="en-GB"/>
        </w:rPr>
      </w:pPr>
    </w:p>
    <w:p w14:paraId="36C26226" w14:textId="77777777" w:rsidR="00F729CD" w:rsidRPr="00814A92" w:rsidRDefault="00F729CD">
      <w:pPr>
        <w:rPr>
          <w:lang w:val="en-GB"/>
        </w:rPr>
      </w:pPr>
    </w:p>
    <w:p w14:paraId="5A3C0EB7" w14:textId="77777777" w:rsidR="00F729CD" w:rsidRPr="00814A92" w:rsidRDefault="00F729CD">
      <w:pPr>
        <w:rPr>
          <w:lang w:val="en-GB"/>
        </w:rPr>
      </w:pPr>
    </w:p>
    <w:p w14:paraId="4D0D6430" w14:textId="77777777" w:rsidR="00F729CD" w:rsidRPr="00814A92" w:rsidRDefault="00F729CD">
      <w:pPr>
        <w:rPr>
          <w:lang w:val="en-GB"/>
        </w:rPr>
      </w:pPr>
    </w:p>
    <w:p w14:paraId="15C959E2" w14:textId="77777777" w:rsidR="00F729CD" w:rsidRPr="00814A92" w:rsidRDefault="00F729CD">
      <w:pPr>
        <w:rPr>
          <w:lang w:val="en-GB"/>
        </w:rPr>
      </w:pPr>
    </w:p>
    <w:p w14:paraId="688A01C6" w14:textId="77777777" w:rsidR="00F729CD" w:rsidRPr="00814A92" w:rsidRDefault="00F729CD">
      <w:pPr>
        <w:rPr>
          <w:lang w:val="en-GB"/>
        </w:rPr>
      </w:pPr>
    </w:p>
    <w:p w14:paraId="1172FE7F" w14:textId="77777777" w:rsidR="00F729CD" w:rsidRPr="00814A92" w:rsidRDefault="00F729CD">
      <w:pPr>
        <w:rPr>
          <w:lang w:val="en-GB"/>
        </w:rPr>
      </w:pPr>
    </w:p>
    <w:p w14:paraId="039A0164" w14:textId="77777777" w:rsidR="00F729CD" w:rsidRPr="00814A92" w:rsidRDefault="00F729CD">
      <w:pPr>
        <w:rPr>
          <w:lang w:val="en-GB"/>
        </w:rPr>
      </w:pPr>
    </w:p>
    <w:p w14:paraId="46341618" w14:textId="77777777" w:rsidR="00F729CD" w:rsidRPr="00814A92" w:rsidRDefault="00F729CD">
      <w:pPr>
        <w:rPr>
          <w:lang w:val="en-GB"/>
        </w:rPr>
      </w:pPr>
    </w:p>
    <w:p w14:paraId="57407C78" w14:textId="77777777" w:rsidR="00F729CD" w:rsidRPr="00814A92" w:rsidRDefault="00F729CD">
      <w:pPr>
        <w:rPr>
          <w:lang w:val="en-GB"/>
        </w:rPr>
      </w:pPr>
    </w:p>
    <w:p w14:paraId="5FF3FB0E" w14:textId="77777777" w:rsidR="00F729CD" w:rsidRPr="00814A92" w:rsidRDefault="00F729CD">
      <w:pPr>
        <w:rPr>
          <w:lang w:val="en-GB"/>
        </w:rPr>
      </w:pPr>
    </w:p>
    <w:p w14:paraId="2DF344C5" w14:textId="77777777" w:rsidR="00F729CD" w:rsidRPr="00814A92" w:rsidRDefault="00F729CD">
      <w:pPr>
        <w:rPr>
          <w:lang w:val="en-GB"/>
        </w:rPr>
      </w:pPr>
    </w:p>
    <w:p w14:paraId="68A1F6A1" w14:textId="77777777" w:rsidR="00F729CD" w:rsidRPr="00814A92" w:rsidRDefault="00F729CD">
      <w:pPr>
        <w:rPr>
          <w:lang w:val="en-GB"/>
        </w:rPr>
      </w:pPr>
    </w:p>
    <w:p w14:paraId="287F801E" w14:textId="77777777" w:rsidR="00F729CD" w:rsidRPr="00814A92" w:rsidRDefault="00000000">
      <w:pPr>
        <w:pStyle w:val="Antrat2"/>
        <w:ind w:left="5103"/>
        <w:rPr>
          <w:sz w:val="20"/>
          <w:szCs w:val="20"/>
          <w:lang w:val="en-GB"/>
        </w:rPr>
      </w:pPr>
      <w:bookmarkStart w:id="48" w:name="_Toc18446"/>
      <w:r w:rsidRPr="00814A92">
        <w:rPr>
          <w:rFonts w:asciiTheme="minorHAnsi" w:hAnsiTheme="minorHAnsi"/>
          <w:color w:val="0070C0"/>
          <w:sz w:val="21"/>
          <w:szCs w:val="21"/>
          <w:lang w:val="en-GB"/>
        </w:rPr>
        <w:lastRenderedPageBreak/>
        <w:t>Annex 12 “Supplier declaration of compliance with the provisions of the Regulation for natural persons” to the Procurement Conditions</w:t>
      </w:r>
      <w:bookmarkEnd w:id="48"/>
    </w:p>
    <w:p w14:paraId="3E62BB84" w14:textId="77777777" w:rsidR="00F729CD" w:rsidRPr="00814A92" w:rsidRDefault="00F729CD">
      <w:pPr>
        <w:rPr>
          <w:lang w:val="en-GB"/>
        </w:rPr>
      </w:pPr>
    </w:p>
    <w:p w14:paraId="6CC08EC4" w14:textId="77777777" w:rsidR="00F729CD" w:rsidRPr="00814A92" w:rsidRDefault="00000000">
      <w:pPr>
        <w:jc w:val="center"/>
        <w:rPr>
          <w:rFonts w:cstheme="minorHAnsi"/>
          <w:sz w:val="20"/>
          <w:szCs w:val="20"/>
          <w:lang w:val="en-GB"/>
        </w:rPr>
      </w:pPr>
      <w:r w:rsidRPr="00814A92">
        <w:rPr>
          <w:rFonts w:cstheme="minorHAnsi"/>
          <w:sz w:val="20"/>
          <w:szCs w:val="20"/>
          <w:lang w:val="en-GB"/>
        </w:rPr>
        <w:t>(</w:t>
      </w:r>
      <w:r w:rsidRPr="00814A92">
        <w:rPr>
          <w:sz w:val="20"/>
          <w:szCs w:val="20"/>
          <w:lang w:val="en-GB"/>
        </w:rPr>
        <w:t>Name of supplier</w:t>
      </w:r>
      <w:r w:rsidRPr="00814A92">
        <w:rPr>
          <w:rFonts w:cstheme="minorHAnsi"/>
          <w:sz w:val="20"/>
          <w:szCs w:val="20"/>
          <w:lang w:val="en-GB"/>
        </w:rPr>
        <w:t>)</w:t>
      </w:r>
    </w:p>
    <w:p w14:paraId="3231F0E9" w14:textId="77777777" w:rsidR="00F729CD" w:rsidRPr="00814A92" w:rsidRDefault="00000000">
      <w:pPr>
        <w:jc w:val="both"/>
        <w:rPr>
          <w:rFonts w:cstheme="minorHAnsi"/>
          <w:sz w:val="20"/>
          <w:szCs w:val="20"/>
          <w:lang w:val="en-GB"/>
        </w:rPr>
      </w:pPr>
      <w:r w:rsidRPr="00814A92">
        <w:rPr>
          <w:rFonts w:cstheme="minorHAnsi"/>
          <w:sz w:val="20"/>
          <w:szCs w:val="20"/>
          <w:lang w:val="en-GB"/>
        </w:rPr>
        <w:t>(</w:t>
      </w:r>
      <w:r w:rsidRPr="00814A92">
        <w:rPr>
          <w:sz w:val="20"/>
          <w:szCs w:val="20"/>
          <w:lang w:val="en-GB"/>
        </w:rPr>
        <w:t>Name, surname, contact details of the natural person, name of the register in which the supplier’s data are collected and stored</w:t>
      </w:r>
      <w:r w:rsidRPr="00814A92">
        <w:rPr>
          <w:rFonts w:cstheme="minorHAnsi"/>
          <w:sz w:val="20"/>
          <w:szCs w:val="20"/>
          <w:lang w:val="en-GB"/>
        </w:rPr>
        <w:t>)</w:t>
      </w:r>
    </w:p>
    <w:p w14:paraId="40F3F04A" w14:textId="77777777" w:rsidR="00F729CD" w:rsidRPr="00814A92" w:rsidRDefault="00F729CD">
      <w:pPr>
        <w:jc w:val="both"/>
        <w:rPr>
          <w:rFonts w:cstheme="minorHAnsi"/>
          <w:sz w:val="20"/>
          <w:szCs w:val="20"/>
          <w:lang w:val="en-GB"/>
        </w:rPr>
      </w:pPr>
    </w:p>
    <w:p w14:paraId="695611F5" w14:textId="77777777" w:rsidR="00F729CD" w:rsidRPr="00814A92" w:rsidRDefault="00000000">
      <w:pPr>
        <w:spacing w:after="0" w:line="240" w:lineRule="auto"/>
        <w:jc w:val="center"/>
        <w:rPr>
          <w:rFonts w:cstheme="minorHAnsi"/>
          <w:sz w:val="24"/>
          <w:szCs w:val="24"/>
          <w:lang w:val="en-GB"/>
        </w:rPr>
      </w:pPr>
      <w:r w:rsidRPr="00814A92">
        <w:rPr>
          <w:rFonts w:cstheme="minorHAnsi"/>
          <w:lang w:val="en-GB"/>
        </w:rPr>
        <w:t>__________________________</w:t>
      </w:r>
    </w:p>
    <w:p w14:paraId="25FBE45C" w14:textId="5FB1787B" w:rsidR="00F729CD" w:rsidRPr="00814A92" w:rsidRDefault="00000000">
      <w:pPr>
        <w:tabs>
          <w:tab w:val="center" w:pos="2520"/>
        </w:tabs>
        <w:spacing w:after="0" w:line="240" w:lineRule="auto"/>
        <w:jc w:val="center"/>
        <w:rPr>
          <w:rFonts w:cstheme="minorHAnsi"/>
          <w:i/>
          <w:iCs/>
          <w:sz w:val="20"/>
          <w:szCs w:val="20"/>
          <w:lang w:val="en-GB"/>
        </w:rPr>
      </w:pPr>
      <w:r w:rsidRPr="00814A92">
        <w:rPr>
          <w:rFonts w:cstheme="minorHAnsi"/>
          <w:i/>
          <w:iCs/>
          <w:sz w:val="20"/>
          <w:szCs w:val="20"/>
          <w:lang w:val="en-GB"/>
        </w:rPr>
        <w:t>(</w:t>
      </w:r>
      <w:r w:rsidR="00814A92" w:rsidRPr="00814A92">
        <w:rPr>
          <w:rFonts w:cstheme="minorHAnsi"/>
          <w:i/>
          <w:iCs/>
          <w:sz w:val="20"/>
          <w:szCs w:val="20"/>
          <w:lang w:val="en-GB"/>
        </w:rPr>
        <w:t>Addressee (Contracting Authority)</w:t>
      </w:r>
      <w:r w:rsidRPr="00814A92">
        <w:rPr>
          <w:rFonts w:cstheme="minorHAnsi"/>
          <w:i/>
          <w:iCs/>
          <w:sz w:val="20"/>
          <w:szCs w:val="20"/>
          <w:lang w:val="en-GB"/>
        </w:rPr>
        <w:t>)</w:t>
      </w:r>
    </w:p>
    <w:p w14:paraId="4B7456AB" w14:textId="77777777" w:rsidR="00F729CD" w:rsidRPr="00814A92" w:rsidRDefault="00F729CD">
      <w:pPr>
        <w:jc w:val="center"/>
        <w:rPr>
          <w:rFonts w:cstheme="minorHAnsi"/>
          <w:b/>
          <w:sz w:val="24"/>
          <w:szCs w:val="24"/>
          <w:lang w:val="en-GB"/>
        </w:rPr>
      </w:pPr>
    </w:p>
    <w:p w14:paraId="492DAF45" w14:textId="77777777" w:rsidR="00F729CD" w:rsidRPr="00814A92" w:rsidRDefault="00000000">
      <w:pPr>
        <w:autoSpaceDE w:val="0"/>
        <w:autoSpaceDN w:val="0"/>
        <w:adjustRightInd w:val="0"/>
        <w:jc w:val="center"/>
        <w:rPr>
          <w:rFonts w:cstheme="minorHAnsi"/>
          <w:lang w:val="en-GB"/>
        </w:rPr>
      </w:pPr>
      <w:r w:rsidRPr="00814A92">
        <w:rPr>
          <w:b/>
          <w:bCs/>
          <w:lang w:val="en-GB"/>
        </w:rPr>
        <w:t>SUPPLIER DECLARATION</w:t>
      </w:r>
    </w:p>
    <w:p w14:paraId="78A9B90A" w14:textId="77777777" w:rsidR="00F729CD" w:rsidRPr="00814A92" w:rsidRDefault="00000000">
      <w:pPr>
        <w:shd w:val="clear" w:color="auto" w:fill="FFFFFF"/>
        <w:spacing w:after="0" w:line="240" w:lineRule="auto"/>
        <w:jc w:val="center"/>
        <w:rPr>
          <w:rFonts w:cstheme="minorHAnsi"/>
          <w:b/>
          <w:bCs/>
          <w:lang w:val="en-GB"/>
        </w:rPr>
      </w:pPr>
      <w:r w:rsidRPr="00814A92">
        <w:rPr>
          <w:rFonts w:cstheme="minorHAnsi"/>
          <w:lang w:val="en-GB"/>
        </w:rPr>
        <w:t>_____________</w:t>
      </w:r>
      <w:r w:rsidRPr="00814A92">
        <w:rPr>
          <w:rFonts w:cstheme="minorHAnsi"/>
          <w:b/>
          <w:bCs/>
          <w:lang w:val="en-GB"/>
        </w:rPr>
        <w:t xml:space="preserve"> </w:t>
      </w:r>
      <w:r w:rsidRPr="00814A92">
        <w:rPr>
          <w:rFonts w:cstheme="minorHAnsi"/>
          <w:lang w:val="en-GB"/>
        </w:rPr>
        <w:t>No.______</w:t>
      </w:r>
    </w:p>
    <w:p w14:paraId="222C9FB5" w14:textId="77777777" w:rsidR="00F729CD" w:rsidRPr="00814A92" w:rsidRDefault="00000000">
      <w:pPr>
        <w:shd w:val="clear" w:color="auto" w:fill="FFFFFF"/>
        <w:spacing w:after="0" w:line="240" w:lineRule="auto"/>
        <w:ind w:firstLine="3969"/>
        <w:rPr>
          <w:rFonts w:cstheme="minorHAnsi"/>
          <w:bCs/>
          <w:i/>
          <w:iCs/>
          <w:color w:val="000000"/>
          <w:sz w:val="20"/>
          <w:szCs w:val="20"/>
          <w:lang w:val="en-GB"/>
        </w:rPr>
      </w:pPr>
      <w:r w:rsidRPr="00814A92">
        <w:rPr>
          <w:rFonts w:cstheme="minorHAnsi"/>
          <w:bCs/>
          <w:i/>
          <w:iCs/>
          <w:color w:val="000000"/>
          <w:sz w:val="20"/>
          <w:szCs w:val="20"/>
          <w:lang w:val="en-GB"/>
        </w:rPr>
        <w:t xml:space="preserve">           (Date)</w:t>
      </w:r>
    </w:p>
    <w:p w14:paraId="24F7ABF6" w14:textId="77777777" w:rsidR="00F729CD" w:rsidRPr="00814A92" w:rsidRDefault="00F729CD">
      <w:pPr>
        <w:shd w:val="clear" w:color="auto" w:fill="FFFFFF"/>
        <w:spacing w:after="0" w:line="240" w:lineRule="auto"/>
        <w:ind w:firstLine="3969"/>
        <w:rPr>
          <w:rFonts w:cstheme="minorHAnsi"/>
          <w:bCs/>
          <w:color w:val="000000"/>
          <w:sz w:val="20"/>
          <w:szCs w:val="20"/>
          <w:lang w:val="en-GB"/>
        </w:rPr>
      </w:pPr>
    </w:p>
    <w:p w14:paraId="4C8CC19A" w14:textId="77777777" w:rsidR="00F729CD" w:rsidRPr="00814A92" w:rsidRDefault="00000000">
      <w:pPr>
        <w:shd w:val="clear" w:color="auto" w:fill="FFFFFF"/>
        <w:spacing w:after="0" w:line="240" w:lineRule="auto"/>
        <w:jc w:val="center"/>
        <w:rPr>
          <w:rFonts w:cstheme="minorHAnsi"/>
          <w:bCs/>
          <w:color w:val="000000"/>
          <w:sz w:val="24"/>
          <w:szCs w:val="24"/>
          <w:lang w:val="en-GB"/>
        </w:rPr>
      </w:pPr>
      <w:r w:rsidRPr="00814A92">
        <w:rPr>
          <w:rFonts w:cstheme="minorHAnsi"/>
          <w:bCs/>
          <w:color w:val="000000"/>
          <w:lang w:val="en-GB"/>
        </w:rPr>
        <w:t>_____________</w:t>
      </w:r>
    </w:p>
    <w:p w14:paraId="4EEC047D" w14:textId="77777777" w:rsidR="00F729CD" w:rsidRPr="00814A92" w:rsidRDefault="00000000">
      <w:pPr>
        <w:shd w:val="clear" w:color="auto" w:fill="FFFFFF"/>
        <w:spacing w:after="0" w:line="240" w:lineRule="auto"/>
        <w:jc w:val="center"/>
        <w:rPr>
          <w:rFonts w:cstheme="minorHAnsi"/>
          <w:bCs/>
          <w:i/>
          <w:iCs/>
          <w:color w:val="000000"/>
          <w:sz w:val="20"/>
          <w:szCs w:val="20"/>
          <w:lang w:val="en-GB"/>
        </w:rPr>
      </w:pPr>
      <w:r w:rsidRPr="00814A92">
        <w:rPr>
          <w:rFonts w:cstheme="minorHAnsi"/>
          <w:bCs/>
          <w:i/>
          <w:iCs/>
          <w:color w:val="000000"/>
          <w:sz w:val="20"/>
          <w:szCs w:val="20"/>
          <w:lang w:val="en-GB"/>
        </w:rPr>
        <w:t>(</w:t>
      </w:r>
      <w:r w:rsidRPr="00814A92">
        <w:rPr>
          <w:bCs/>
          <w:i/>
          <w:iCs/>
          <w:color w:val="000000"/>
          <w:sz w:val="20"/>
          <w:szCs w:val="20"/>
          <w:lang w:val="en-GB"/>
        </w:rPr>
        <w:t>Place of conclusion</w:t>
      </w:r>
      <w:r w:rsidRPr="00814A92">
        <w:rPr>
          <w:rFonts w:cstheme="minorHAnsi"/>
          <w:bCs/>
          <w:i/>
          <w:iCs/>
          <w:color w:val="000000"/>
          <w:sz w:val="20"/>
          <w:szCs w:val="20"/>
          <w:lang w:val="en-GB"/>
        </w:rPr>
        <w:t>)</w:t>
      </w:r>
    </w:p>
    <w:p w14:paraId="4F751D8E" w14:textId="77777777" w:rsidR="00F729CD" w:rsidRPr="00814A92" w:rsidRDefault="00F729CD">
      <w:pPr>
        <w:shd w:val="clear" w:color="auto" w:fill="FFFFFF"/>
        <w:jc w:val="center"/>
        <w:rPr>
          <w:rFonts w:cstheme="minorHAnsi"/>
          <w:bCs/>
          <w:color w:val="000000"/>
          <w:sz w:val="20"/>
          <w:szCs w:val="20"/>
          <w:lang w:val="en-GB"/>
        </w:rPr>
      </w:pPr>
    </w:p>
    <w:p w14:paraId="5AFBAAE0" w14:textId="77777777" w:rsidR="00F729CD" w:rsidRPr="00814A92" w:rsidRDefault="00000000">
      <w:pPr>
        <w:tabs>
          <w:tab w:val="left" w:pos="851"/>
        </w:tabs>
        <w:snapToGrid w:val="0"/>
        <w:spacing w:after="0" w:line="240" w:lineRule="auto"/>
        <w:ind w:right="-1"/>
        <w:jc w:val="both"/>
        <w:rPr>
          <w:rFonts w:cstheme="minorHAnsi"/>
          <w:spacing w:val="-2"/>
          <w:lang w:val="en-GB"/>
        </w:rPr>
      </w:pPr>
      <w:r w:rsidRPr="00814A92">
        <w:rPr>
          <w:rFonts w:cstheme="minorHAnsi"/>
          <w:spacing w:val="-2"/>
          <w:lang w:val="en-GB"/>
        </w:rPr>
        <w:t>I, ____________________________________________________________________________________________ ,</w:t>
      </w:r>
    </w:p>
    <w:p w14:paraId="03D7287F" w14:textId="77777777" w:rsidR="00F729CD" w:rsidRPr="00814A92" w:rsidRDefault="00000000">
      <w:pPr>
        <w:tabs>
          <w:tab w:val="left" w:pos="851"/>
        </w:tabs>
        <w:snapToGrid w:val="0"/>
        <w:ind w:right="-1"/>
        <w:jc w:val="center"/>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supplier</w:t>
      </w:r>
      <w:r w:rsidRPr="00814A92">
        <w:rPr>
          <w:rFonts w:cstheme="minorHAnsi"/>
          <w:i/>
          <w:iCs/>
          <w:spacing w:val="-2"/>
          <w:sz w:val="20"/>
          <w:szCs w:val="20"/>
          <w:lang w:val="en-GB"/>
        </w:rPr>
        <w:t>)</w:t>
      </w:r>
    </w:p>
    <w:p w14:paraId="703950CC" w14:textId="77777777" w:rsidR="00F729CD" w:rsidRPr="00814A92" w:rsidRDefault="00000000">
      <w:pPr>
        <w:snapToGrid w:val="0"/>
        <w:spacing w:after="0" w:line="240" w:lineRule="auto"/>
        <w:rPr>
          <w:rFonts w:cstheme="minorHAnsi"/>
          <w:spacing w:val="-2"/>
          <w:lang w:val="en-GB"/>
        </w:rPr>
      </w:pPr>
      <w:r w:rsidRPr="00814A92">
        <w:rPr>
          <w:spacing w:val="-2"/>
          <w:lang w:val="en-GB"/>
        </w:rPr>
        <w:t>certify that by participating in</w:t>
      </w:r>
      <w:r w:rsidRPr="00814A92">
        <w:rPr>
          <w:rFonts w:cstheme="minorHAnsi"/>
          <w:spacing w:val="-2"/>
          <w:lang w:val="en-GB"/>
        </w:rPr>
        <w:t>_____________________________________________________________________</w:t>
      </w:r>
    </w:p>
    <w:p w14:paraId="61DD98F2" w14:textId="77777777" w:rsidR="00F729CD" w:rsidRPr="00814A92" w:rsidRDefault="00000000">
      <w:pPr>
        <w:snapToGrid w:val="0"/>
        <w:spacing w:after="0" w:line="240" w:lineRule="auto"/>
        <w:ind w:firstLine="1296"/>
        <w:jc w:val="center"/>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the Contracting Authority</w:t>
      </w:r>
      <w:r w:rsidRPr="00814A92">
        <w:rPr>
          <w:rFonts w:cstheme="minorHAnsi"/>
          <w:i/>
          <w:iCs/>
          <w:spacing w:val="-2"/>
          <w:sz w:val="20"/>
          <w:szCs w:val="20"/>
          <w:lang w:val="en-GB"/>
        </w:rPr>
        <w:t>)</w:t>
      </w:r>
    </w:p>
    <w:p w14:paraId="0D41590E" w14:textId="77777777" w:rsidR="00F729CD" w:rsidRPr="00814A92" w:rsidRDefault="00F729CD">
      <w:pPr>
        <w:snapToGrid w:val="0"/>
        <w:ind w:right="-1"/>
        <w:jc w:val="both"/>
        <w:rPr>
          <w:rFonts w:cstheme="minorHAnsi"/>
          <w:spacing w:val="-2"/>
          <w:lang w:val="en-GB"/>
        </w:rPr>
      </w:pPr>
    </w:p>
    <w:p w14:paraId="1F021919" w14:textId="77777777" w:rsidR="00F729CD" w:rsidRPr="00814A92" w:rsidRDefault="00000000">
      <w:pPr>
        <w:snapToGrid w:val="0"/>
        <w:spacing w:after="0" w:line="240" w:lineRule="auto"/>
        <w:jc w:val="both"/>
        <w:rPr>
          <w:rFonts w:cstheme="minorHAnsi"/>
          <w:spacing w:val="-2"/>
          <w:sz w:val="24"/>
          <w:szCs w:val="24"/>
          <w:lang w:val="en-GB"/>
        </w:rPr>
      </w:pPr>
      <w:r w:rsidRPr="00814A92">
        <w:rPr>
          <w:spacing w:val="-2"/>
          <w:lang w:val="en-GB"/>
        </w:rPr>
        <w:t>of</w:t>
      </w:r>
      <w:r w:rsidRPr="00814A92">
        <w:rPr>
          <w:rFonts w:cstheme="minorHAnsi"/>
          <w:spacing w:val="-2"/>
          <w:lang w:val="en-GB"/>
        </w:rPr>
        <w:t xml:space="preserve"> ___________________________________________________________________________________</w:t>
      </w:r>
    </w:p>
    <w:p w14:paraId="2E899199" w14:textId="77777777" w:rsidR="00F729CD" w:rsidRPr="00814A92" w:rsidRDefault="00000000">
      <w:pPr>
        <w:snapToGrid w:val="0"/>
        <w:spacing w:after="0" w:line="240" w:lineRule="auto"/>
        <w:ind w:left="1296" w:firstLine="1296"/>
        <w:jc w:val="both"/>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the procurement object, procurement number</w:t>
      </w:r>
      <w:r w:rsidRPr="00814A92">
        <w:rPr>
          <w:rFonts w:cstheme="minorHAnsi"/>
          <w:i/>
          <w:iCs/>
          <w:spacing w:val="-2"/>
          <w:sz w:val="20"/>
          <w:szCs w:val="20"/>
          <w:lang w:val="en-GB"/>
        </w:rPr>
        <w:t>)</w:t>
      </w:r>
    </w:p>
    <w:p w14:paraId="6EA3794A" w14:textId="77777777" w:rsidR="00F729CD" w:rsidRPr="00814A92" w:rsidRDefault="00F729CD">
      <w:pPr>
        <w:snapToGrid w:val="0"/>
        <w:ind w:right="-1"/>
        <w:jc w:val="both"/>
        <w:rPr>
          <w:rFonts w:cstheme="minorHAnsi"/>
          <w:spacing w:val="-2"/>
          <w:lang w:val="en-GB"/>
        </w:rPr>
      </w:pPr>
    </w:p>
    <w:p w14:paraId="1070FC81" w14:textId="77777777" w:rsidR="00F729CD" w:rsidRPr="00814A92" w:rsidRDefault="00000000">
      <w:pPr>
        <w:snapToGrid w:val="0"/>
        <w:spacing w:after="0" w:line="240" w:lineRule="auto"/>
        <w:jc w:val="both"/>
        <w:rPr>
          <w:rFonts w:cstheme="minorHAnsi"/>
          <w:spacing w:val="-2"/>
          <w:lang w:val="en-GB"/>
        </w:rPr>
      </w:pPr>
      <w:r w:rsidRPr="00814A92">
        <w:rPr>
          <w:spacing w:val="-2"/>
          <w:lang w:val="en-GB"/>
        </w:rPr>
        <w:t>published by</w:t>
      </w:r>
      <w:r w:rsidRPr="00814A92">
        <w:rPr>
          <w:rFonts w:cstheme="minorHAnsi"/>
          <w:spacing w:val="-2"/>
          <w:lang w:val="en-GB"/>
        </w:rPr>
        <w:t xml:space="preserve"> _____________________________________________________________________________________ ,</w:t>
      </w:r>
    </w:p>
    <w:p w14:paraId="599394A3" w14:textId="77777777" w:rsidR="00F729CD" w:rsidRPr="00814A92" w:rsidRDefault="00000000">
      <w:pPr>
        <w:snapToGrid w:val="0"/>
        <w:spacing w:after="0" w:line="240" w:lineRule="auto"/>
        <w:jc w:val="center"/>
        <w:rPr>
          <w:rFonts w:cstheme="minorHAnsi"/>
          <w:i/>
          <w:iCs/>
          <w:spacing w:val="-2"/>
          <w:sz w:val="20"/>
          <w:szCs w:val="20"/>
          <w:lang w:val="en-GB"/>
        </w:rPr>
      </w:pPr>
      <w:r w:rsidRPr="00814A92">
        <w:rPr>
          <w:rFonts w:cstheme="minorHAnsi"/>
          <w:i/>
          <w:iCs/>
          <w:spacing w:val="-2"/>
          <w:sz w:val="20"/>
          <w:szCs w:val="20"/>
          <w:lang w:val="en-GB"/>
        </w:rPr>
        <w:t xml:space="preserve">        (</w:t>
      </w:r>
      <w:r w:rsidRPr="00814A92">
        <w:rPr>
          <w:i/>
          <w:iCs/>
          <w:spacing w:val="-2"/>
          <w:sz w:val="20"/>
          <w:szCs w:val="20"/>
          <w:lang w:val="en-GB"/>
        </w:rPr>
        <w:t>Date of publication</w:t>
      </w:r>
      <w:r w:rsidRPr="00814A92">
        <w:rPr>
          <w:rFonts w:cstheme="minorHAnsi"/>
          <w:i/>
          <w:iCs/>
          <w:spacing w:val="-2"/>
          <w:sz w:val="20"/>
          <w:szCs w:val="20"/>
          <w:lang w:val="en-GB"/>
        </w:rPr>
        <w:t>)</w:t>
      </w:r>
    </w:p>
    <w:p w14:paraId="0DBA1EC3" w14:textId="77777777" w:rsidR="00F729CD" w:rsidRPr="00814A92" w:rsidRDefault="00F729CD">
      <w:pPr>
        <w:jc w:val="both"/>
        <w:rPr>
          <w:rFonts w:cstheme="minorHAnsi"/>
          <w:sz w:val="24"/>
          <w:szCs w:val="24"/>
          <w:lang w:val="en-GB"/>
        </w:rPr>
      </w:pPr>
    </w:p>
    <w:p w14:paraId="383AE7BF" w14:textId="77777777" w:rsidR="00F729CD" w:rsidRPr="00814A92" w:rsidRDefault="00000000">
      <w:pPr>
        <w:jc w:val="both"/>
        <w:rPr>
          <w:rFonts w:cstheme="minorHAnsi"/>
          <w:sz w:val="20"/>
          <w:szCs w:val="20"/>
          <w:lang w:val="en-GB"/>
        </w:rPr>
      </w:pPr>
      <w:r w:rsidRPr="00814A92">
        <w:rPr>
          <w:sz w:val="20"/>
          <w:szCs w:val="20"/>
          <w:lang w:val="en-GB"/>
        </w:rPr>
        <w:t xml:space="preserve">am not under the influence of Russia, as referred to in the </w:t>
      </w:r>
      <w:r w:rsidRPr="00814A92">
        <w:rPr>
          <w:b/>
          <w:bCs/>
          <w:sz w:val="20"/>
          <w:szCs w:val="20"/>
          <w:lang w:val="en-GB"/>
        </w:rPr>
        <w:t>restrictions set out in Article 5k of Council Regulation (EU) 2022/576 of 8 April 2022 amending Regulation (EU) No 833/2014 concerning restrictive measures in view of the actions of Russia to destabilise the situation in Ukraine.</w:t>
      </w:r>
      <w:r w:rsidRPr="00814A92">
        <w:rPr>
          <w:rFonts w:cstheme="minorHAnsi"/>
          <w:sz w:val="20"/>
          <w:szCs w:val="20"/>
          <w:lang w:val="en-GB"/>
        </w:rPr>
        <w:t xml:space="preserve"> </w:t>
      </w:r>
      <w:r w:rsidRPr="00814A92">
        <w:rPr>
          <w:sz w:val="20"/>
          <w:szCs w:val="20"/>
          <w:lang w:val="en-GB"/>
        </w:rPr>
        <w:t>First of all, I declare that:</w:t>
      </w:r>
    </w:p>
    <w:p w14:paraId="46D95A1C"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(a) </w:t>
      </w:r>
      <w:r w:rsidRPr="00814A92">
        <w:rPr>
          <w:sz w:val="20"/>
          <w:szCs w:val="20"/>
          <w:lang w:val="en-GB"/>
        </w:rPr>
        <w:t>I am not a citizen of Russia or based in Russia</w:t>
      </w:r>
      <w:r w:rsidRPr="00814A92">
        <w:rPr>
          <w:rFonts w:cstheme="minorHAnsi"/>
          <w:sz w:val="20"/>
          <w:szCs w:val="20"/>
          <w:lang w:val="en-GB"/>
        </w:rPr>
        <w:t>;</w:t>
      </w:r>
    </w:p>
    <w:p w14:paraId="1B62C834"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(b) </w:t>
      </w:r>
      <w:r w:rsidRPr="00814A92">
        <w:rPr>
          <w:sz w:val="20"/>
          <w:szCs w:val="20"/>
          <w:lang w:val="en-GB"/>
        </w:rPr>
        <w:t>I am not acting for or on behalf of the entity referred to in clause a) of this declaration</w:t>
      </w:r>
      <w:r w:rsidRPr="00814A92">
        <w:rPr>
          <w:rFonts w:cstheme="minorHAnsi"/>
          <w:sz w:val="20"/>
          <w:szCs w:val="20"/>
          <w:shd w:val="clear" w:color="auto" w:fill="FFFFFF"/>
          <w:lang w:val="en-GB"/>
        </w:rPr>
        <w:t>;</w:t>
      </w:r>
    </w:p>
    <w:p w14:paraId="37A7392D"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d) </w:t>
      </w:r>
      <w:r w:rsidRPr="00814A92">
        <w:rPr>
          <w:sz w:val="20"/>
          <w:szCs w:val="20"/>
          <w:lang w:val="en-GB"/>
        </w:rPr>
        <w:t xml:space="preserve">the contract will not be awarded to subcontractor(s) or other entity(ies) whose capacities are relied on, which are among the entities referred to in clauses a) or b) of this declaration. </w:t>
      </w:r>
    </w:p>
    <w:sectPr w:rsidR="00F729CD" w:rsidRPr="00814A92">
      <w:footerReference w:type="first" r:id="rId1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803CB" w14:textId="77777777" w:rsidR="008B5853" w:rsidRDefault="008B5853">
      <w:pPr>
        <w:spacing w:line="240" w:lineRule="auto"/>
      </w:pPr>
      <w:r>
        <w:separator/>
      </w:r>
    </w:p>
  </w:endnote>
  <w:endnote w:type="continuationSeparator" w:id="0">
    <w:p w14:paraId="0E616A84" w14:textId="77777777" w:rsidR="008B5853" w:rsidRDefault="008B5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sdtPr>
    <w:sdtContent>
      <w:p w14:paraId="43553E11" w14:textId="77777777" w:rsidR="00F729CD" w:rsidRDefault="00000000">
        <w:pPr>
          <w:pStyle w:val="Porat"/>
          <w:jc w:val="right"/>
        </w:pPr>
        <w:r>
          <w:fldChar w:fldCharType="begin"/>
        </w:r>
        <w:r>
          <w:instrText xml:space="preserve"> PAGE   \* MERGEFORMAT </w:instrText>
        </w:r>
        <w:r>
          <w:fldChar w:fldCharType="separate"/>
        </w:r>
        <w:r>
          <w:t>2</w:t>
        </w:r>
        <w:r>
          <w:fldChar w:fldCharType="end"/>
        </w:r>
      </w:p>
    </w:sdtContent>
  </w:sdt>
  <w:p w14:paraId="383AE02D" w14:textId="77777777" w:rsidR="00F729CD" w:rsidRDefault="00F729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754B" w14:textId="77777777" w:rsidR="00F729CD" w:rsidRDefault="00F729CD">
    <w:pPr>
      <w:pStyle w:val="Porat"/>
      <w:jc w:val="right"/>
    </w:pPr>
  </w:p>
  <w:p w14:paraId="25E977A5" w14:textId="77777777" w:rsidR="00F729CD" w:rsidRDefault="00F729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6197D" w14:textId="77777777" w:rsidR="00F729CD" w:rsidRDefault="00000000">
    <w:pPr>
      <w:pStyle w:val="Porat"/>
      <w:jc w:val="right"/>
    </w:pPr>
    <w:r>
      <w:fldChar w:fldCharType="begin"/>
    </w:r>
    <w:r>
      <w:instrText xml:space="preserve"> PAGE   \* MERGEFORMAT </w:instrText>
    </w:r>
    <w:r>
      <w:fldChar w:fldCharType="separate"/>
    </w:r>
    <w:r>
      <w:t>2</w:t>
    </w:r>
    <w:r>
      <w:fldChar w:fldCharType="end"/>
    </w:r>
  </w:p>
  <w:p w14:paraId="609CBC3B" w14:textId="77777777" w:rsidR="00F729CD" w:rsidRDefault="00F729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ABDE9" w14:textId="77777777" w:rsidR="008B5853" w:rsidRDefault="008B5853">
      <w:pPr>
        <w:spacing w:after="0"/>
      </w:pPr>
      <w:r>
        <w:separator/>
      </w:r>
    </w:p>
  </w:footnote>
  <w:footnote w:type="continuationSeparator" w:id="0">
    <w:p w14:paraId="182E8FB4" w14:textId="77777777" w:rsidR="008B5853" w:rsidRDefault="008B5853">
      <w:pPr>
        <w:spacing w:after="0"/>
      </w:pPr>
      <w:r>
        <w:continuationSeparator/>
      </w:r>
    </w:p>
  </w:footnote>
  <w:footnote w:id="1">
    <w:p w14:paraId="76D0298D" w14:textId="77777777" w:rsidR="00F729CD" w:rsidRDefault="00000000">
      <w:pPr>
        <w:pStyle w:val="Puslapioinaostekstas"/>
        <w:jc w:val="both"/>
        <w:rPr>
          <w:bCs/>
        </w:rPr>
      </w:pPr>
      <w:r>
        <w:rPr>
          <w:rStyle w:val="Puslapioinaosnuoroda"/>
        </w:rPr>
        <w:footnoteRef/>
      </w:r>
      <w:r>
        <w:t xml:space="preserve"> </w:t>
      </w:r>
      <w:r>
        <w:rPr>
          <w:bCs/>
        </w:rPr>
        <w:t>The Contracting Authority does not require the documents referred to when:</w:t>
      </w:r>
    </w:p>
    <w:p w14:paraId="2AD70574" w14:textId="77777777" w:rsidR="00F729CD" w:rsidRDefault="00000000">
      <w:pPr>
        <w:pStyle w:val="Puslapioinaostekstas"/>
        <w:jc w:val="both"/>
        <w:rPr>
          <w:bCs/>
        </w:rPr>
      </w:pPr>
      <w:r>
        <w:rPr>
          <w:bCs/>
        </w:rPr>
        <w:t>1) the Contracting Authority has access to these documents or information directly and free of charge through a national database in any Member State or through the Central Public Procurement Information System;</w:t>
      </w:r>
    </w:p>
    <w:p w14:paraId="15F90E08" w14:textId="77777777" w:rsidR="00F729CD" w:rsidRDefault="00000000">
      <w:pPr>
        <w:pStyle w:val="Puslapioinaostekstas"/>
        <w:jc w:val="both"/>
        <w:rPr>
          <w:bCs/>
        </w:rPr>
      </w:pPr>
      <w:r>
        <w:rPr>
          <w:bCs/>
        </w:rPr>
        <w:t>2) the Contracting Authority already has these documents from previous procurement procedures.</w:t>
      </w:r>
    </w:p>
    <w:p w14:paraId="0E9C090C" w14:textId="77777777" w:rsidR="00F729CD" w:rsidRDefault="00000000">
      <w:pPr>
        <w:pStyle w:val="Puslapioinaostekstas"/>
        <w:jc w:val="both"/>
        <w:rPr>
          <w:bCs/>
        </w:rPr>
      </w:pPr>
      <w:r>
        <w:rPr>
          <w:bCs/>
        </w:rPr>
        <w:t xml:space="preserve">    The Contracting Authority may also waive the requirement for the specified documents if it can establish the conformity of the tender with the requirements from other sources.</w:t>
      </w:r>
    </w:p>
  </w:footnote>
  <w:footnote w:id="2">
    <w:p w14:paraId="1313D76C"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In the case of a signature by a person other than the supplier’s head, a power of attorney or other document authorising the signature of the declaration must be provided.</w:t>
      </w:r>
    </w:p>
  </w:footnote>
  <w:footnote w:id="3">
    <w:p w14:paraId="7B3BF757"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The declaration of conformity shall be submitted with the tender.</w:t>
      </w:r>
    </w:p>
  </w:footnote>
  <w:footnote w:id="4">
    <w:p w14:paraId="468CABC8"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Controlling person - the owner of a sole proprietorship, or a legal or natural person who owns another legal entity:</w:t>
      </w:r>
    </w:p>
    <w:p w14:paraId="1DA6F625"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1) </w:t>
      </w:r>
      <w:r>
        <w:rPr>
          <w:rFonts w:ascii="Tahoma" w:hAnsi="Tahoma"/>
          <w:sz w:val="16"/>
          <w:szCs w:val="16"/>
        </w:rPr>
        <w:t>directly or indirectly owns more than 50 per cent of the shares, stocks, interests, contributions and/or votes at a meeting of the legal entity’s participants; or</w:t>
      </w:r>
    </w:p>
    <w:p w14:paraId="293D9ECB"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2) </w:t>
      </w:r>
      <w:r>
        <w:rPr>
          <w:rFonts w:ascii="Tahoma" w:hAnsi="Tahoma"/>
          <w:sz w:val="16"/>
          <w:szCs w:val="16"/>
        </w:rPr>
        <w:t>together with related persons, owns more than 50 per cent of the shares, stocks, interests, contributions and/or votes in the meeting of participants of the legal person and whose shares, stocks, interests, contributions and/or votes in the meeting of participants of the legal person is at least 10 per cent. A related person shall be deemed to be:</w:t>
      </w:r>
    </w:p>
    <w:p w14:paraId="3C0191CF"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a) </w:t>
      </w:r>
      <w:r>
        <w:rPr>
          <w:rFonts w:ascii="Tahoma" w:hAnsi="Tahoma"/>
          <w:sz w:val="16"/>
          <w:szCs w:val="16"/>
        </w:rPr>
        <w:t>in the case of legal persons, persons whose annual financial statements must be consolidated in accordance with the Law on Consolidated Financial Statements of Groups of Enterprises of the Republic of Lithuania, or persons whose annual financial statements must be consolidated in accordance with the legislation of other countries implementing the requirements of Directive 2013/34/EU;</w:t>
      </w:r>
    </w:p>
    <w:p w14:paraId="234397A7" w14:textId="77777777" w:rsidR="00F729CD" w:rsidRDefault="00000000">
      <w:pPr>
        <w:pStyle w:val="Puslapioinaostekstas"/>
        <w:spacing w:after="0"/>
        <w:jc w:val="both"/>
        <w:rPr>
          <w:i/>
          <w:sz w:val="16"/>
          <w:szCs w:val="16"/>
        </w:rPr>
      </w:pPr>
      <w:r>
        <w:rPr>
          <w:rFonts w:ascii="Tahoma" w:hAnsi="Tahoma" w:cs="Tahoma"/>
          <w:sz w:val="16"/>
          <w:szCs w:val="16"/>
        </w:rPr>
        <w:t xml:space="preserve">b) </w:t>
      </w:r>
      <w:r>
        <w:rPr>
          <w:rFonts w:ascii="Tahoma" w:hAnsi="Tahoma"/>
          <w:sz w:val="16"/>
          <w:szCs w:val="16"/>
        </w:rPr>
        <w:t xml:space="preserve">for natural persons: spouses, parents and their children (adopted children). </w:t>
      </w:r>
    </w:p>
  </w:footnote>
  <w:footnote w:id="5">
    <w:p w14:paraId="731DB942" w14:textId="77777777" w:rsidR="00F729CD" w:rsidRDefault="00000000">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sz w:val="18"/>
          <w:szCs w:val="18"/>
        </w:rPr>
        <w:t xml:space="preserve">In the case of a tender submitted by a group of suppliers, the declaration shall be signed by an authorised participant, who shall at the same time declare and undertake the obligations for all members of the group of suppliers. </w:t>
      </w:r>
      <w:r>
        <w:rPr>
          <w:rFonts w:ascii="Times New Roman" w:hAnsi="Times New Roman" w:cs="Times New Roman"/>
          <w:sz w:val="18"/>
          <w:szCs w:val="18"/>
        </w:rPr>
        <w:t xml:space="preserve">  </w:t>
      </w:r>
    </w:p>
  </w:footnote>
  <w:footnote w:id="6">
    <w:p w14:paraId="5658FFC7" w14:textId="77777777" w:rsidR="00F729CD" w:rsidRDefault="00000000">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w2fscibRf-4.pdf (lrv.lt); chrome-extension://efaidnbmnnnibpcajpcglclefindmkaj/https://vpt.lrv.lt/media/viesa/saugykla/2024/1/w2fscibRf-4.pdf</w:t>
      </w:r>
    </w:p>
    <w:p w14:paraId="2F59573A" w14:textId="77777777" w:rsidR="00F729CD" w:rsidRDefault="00F729CD">
      <w:pPr>
        <w:pStyle w:val="Puslapioinaostekstas"/>
        <w:rPr>
          <w:rFonts w:ascii="Times New Roman" w:hAnsi="Times New Roman" w:cs="Times New Roman"/>
        </w:rPr>
      </w:pPr>
    </w:p>
    <w:p w14:paraId="11740F0F" w14:textId="77777777" w:rsidR="00F729CD" w:rsidRDefault="00F729C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BEFD3" w14:textId="77777777" w:rsidR="00F729CD" w:rsidRDefault="00F729CD">
    <w:pPr>
      <w:pStyle w:val="Antrats"/>
      <w:jc w:val="right"/>
    </w:pPr>
  </w:p>
  <w:p w14:paraId="31FC43C6" w14:textId="77777777" w:rsidR="00F729CD" w:rsidRDefault="00F729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CDB"/>
    <w:multiLevelType w:val="multilevel"/>
    <w:tmpl w:val="021B7C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F374B7D"/>
    <w:multiLevelType w:val="multilevel"/>
    <w:tmpl w:val="1F374B7D"/>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076BD0"/>
    <w:multiLevelType w:val="multilevel"/>
    <w:tmpl w:val="45076BD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500809CB"/>
    <w:multiLevelType w:val="multilevel"/>
    <w:tmpl w:val="500809CB"/>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477258B"/>
    <w:multiLevelType w:val="multilevel"/>
    <w:tmpl w:val="5477258B"/>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9EB3B60"/>
    <w:multiLevelType w:val="multilevel"/>
    <w:tmpl w:val="69EB3B60"/>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9" w15:restartNumberingAfterBreak="0">
    <w:nsid w:val="6C3507D0"/>
    <w:multiLevelType w:val="multilevel"/>
    <w:tmpl w:val="6C3507D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46F1239"/>
    <w:multiLevelType w:val="multilevel"/>
    <w:tmpl w:val="746F1239"/>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5617809">
    <w:abstractNumId w:val="8"/>
  </w:num>
  <w:num w:numId="2" w16cid:durableId="394278126">
    <w:abstractNumId w:val="3"/>
  </w:num>
  <w:num w:numId="3" w16cid:durableId="700059943">
    <w:abstractNumId w:val="10"/>
  </w:num>
  <w:num w:numId="4" w16cid:durableId="1898975500">
    <w:abstractNumId w:val="6"/>
  </w:num>
  <w:num w:numId="5" w16cid:durableId="1803307869">
    <w:abstractNumId w:val="7"/>
  </w:num>
  <w:num w:numId="6" w16cid:durableId="1897159376">
    <w:abstractNumId w:val="1"/>
  </w:num>
  <w:num w:numId="7" w16cid:durableId="473110743">
    <w:abstractNumId w:val="5"/>
  </w:num>
  <w:num w:numId="8" w16cid:durableId="1948805079">
    <w:abstractNumId w:val="4"/>
  </w:num>
  <w:num w:numId="9" w16cid:durableId="1785223949">
    <w:abstractNumId w:val="11"/>
  </w:num>
  <w:num w:numId="10" w16cid:durableId="613706441">
    <w:abstractNumId w:val="9"/>
  </w:num>
  <w:num w:numId="11" w16cid:durableId="1245339977">
    <w:abstractNumId w:val="12"/>
  </w:num>
  <w:num w:numId="12" w16cid:durableId="1941335959">
    <w:abstractNumId w:val="0"/>
  </w:num>
  <w:num w:numId="13" w16cid:durableId="798112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F9"/>
    <w:rsid w:val="00292C06"/>
    <w:rsid w:val="00294B97"/>
    <w:rsid w:val="00294BE3"/>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65"/>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57B6"/>
    <w:rsid w:val="00415A4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1849"/>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1F"/>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3286"/>
    <w:rsid w:val="00553E2C"/>
    <w:rsid w:val="0055476C"/>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60B"/>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A3"/>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337"/>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AD"/>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92"/>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37E99"/>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57C"/>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853"/>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6EC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75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6D5"/>
    <w:rsid w:val="00A1780C"/>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C8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92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A4"/>
    <w:rsid w:val="00B5221E"/>
    <w:rsid w:val="00B522AC"/>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87A"/>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59F9"/>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3F19"/>
    <w:rsid w:val="00D65C16"/>
    <w:rsid w:val="00D6652F"/>
    <w:rsid w:val="00D6654D"/>
    <w:rsid w:val="00D66697"/>
    <w:rsid w:val="00D668C3"/>
    <w:rsid w:val="00D66A43"/>
    <w:rsid w:val="00D66F4C"/>
    <w:rsid w:val="00D67403"/>
    <w:rsid w:val="00D67710"/>
    <w:rsid w:val="00D67D52"/>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73C"/>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29CD"/>
    <w:rsid w:val="00F73B04"/>
    <w:rsid w:val="00F73B0D"/>
    <w:rsid w:val="00F75592"/>
    <w:rsid w:val="00F7599F"/>
    <w:rsid w:val="00F75FB4"/>
    <w:rsid w:val="00F7680D"/>
    <w:rsid w:val="00F76C42"/>
    <w:rsid w:val="00F76F83"/>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6C7"/>
    <w:rsid w:val="00F96714"/>
    <w:rsid w:val="00F96C7B"/>
    <w:rsid w:val="00FA0E33"/>
    <w:rsid w:val="00FA144D"/>
    <w:rsid w:val="00FA19B4"/>
    <w:rsid w:val="00FA263B"/>
    <w:rsid w:val="00FA36EB"/>
    <w:rsid w:val="00FA3CFF"/>
    <w:rsid w:val="00FA402F"/>
    <w:rsid w:val="00FA56CE"/>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CA"/>
    <w:rsid w:val="00FC0B89"/>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1E39BB"/>
    <w:rsid w:val="1E4C07C4"/>
    <w:rsid w:val="226A615D"/>
    <w:rsid w:val="23346773"/>
    <w:rsid w:val="23669F6D"/>
    <w:rsid w:val="24CE03D2"/>
    <w:rsid w:val="26112D16"/>
    <w:rsid w:val="26C0805F"/>
    <w:rsid w:val="26F6114B"/>
    <w:rsid w:val="284C8067"/>
    <w:rsid w:val="28C32E4B"/>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2F1379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4143D0"/>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734F"/>
  <w15:docId w15:val="{B844D379-74CE-454E-BAB3-B3895F9D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lang w:val="lt-LT" w:eastAsia="lt-LT"/>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iPriority w:val="99"/>
    <w:unhideWhenUsed/>
    <w:qFormat/>
    <w:pPr>
      <w:tabs>
        <w:tab w:val="center" w:pos="4513"/>
        <w:tab w:val="right" w:pos="9026"/>
      </w:tabs>
    </w:pPr>
  </w:style>
  <w:style w:type="character" w:styleId="Puslapioinaosnuoroda">
    <w:name w:val="footnote reference"/>
    <w:basedOn w:val="Numatytasispastraiposriftas"/>
    <w:link w:val="SUPERSCharCharCharCharCharCharCharChar"/>
    <w:uiPriority w:val="99"/>
    <w:unhideWhenUsed/>
    <w:qFormat/>
    <w:rPr>
      <w:vertAlign w:val="superscript"/>
    </w:rPr>
  </w:style>
  <w:style w:type="paragraph" w:customStyle="1" w:styleId="SUPERSCharCharCharCharCharCharCharChar">
    <w:name w:val="SUPERS Char Char Char Char Char Char Char Char"/>
    <w:basedOn w:val="prastasis"/>
    <w:link w:val="Puslapioinaosnuoroda"/>
    <w:uiPriority w:val="99"/>
    <w:qFormat/>
    <w:pPr>
      <w:spacing w:before="60" w:line="240" w:lineRule="exact"/>
      <w:jc w:val="both"/>
    </w:pPr>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basedOn w:val="Numatytasispastraiposriftas"/>
    <w:uiPriority w:val="99"/>
    <w:unhideWhenUsed/>
    <w:rPr>
      <w:color w:val="auto"/>
      <w:u w:val="none"/>
    </w:rPr>
  </w:style>
  <w:style w:type="paragraph" w:styleId="prastasiniatinklio">
    <w:name w:val="Normal (Web)"/>
    <w:basedOn w:val="prastasis"/>
    <w:uiPriority w:val="99"/>
    <w:semiHidden/>
    <w:unhideWhenUsed/>
    <w:qFormat/>
    <w:pPr>
      <w:spacing w:before="100" w:beforeAutospacing="1" w:after="100"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240"/>
    </w:pPr>
    <w:rPr>
      <w:caps/>
      <w:color w:val="404040" w:themeColor="text1" w:themeTint="BF"/>
      <w:spacing w:val="20"/>
      <w:sz w:val="28"/>
      <w:szCs w:val="28"/>
    </w:rPr>
  </w:style>
  <w:style w:type="table" w:styleId="Lentelstinklelis">
    <w:name w:val="Table Grid"/>
    <w:basedOn w:val="prastojilentel"/>
    <w:uiPriority w:val="39"/>
    <w:qFormat/>
    <w:rPr>
      <w:rFonts w:asci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pPr>
      <w:tabs>
        <w:tab w:val="right" w:leader="dot" w:pos="9962"/>
      </w:tabs>
      <w:spacing w:after="0"/>
      <w:ind w:left="220"/>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qFormat/>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99"/>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uiPriority w:val="99"/>
    <w:semiHidden/>
    <w:qFormat/>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Revision1">
    <w:name w:val="Revision1"/>
    <w:hidden/>
    <w:uiPriority w:val="99"/>
    <w:semiHidden/>
    <w:qFormat/>
    <w:rPr>
      <w:rFonts w:ascii="Times New Roman"/>
      <w:sz w:val="24"/>
      <w:szCs w:val="24"/>
      <w:lang w:val="lt-LT"/>
    </w:rPr>
  </w:style>
  <w:style w:type="character" w:customStyle="1" w:styleId="SubtleEmphasis1">
    <w:name w:val="Subtle Emphasi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lang w:val="lt-LT" w:eastAsia="lt-LT"/>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IntenseEmphasis1">
    <w:name w:val="Intense Emphasis1"/>
    <w:basedOn w:val="Numatytasispastraiposriftas"/>
    <w:uiPriority w:val="21"/>
    <w:qFormat/>
    <w:rPr>
      <w:b/>
      <w:bCs/>
      <w:i/>
      <w:iCs/>
      <w:color w:val="ED7D31" w:themeColor="accent2"/>
    </w:rPr>
  </w:style>
  <w:style w:type="character" w:customStyle="1" w:styleId="SubtleReference1">
    <w:name w:val="Subtle Reference1"/>
    <w:basedOn w:val="Numatytasispastraiposriftas"/>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Numatytasispastraiposriftas"/>
    <w:uiPriority w:val="32"/>
    <w:qFormat/>
    <w:rPr>
      <w:b/>
      <w:bCs/>
      <w:smallCaps/>
      <w:color w:val="auto"/>
      <w:spacing w:val="0"/>
      <w:u w:val="single"/>
    </w:rPr>
  </w:style>
  <w:style w:type="character" w:customStyle="1" w:styleId="BookTitle1">
    <w:name w:val="Book Title1"/>
    <w:basedOn w:val="Numatytasispastraiposriftas"/>
    <w:uiPriority w:val="33"/>
    <w:qFormat/>
    <w:rPr>
      <w:b/>
      <w:bCs/>
      <w:smallCaps/>
      <w:spacing w:val="0"/>
    </w:rPr>
  </w:style>
  <w:style w:type="paragraph" w:customStyle="1" w:styleId="TOCHeading1">
    <w:name w:val="TOC Heading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eastAsia="lt-LT"/>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f0">
    <w:name w:val="pf0"/>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Mention1">
    <w:name w:val="Mention1"/>
    <w:basedOn w:val="Numatytasispastraiposriftas"/>
    <w:uiPriority w:val="99"/>
    <w:unhideWhenUsed/>
    <w:qFormat/>
    <w:rPr>
      <w:color w:val="2B579A"/>
      <w:shd w:val="clear" w:color="auto" w:fill="E6E6E6"/>
    </w:rPr>
  </w:style>
  <w:style w:type="table" w:customStyle="1" w:styleId="3">
    <w:name w:val="3"/>
    <w:basedOn w:val="prastojilentel"/>
    <w:qFormat/>
    <w:rPr>
      <w:rFonts w:ascii="Calibri" w:eastAsia="Calibri" w:hAnsi="Calibri" w:cs="Calibri"/>
    </w:rPr>
    <w:tblPr>
      <w:tblCellMar>
        <w:left w:w="10" w:type="dxa"/>
        <w:right w:w="10" w:type="dxa"/>
      </w:tblCellMar>
    </w:tbl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style>
  <w:style w:type="character" w:customStyle="1" w:styleId="cf11">
    <w:name w:val="cf11"/>
    <w:basedOn w:val="Numatytasispastraiposriftas"/>
    <w:qFormat/>
    <w:rPr>
      <w:rFonts w:ascii="Segoe UI" w:hAnsi="Segoe UI" w:cs="Segoe UI" w:hint="default"/>
      <w:color w:val="0000FF"/>
      <w:sz w:val="18"/>
      <w:szCs w:val="18"/>
    </w:rPr>
  </w:style>
  <w:style w:type="character" w:customStyle="1" w:styleId="cf21">
    <w:name w:val="cf21"/>
    <w:basedOn w:val="Numatytasispastraiposriftas"/>
    <w:qFormat/>
    <w:rPr>
      <w:rFonts w:ascii="Segoe UI" w:hAnsi="Segoe UI" w:cs="Segoe UI" w:hint="default"/>
      <w:color w:val="538135"/>
      <w:sz w:val="18"/>
      <w:szCs w:val="18"/>
    </w:rPr>
  </w:style>
  <w:style w:type="table" w:customStyle="1" w:styleId="TableGrid1">
    <w:name w:val="Table Grid1"/>
    <w:basedOn w:val="prastojilentel"/>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kazenaite@vsat.vr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stasija.daubariene@vsat.vrm.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28506</Words>
  <Characters>16249</Characters>
  <Application>Microsoft Office Word</Application>
  <DocSecurity>0</DocSecurity>
  <Lines>135</Lines>
  <Paragraphs>89</Paragraphs>
  <ScaleCrop>false</ScaleCrop>
  <Company/>
  <LinksUpToDate>false</LinksUpToDate>
  <CharactersWithSpaces>44666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3</cp:revision>
  <dcterms:created xsi:type="dcterms:W3CDTF">2024-12-10T07:03:00Z</dcterms:created>
  <dcterms:modified xsi:type="dcterms:W3CDTF">2024-12-10T07:25:00Z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1033-12.2.0.18911</vt:lpwstr>
  </property>
  <property fmtid="{D5CDD505-2E9C-101B-9397-08002B2CF9AE}" pid="5" name="ICV">
    <vt:lpwstr>926182CBF58A4E38AD83A6C265E0C518_12</vt:lpwstr>
  </property>
</Properties>
</file>