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6D8E712B"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B13F5A">
            <w:rPr>
              <w:rFonts w:asciiTheme="majorBidi" w:hAnsiTheme="majorBidi" w:cstheme="majorBidi"/>
              <w:sz w:val="24"/>
              <w:szCs w:val="24"/>
            </w:rPr>
            <w:t>7</w:t>
          </w:r>
          <w:r w:rsidR="00B66782" w:rsidRPr="005B6195">
            <w:rPr>
              <w:rFonts w:asciiTheme="majorBidi" w:hAnsiTheme="majorBidi" w:cstheme="majorBidi"/>
              <w:sz w:val="24"/>
              <w:szCs w:val="24"/>
            </w:rPr>
            <w:t>-</w:t>
          </w:r>
          <w:r w:rsidR="0007349B">
            <w:rPr>
              <w:rFonts w:asciiTheme="majorBidi" w:hAnsiTheme="majorBidi" w:cstheme="majorBidi"/>
              <w:sz w:val="24"/>
              <w:szCs w:val="24"/>
            </w:rPr>
            <w:t>31</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07AD7412"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B50A21">
                  <w:rPr>
                    <w:noProof/>
                    <w:webHidden/>
                  </w:rPr>
                  <w:t>2</w:t>
                </w:r>
                <w:r w:rsidR="00701D2D">
                  <w:rPr>
                    <w:noProof/>
                    <w:webHidden/>
                  </w:rPr>
                  <w:fldChar w:fldCharType="end"/>
                </w:r>
              </w:hyperlink>
            </w:p>
            <w:p w14:paraId="1502D74B" w14:textId="067CEA12"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B50A21">
                  <w:rPr>
                    <w:noProof/>
                    <w:webHidden/>
                  </w:rPr>
                  <w:t>2</w:t>
                </w:r>
                <w:r>
                  <w:rPr>
                    <w:noProof/>
                    <w:webHidden/>
                  </w:rPr>
                  <w:fldChar w:fldCharType="end"/>
                </w:r>
              </w:hyperlink>
            </w:p>
            <w:p w14:paraId="290A20DA" w14:textId="07375879"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B50A21">
                  <w:rPr>
                    <w:noProof/>
                    <w:webHidden/>
                  </w:rPr>
                  <w:t>2</w:t>
                </w:r>
                <w:r>
                  <w:rPr>
                    <w:noProof/>
                    <w:webHidden/>
                  </w:rPr>
                  <w:fldChar w:fldCharType="end"/>
                </w:r>
              </w:hyperlink>
            </w:p>
            <w:p w14:paraId="049B256A" w14:textId="30EF5555"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B50A21">
                  <w:rPr>
                    <w:noProof/>
                    <w:webHidden/>
                  </w:rPr>
                  <w:t>3</w:t>
                </w:r>
                <w:r>
                  <w:rPr>
                    <w:noProof/>
                    <w:webHidden/>
                  </w:rPr>
                  <w:fldChar w:fldCharType="end"/>
                </w:r>
              </w:hyperlink>
            </w:p>
            <w:p w14:paraId="4EF6FB4B" w14:textId="0BFE7AA4"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B50A21">
                  <w:rPr>
                    <w:noProof/>
                    <w:webHidden/>
                  </w:rPr>
                  <w:t>3</w:t>
                </w:r>
                <w:r>
                  <w:rPr>
                    <w:noProof/>
                    <w:webHidden/>
                  </w:rPr>
                  <w:fldChar w:fldCharType="end"/>
                </w:r>
              </w:hyperlink>
            </w:p>
            <w:p w14:paraId="74135764" w14:textId="69A8CDD0"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B50A21">
                  <w:rPr>
                    <w:noProof/>
                    <w:webHidden/>
                  </w:rPr>
                  <w:t>3</w:t>
                </w:r>
                <w:r>
                  <w:rPr>
                    <w:noProof/>
                    <w:webHidden/>
                  </w:rPr>
                  <w:fldChar w:fldCharType="end"/>
                </w:r>
              </w:hyperlink>
            </w:p>
            <w:p w14:paraId="250C8DCB" w14:textId="14843E53"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B50A21">
                  <w:rPr>
                    <w:noProof/>
                    <w:webHidden/>
                  </w:rPr>
                  <w:t>4</w:t>
                </w:r>
                <w:r>
                  <w:rPr>
                    <w:noProof/>
                    <w:webHidden/>
                  </w:rPr>
                  <w:fldChar w:fldCharType="end"/>
                </w:r>
              </w:hyperlink>
            </w:p>
            <w:p w14:paraId="6DA85EF7" w14:textId="78FD908E"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B50A21">
                  <w:rPr>
                    <w:noProof/>
                    <w:webHidden/>
                  </w:rPr>
                  <w:t>4</w:t>
                </w:r>
                <w:r>
                  <w:rPr>
                    <w:noProof/>
                    <w:webHidden/>
                  </w:rPr>
                  <w:fldChar w:fldCharType="end"/>
                </w:r>
              </w:hyperlink>
            </w:p>
            <w:p w14:paraId="6F5008BD" w14:textId="44820E9E"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B50A21">
                  <w:rPr>
                    <w:noProof/>
                    <w:webHidden/>
                  </w:rPr>
                  <w:t>4</w:t>
                </w:r>
                <w:r>
                  <w:rPr>
                    <w:noProof/>
                    <w:webHidden/>
                  </w:rPr>
                  <w:fldChar w:fldCharType="end"/>
                </w:r>
              </w:hyperlink>
            </w:p>
            <w:p w14:paraId="6C6C20C9" w14:textId="465BADBD"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B50A21">
                  <w:rPr>
                    <w:noProof/>
                    <w:webHidden/>
                  </w:rPr>
                  <w:t>4</w:t>
                </w:r>
                <w:r>
                  <w:rPr>
                    <w:noProof/>
                    <w:webHidden/>
                  </w:rPr>
                  <w:fldChar w:fldCharType="end"/>
                </w:r>
              </w:hyperlink>
            </w:p>
            <w:p w14:paraId="0B32AF0A" w14:textId="2FD5F843"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B50A21">
                  <w:rPr>
                    <w:noProof/>
                    <w:webHidden/>
                  </w:rPr>
                  <w:t>6</w:t>
                </w:r>
                <w:r>
                  <w:rPr>
                    <w:noProof/>
                    <w:webHidden/>
                  </w:rPr>
                  <w:fldChar w:fldCharType="end"/>
                </w:r>
              </w:hyperlink>
            </w:p>
            <w:p w14:paraId="3271DB64" w14:textId="0C8717AC"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B50A21">
                  <w:rPr>
                    <w:noProof/>
                    <w:webHidden/>
                  </w:rPr>
                  <w:t>9</w:t>
                </w:r>
                <w:r>
                  <w:rPr>
                    <w:noProof/>
                    <w:webHidden/>
                  </w:rPr>
                  <w:fldChar w:fldCharType="end"/>
                </w:r>
              </w:hyperlink>
            </w:p>
            <w:p w14:paraId="54FA4D1D" w14:textId="18F6FE90"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B50A21">
                  <w:rPr>
                    <w:noProof/>
                    <w:webHidden/>
                  </w:rPr>
                  <w:t>9</w:t>
                </w:r>
                <w:r>
                  <w:rPr>
                    <w:noProof/>
                    <w:webHidden/>
                  </w:rPr>
                  <w:fldChar w:fldCharType="end"/>
                </w:r>
              </w:hyperlink>
            </w:p>
            <w:p w14:paraId="216D3DCF" w14:textId="02FEB2AB"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B50A21">
                  <w:rPr>
                    <w:noProof/>
                    <w:webHidden/>
                  </w:rPr>
                  <w:t>23</w:t>
                </w:r>
                <w:r>
                  <w:rPr>
                    <w:noProof/>
                    <w:webHidden/>
                  </w:rPr>
                  <w:fldChar w:fldCharType="end"/>
                </w:r>
              </w:hyperlink>
            </w:p>
            <w:p w14:paraId="76E8F3BB" w14:textId="11CBF7D6"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B50A21">
                  <w:rPr>
                    <w:noProof/>
                    <w:webHidden/>
                  </w:rPr>
                  <w:t>26</w:t>
                </w:r>
                <w:r>
                  <w:rPr>
                    <w:noProof/>
                    <w:webHidden/>
                  </w:rPr>
                  <w:fldChar w:fldCharType="end"/>
                </w:r>
              </w:hyperlink>
            </w:p>
            <w:p w14:paraId="61DB3C5A" w14:textId="6E91937A"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B50A21">
                  <w:rPr>
                    <w:noProof/>
                    <w:webHidden/>
                  </w:rPr>
                  <w:t>27</w:t>
                </w:r>
                <w:r>
                  <w:rPr>
                    <w:noProof/>
                    <w:webHidden/>
                  </w:rPr>
                  <w:fldChar w:fldCharType="end"/>
                </w:r>
              </w:hyperlink>
            </w:p>
            <w:p w14:paraId="32A7266F" w14:textId="713632D9"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B50A21">
                  <w:rPr>
                    <w:noProof/>
                    <w:webHidden/>
                  </w:rPr>
                  <w:t>30</w:t>
                </w:r>
                <w:r>
                  <w:rPr>
                    <w:noProof/>
                    <w:webHidden/>
                  </w:rPr>
                  <w:fldChar w:fldCharType="end"/>
                </w:r>
              </w:hyperlink>
            </w:p>
            <w:p w14:paraId="517A2CB7" w14:textId="108CA41A"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B50A21">
                  <w:rPr>
                    <w:noProof/>
                    <w:webHidden/>
                  </w:rPr>
                  <w:t>31</w:t>
                </w:r>
                <w:r>
                  <w:rPr>
                    <w:noProof/>
                    <w:webHidden/>
                  </w:rPr>
                  <w:fldChar w:fldCharType="end"/>
                </w:r>
              </w:hyperlink>
            </w:p>
            <w:p w14:paraId="571251C1" w14:textId="353C2EFA"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B50A21">
                  <w:rPr>
                    <w:noProof/>
                    <w:webHidden/>
                  </w:rPr>
                  <w:t>32</w:t>
                </w:r>
                <w:r>
                  <w:rPr>
                    <w:noProof/>
                    <w:webHidden/>
                  </w:rPr>
                  <w:fldChar w:fldCharType="end"/>
                </w:r>
              </w:hyperlink>
            </w:p>
            <w:p w14:paraId="74D73AD1" w14:textId="5731FB93"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B50A21">
                  <w:rPr>
                    <w:noProof/>
                    <w:webHidden/>
                  </w:rPr>
                  <w:t>33</w:t>
                </w:r>
                <w:r>
                  <w:rPr>
                    <w:noProof/>
                    <w:webHidden/>
                  </w:rPr>
                  <w:fldChar w:fldCharType="end"/>
                </w:r>
              </w:hyperlink>
            </w:p>
            <w:p w14:paraId="7FF85EBB" w14:textId="2394317A"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B50A21">
                  <w:rPr>
                    <w:noProof/>
                    <w:webHidden/>
                  </w:rPr>
                  <w:t>34</w:t>
                </w:r>
                <w:r>
                  <w:rPr>
                    <w:noProof/>
                    <w:webHidden/>
                  </w:rPr>
                  <w:fldChar w:fldCharType="end"/>
                </w:r>
              </w:hyperlink>
            </w:p>
            <w:p w14:paraId="7657210B" w14:textId="67EE2DB9"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B50A21">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0BCFC8D9" w:rsidR="00AF4166" w:rsidRDefault="00B65A68" w:rsidP="00F523C7">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xml:space="preserve">, papildomas darbų BVPŽ kodas </w:t>
      </w:r>
      <w:r w:rsidR="00253736">
        <w:rPr>
          <w:rFonts w:asciiTheme="majorBidi" w:hAnsiTheme="majorBidi" w:cstheme="majorBidi"/>
          <w:sz w:val="24"/>
          <w:szCs w:val="24"/>
        </w:rPr>
        <w:t>–</w:t>
      </w:r>
      <w:r w:rsidR="00EB6E70">
        <w:rPr>
          <w:rFonts w:asciiTheme="majorBidi" w:hAnsiTheme="majorBidi" w:cstheme="majorBidi"/>
          <w:sz w:val="24"/>
          <w:szCs w:val="24"/>
        </w:rPr>
        <w:t xml:space="preserve"> 452133</w:t>
      </w:r>
      <w:r w:rsidR="00253736">
        <w:rPr>
          <w:rFonts w:asciiTheme="majorBidi" w:hAnsiTheme="majorBidi" w:cstheme="majorBidi"/>
          <w:sz w:val="24"/>
          <w:szCs w:val="24"/>
        </w:rPr>
        <w:t>16-1 „</w:t>
      </w:r>
      <w:r w:rsidR="00F523C7" w:rsidRPr="00F523C7">
        <w:rPr>
          <w:rFonts w:asciiTheme="majorBidi" w:hAnsiTheme="majorBidi" w:cstheme="majorBidi"/>
          <w:sz w:val="24"/>
          <w:szCs w:val="24"/>
        </w:rPr>
        <w:t>Pėsčiųjų takų įrengimo darbai“.</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lastRenderedPageBreak/>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kvalifikaciją pagrindžiantys dokumentai (bus prašoma pateikti prieš nustatant laimėjusį pasiūlymą), pirkimo sąlygų 4 priede nustatyta tvarka;</w:t>
      </w:r>
    </w:p>
    <w:p w14:paraId="2488C241" w14:textId="1866116F" w:rsidR="008003C7" w:rsidRPr="008003C7"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21"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kiti šiose pirkimo sąlygose reikalaujami dokumentai</w:t>
      </w:r>
      <w:bookmarkEnd w:id="21"/>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2"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2"/>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2169521"/>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92169522"/>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0BBFD688" w14:textId="6DA449AD" w:rsidR="003300F2" w:rsidRPr="00FE1D30" w:rsidRDefault="002D470F" w:rsidP="00FE1D30">
      <w:pPr>
        <w:widowControl w:val="0"/>
        <w:spacing w:after="0" w:line="240" w:lineRule="auto"/>
        <w:ind w:firstLine="710"/>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r w:rsidR="00311A3F">
        <w:rPr>
          <w:rFonts w:asciiTheme="majorBidi" w:hAnsiTheme="majorBidi" w:cstheme="majorBidi"/>
          <w:sz w:val="24"/>
          <w:szCs w:val="24"/>
        </w:rPr>
        <w:t xml:space="preserve">9.2. </w:t>
      </w:r>
      <w:r w:rsidR="00613CCD" w:rsidRPr="00FE1D3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FE1D30">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5" w:name="_Ref38539939"/>
      <w:bookmarkStart w:id="46" w:name="_Ref38541068"/>
      <w:bookmarkStart w:id="47" w:name="_Ref38885053"/>
      <w:bookmarkStart w:id="48" w:name="_Ref38899023"/>
      <w:bookmarkStart w:id="49"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57DB2D7E" w14:textId="77777777" w:rsidR="00705C71" w:rsidRPr="00705C71" w:rsidRDefault="00705C71" w:rsidP="00705C71"/>
    <w:p w14:paraId="1B9F54F4" w14:textId="77777777" w:rsidR="00705C71" w:rsidRPr="00705C71" w:rsidRDefault="00705C71" w:rsidP="00705C71">
      <w:pPr>
        <w:widowControl w:val="0"/>
        <w:autoSpaceDE w:val="0"/>
        <w:adjustRightInd w:val="0"/>
        <w:jc w:val="center"/>
        <w:rPr>
          <w:rFonts w:asciiTheme="majorBidi" w:eastAsia="Arial" w:hAnsiTheme="majorBidi" w:cstheme="majorBidi"/>
          <w:b/>
          <w:bCs/>
          <w:sz w:val="24"/>
          <w:szCs w:val="24"/>
          <w:lang w:eastAsia="ar-SA"/>
        </w:rPr>
      </w:pPr>
      <w:bookmarkStart w:id="50" w:name="_Ref38285444"/>
      <w:bookmarkStart w:id="51" w:name="_Ref38291496"/>
      <w:bookmarkStart w:id="52" w:name="_Toc192169527"/>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47EAB9E5" w14:textId="5BA58ABA" w:rsidR="00705C71" w:rsidRPr="00705C71" w:rsidRDefault="00705C71" w:rsidP="00705C71">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(UŽDUOTIS)</w:t>
      </w:r>
    </w:p>
    <w:p w14:paraId="12EA7311" w14:textId="77777777" w:rsidR="00705C71" w:rsidRPr="00705C71"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3"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3"/>
      <w:r w:rsidRPr="00705C71">
        <w:rPr>
          <w:rFonts w:asciiTheme="majorBidi" w:hAnsiTheme="majorBidi" w:cstheme="majorBidi"/>
          <w:sz w:val="24"/>
          <w:szCs w:val="24"/>
        </w:rPr>
        <w:t>.</w:t>
      </w:r>
    </w:p>
    <w:p w14:paraId="474D03BB" w14:textId="77777777" w:rsidR="00705C71" w:rsidRPr="00705C71"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705C71">
        <w:rPr>
          <w:rFonts w:asciiTheme="majorBidi" w:hAnsiTheme="majorBidi" w:cstheme="majorBidi"/>
          <w:sz w:val="24"/>
          <w:szCs w:val="24"/>
        </w:rPr>
        <w:t xml:space="preserve">–   Utenos rajono savivaldybės administracija, </w:t>
      </w:r>
      <w:proofErr w:type="spellStart"/>
      <w:r w:rsidRPr="00705C71">
        <w:rPr>
          <w:rFonts w:asciiTheme="majorBidi" w:hAnsiTheme="majorBidi" w:cstheme="majorBidi"/>
          <w:sz w:val="24"/>
          <w:szCs w:val="24"/>
        </w:rPr>
        <w:t>Utenio</w:t>
      </w:r>
      <w:proofErr w:type="spellEnd"/>
      <w:r w:rsidRPr="00705C71">
        <w:rPr>
          <w:rFonts w:asciiTheme="majorBidi" w:hAnsiTheme="majorBidi" w:cstheme="majorBidi"/>
          <w:sz w:val="24"/>
          <w:szCs w:val="24"/>
        </w:rPr>
        <w:t xml:space="preserve"> a. 4, LT- 28503, Utena. </w:t>
      </w:r>
    </w:p>
    <w:p w14:paraId="7094EB62"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Statybos rūšis</w:t>
      </w:r>
      <w:r w:rsidRPr="00705C71">
        <w:rPr>
          <w:rFonts w:asciiTheme="majorBidi" w:hAnsiTheme="majorBidi" w:cstheme="majorBidi"/>
          <w:sz w:val="24"/>
          <w:szCs w:val="24"/>
        </w:rPr>
        <w:t xml:space="preserve"> – nauja statyba. </w:t>
      </w:r>
    </w:p>
    <w:p w14:paraId="1C16EF43"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Statinio paskirtis</w:t>
      </w:r>
      <w:r w:rsidRPr="00705C71">
        <w:rPr>
          <w:rFonts w:asciiTheme="majorBidi" w:hAnsiTheme="majorBidi" w:cstheme="majorBidi"/>
          <w:sz w:val="24"/>
          <w:szCs w:val="24"/>
        </w:rPr>
        <w:t xml:space="preserve"> –  susisiekimo komunikacijos.</w:t>
      </w:r>
    </w:p>
    <w:p w14:paraId="36E59D1B"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Statinio kategorija</w:t>
      </w:r>
      <w:r w:rsidRPr="00705C71">
        <w:rPr>
          <w:rFonts w:asciiTheme="majorBidi" w:hAnsiTheme="majorBidi" w:cstheme="majorBidi"/>
          <w:sz w:val="24"/>
          <w:szCs w:val="24"/>
        </w:rPr>
        <w:t xml:space="preserve"> – ypatingasis statinys.</w:t>
      </w:r>
    </w:p>
    <w:p w14:paraId="21C8DE64"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3208640B"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w:t>
      </w:r>
      <w:proofErr w:type="spellStart"/>
      <w:r w:rsidRPr="00705C71">
        <w:rPr>
          <w:rFonts w:asciiTheme="majorBidi" w:hAnsiTheme="majorBidi" w:cstheme="majorBidi"/>
          <w:sz w:val="24"/>
          <w:szCs w:val="24"/>
        </w:rPr>
        <w:t>Panprojektas</w:t>
      </w:r>
      <w:proofErr w:type="spellEnd"/>
      <w:r w:rsidRPr="00705C71">
        <w:rPr>
          <w:rFonts w:asciiTheme="majorBidi" w:hAnsiTheme="majorBidi" w:cstheme="majorBidi"/>
          <w:sz w:val="24"/>
          <w:szCs w:val="24"/>
        </w:rPr>
        <w:t>“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ir atlikti visus, išskyrus  želdynų ir gėlynų įrengimo bei mažosios architektūros įrengimo, V etape numatytus darbus.</w:t>
      </w:r>
    </w:p>
    <w:p w14:paraId="06F2B8F1"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28AD98D8" w14:textId="77777777" w:rsidR="00705C71" w:rsidRPr="00705C71"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Statinio Techninio projekto B laidos reikiamoms dalims techninės dokumentacijos parengimas</w:t>
      </w:r>
      <w:r w:rsidRPr="00705C71">
        <w:rPr>
          <w:rFonts w:asciiTheme="majorBidi" w:hAnsiTheme="majorBidi" w:cstheme="majorBidi"/>
          <w:color w:val="00B050"/>
          <w:sz w:val="24"/>
          <w:szCs w:val="24"/>
        </w:rPr>
        <w:t>;</w:t>
      </w:r>
    </w:p>
    <w:p w14:paraId="26CD5F27" w14:textId="77777777" w:rsidR="00705C71" w:rsidRPr="00705C71"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2FC815FD"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p>
    <w:p w14:paraId="2A0054F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69C766B5"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21BC20B2"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493F189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ir vartų įrengimo darbai;</w:t>
      </w:r>
    </w:p>
    <w:p w14:paraId="149E4C98"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17ED1580"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7D5E7E67"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2D242A62"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Želdynų ir gėlynų įrengimo darbai ir Mažosios architektūros įrengimo darbai nėra šio pirkimo objektas ir teikiant pasiūlymą jų vertinti nereikia.</w:t>
      </w:r>
    </w:p>
    <w:p w14:paraId="5F7AB9E8" w14:textId="77777777" w:rsidR="00705C71" w:rsidRPr="00705C71" w:rsidRDefault="00705C71" w:rsidP="00705C71">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023ADDFD" w14:textId="77777777" w:rsidR="00705C71" w:rsidRPr="00705C71" w:rsidRDefault="00705C71" w:rsidP="00705C71">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2762EB2F" w14:textId="504F0185"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92D050"/>
          <w:sz w:val="24"/>
          <w:szCs w:val="24"/>
        </w:rPr>
        <w:t xml:space="preserve"> </w:t>
      </w:r>
      <w:r w:rsidRPr="00705C71">
        <w:rPr>
          <w:rFonts w:asciiTheme="majorBidi" w:hAnsiTheme="majorBidi" w:cstheme="majorBidi"/>
          <w:sz w:val="24"/>
          <w:szCs w:val="24"/>
        </w:rPr>
        <w:t>Techninėje</w:t>
      </w:r>
      <w:r w:rsidRPr="00705C71">
        <w:rPr>
          <w:rFonts w:asciiTheme="majorBidi" w:hAnsiTheme="majorBidi" w:cstheme="majorBidi"/>
          <w:color w:val="92D050"/>
          <w:sz w:val="24"/>
          <w:szCs w:val="24"/>
        </w:rPr>
        <w:t xml:space="preserve"> </w:t>
      </w:r>
      <w:r w:rsidRPr="00705C71">
        <w:rPr>
          <w:rFonts w:asciiTheme="majorBidi" w:hAnsiTheme="majorBidi" w:cstheme="majorBidi"/>
          <w:color w:val="000000" w:themeColor="text1"/>
          <w:sz w:val="24"/>
          <w:szCs w:val="24"/>
        </w:rPr>
        <w:t>specifikacijoje (užduotyje) aprašytus darbus atlikti iki 2026 -0</w:t>
      </w:r>
      <w:r w:rsidR="0007349B">
        <w:rPr>
          <w:rFonts w:asciiTheme="majorBidi" w:hAnsiTheme="majorBidi" w:cstheme="majorBidi"/>
          <w:color w:val="000000" w:themeColor="text1"/>
          <w:sz w:val="24"/>
          <w:szCs w:val="24"/>
        </w:rPr>
        <w:t>9</w:t>
      </w:r>
      <w:r w:rsidRPr="00705C71">
        <w:rPr>
          <w:rFonts w:asciiTheme="majorBidi" w:hAnsiTheme="majorBidi" w:cstheme="majorBidi"/>
          <w:color w:val="000000" w:themeColor="text1"/>
          <w:sz w:val="24"/>
          <w:szCs w:val="24"/>
        </w:rPr>
        <w:t xml:space="preserve"> -01.</w:t>
      </w:r>
    </w:p>
    <w:p w14:paraId="18E52D5D"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Rangovas pateikia kalendorinį darbų atlikimo grafiką su  veiklų kainomis pagal veiklų sąrašą. </w:t>
      </w:r>
    </w:p>
    <w:p w14:paraId="2B0A179C" w14:textId="77777777" w:rsidR="00705C71" w:rsidRPr="00705C71" w:rsidRDefault="00705C71" w:rsidP="00705C71">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D3898CF" w14:textId="77777777" w:rsidR="00705C71" w:rsidRPr="00705C71" w:rsidRDefault="00705C71" w:rsidP="00705C71">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lastRenderedPageBreak/>
        <w:t>Rangovas iki Darbų pradžios, bet ne vėliau kaip per 10 (dešimt) darbo dienų nuo Sutarties įsigaliojimo dienos privalo pateikti lokalines sąmatas, bei su Užsakovu suderintą Kalendorinį darbų atlikimo grafiką</w:t>
      </w:r>
      <w:r w:rsidRPr="00705C71">
        <w:rPr>
          <w:rFonts w:asciiTheme="majorBidi" w:hAnsiTheme="majorBidi" w:cstheme="majorBidi"/>
          <w:color w:val="000000" w:themeColor="text1"/>
          <w:sz w:val="24"/>
          <w:szCs w:val="24"/>
        </w:rPr>
        <w:t xml:space="preserve"> (sąmatos bus skirtos statybos darbų progreso vertinimui).</w:t>
      </w:r>
    </w:p>
    <w:p w14:paraId="3F4B0E92"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Vykdomi rangos darbai turi atitikti galiojančius LR įstatymų,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3D7ADAEB"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themeColor="text1"/>
          <w:sz w:val="24"/>
          <w:szCs w:val="24"/>
        </w:rPr>
        <w:t>Tikslinant ar keičiant (tik pritarus Užsakovui) Techninio projekto sprendinius prioritetas turi būti teikia</w:t>
      </w:r>
      <w:r w:rsidRPr="00705C71">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2D2D4815"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3D3317E2"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6C28132A"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w:t>
      </w:r>
      <w:proofErr w:type="spellStart"/>
      <w:r w:rsidRPr="00705C71">
        <w:rPr>
          <w:rFonts w:asciiTheme="majorBidi" w:hAnsiTheme="majorBidi" w:cstheme="majorBidi"/>
          <w:color w:val="000000" w:themeColor="text1"/>
          <w:sz w:val="24"/>
          <w:szCs w:val="24"/>
        </w:rPr>
        <w:t>aktuojasi</w:t>
      </w:r>
      <w:proofErr w:type="spellEnd"/>
      <w:r w:rsidRPr="00705C71">
        <w:rPr>
          <w:rFonts w:asciiTheme="majorBidi" w:hAnsiTheme="majorBidi" w:cstheme="majorBidi"/>
          <w:color w:val="000000" w:themeColor="text1"/>
          <w:sz w:val="24"/>
          <w:szCs w:val="24"/>
        </w:rPr>
        <w:t xml:space="preserve"> pagal formą Statybos rangos sutarties specialiųjų sąlygų 14.11 punktas, Priedas Nr.11. </w:t>
      </w:r>
      <w:proofErr w:type="spellStart"/>
      <w:r w:rsidRPr="00705C71">
        <w:rPr>
          <w:rFonts w:asciiTheme="majorBidi" w:hAnsiTheme="majorBidi" w:cstheme="majorBidi"/>
          <w:color w:val="000000" w:themeColor="text1"/>
          <w:sz w:val="24"/>
          <w:szCs w:val="24"/>
        </w:rPr>
        <w:t>Aktuojamų</w:t>
      </w:r>
      <w:proofErr w:type="spellEnd"/>
      <w:r w:rsidRPr="00705C71">
        <w:rPr>
          <w:rFonts w:asciiTheme="majorBidi" w:hAnsiTheme="majorBidi" w:cstheme="majorBidi"/>
          <w:color w:val="000000" w:themeColor="text1"/>
          <w:sz w:val="24"/>
          <w:szCs w:val="24"/>
        </w:rPr>
        <w:t xml:space="preserve"> darbų vertė turi būti nemažesnė kaip 2% veiklos vertės.</w:t>
      </w:r>
    </w:p>
    <w:p w14:paraId="587418D5"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78E996D7"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44CB2CA"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7D73AC72"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59AB930A"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z w:val="24"/>
          <w:szCs w:val="24"/>
        </w:rPr>
      </w:pPr>
      <w:r w:rsidRPr="00705C71">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705C71">
        <w:rPr>
          <w:rFonts w:asciiTheme="majorBidi" w:hAnsiTheme="majorBidi" w:cstheme="majorBidi"/>
          <w:sz w:val="24"/>
          <w:szCs w:val="24"/>
        </w:rPr>
        <w:t xml:space="preserve"> PRIDEDAMA:</w:t>
      </w:r>
    </w:p>
    <w:p w14:paraId="2634C9C4" w14:textId="77777777" w:rsidR="00705C71" w:rsidRPr="00705C71" w:rsidRDefault="00705C71" w:rsidP="00705C71">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509D7F90" w14:textId="77777777" w:rsidR="004A4611" w:rsidRPr="00DF7A6F" w:rsidRDefault="004A4611" w:rsidP="004A4611">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4A4611">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5EEDFB0B" w:rsidR="004A4611" w:rsidRPr="00DF7A6F" w:rsidRDefault="004A4611" w:rsidP="004A4611">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1CAFD327" w14:textId="5BBFA322" w:rsidR="004A4611" w:rsidRPr="00DF7A6F" w:rsidRDefault="004A4611" w:rsidP="004A4611">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4A4611" w:rsidRPr="00DF7A6F" w14:paraId="27A7D3FE" w14:textId="77777777" w:rsidTr="00742600">
        <w:trPr>
          <w:trHeight w:val="638"/>
        </w:trPr>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7426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47B15B" w14:textId="2A457508"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w:t>
            </w:r>
            <w:r w:rsidRPr="00704CDA">
              <w:rPr>
                <w:rFonts w:asciiTheme="majorBidi" w:hAnsiTheme="majorBidi" w:cstheme="majorBidi"/>
                <w:color w:val="000000" w:themeColor="text1"/>
                <w:sz w:val="24"/>
                <w:szCs w:val="24"/>
              </w:rPr>
              <w:lastRenderedPageBreak/>
              <w:t xml:space="preserve">tinkamai </w:t>
            </w:r>
            <w:r w:rsidR="00714446">
              <w:rPr>
                <w:rFonts w:asciiTheme="majorBidi" w:hAnsiTheme="majorBidi" w:cstheme="majorBidi"/>
                <w:color w:val="000000" w:themeColor="text1"/>
                <w:sz w:val="24"/>
                <w:szCs w:val="24"/>
              </w:rPr>
              <w:t>atlikęs teritorijos sutvarkymo darbų,</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kaip </w:t>
            </w:r>
            <w:r w:rsidR="006605D2">
              <w:rPr>
                <w:rFonts w:asciiTheme="majorBidi" w:hAnsiTheme="majorBidi" w:cstheme="majorBidi"/>
                <w:color w:val="000000" w:themeColor="text1"/>
                <w:sz w:val="24"/>
                <w:szCs w:val="24"/>
              </w:rPr>
              <w:t>8</w:t>
            </w:r>
            <w:r w:rsidR="0016343F">
              <w:rPr>
                <w:rFonts w:asciiTheme="majorBidi" w:hAnsiTheme="majorBidi" w:cstheme="majorBidi"/>
                <w:color w:val="000000" w:themeColor="text1"/>
                <w:sz w:val="24"/>
                <w:szCs w:val="24"/>
              </w:rPr>
              <w:t>0000</w:t>
            </w:r>
            <w:r w:rsidRPr="00A31FB3">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56354BB" w14:textId="77777777" w:rsidR="004A4611" w:rsidRPr="006F0D1A" w:rsidRDefault="004A4611" w:rsidP="00742600">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1AE66634"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Perkančioji organizacija svarbiausiais darbais laiko</w:t>
            </w:r>
            <w:r w:rsidR="002D1AB9">
              <w:rPr>
                <w:rFonts w:asciiTheme="majorBidi" w:hAnsiTheme="majorBidi" w:cstheme="majorBidi"/>
                <w:bCs/>
                <w:sz w:val="24"/>
                <w:szCs w:val="24"/>
              </w:rPr>
              <w:t xml:space="preserve"> </w:t>
            </w:r>
            <w:r w:rsidR="004245E5">
              <w:rPr>
                <w:rFonts w:asciiTheme="majorBidi" w:hAnsiTheme="majorBidi" w:cstheme="majorBidi"/>
                <w:color w:val="000000" w:themeColor="text1"/>
                <w:sz w:val="24"/>
                <w:szCs w:val="24"/>
              </w:rPr>
              <w:t>teritorijos sutvarkymo darb</w:t>
            </w:r>
            <w:r w:rsidR="002D1AB9">
              <w:rPr>
                <w:rFonts w:asciiTheme="majorBidi" w:hAnsiTheme="majorBidi" w:cstheme="majorBidi"/>
                <w:color w:val="000000" w:themeColor="text1"/>
                <w:sz w:val="24"/>
                <w:szCs w:val="24"/>
              </w:rPr>
              <w:t>us</w:t>
            </w:r>
            <w:r w:rsidR="004245E5">
              <w:rPr>
                <w:rFonts w:asciiTheme="majorBidi" w:hAnsiTheme="majorBidi" w:cstheme="majorBidi"/>
                <w:color w:val="000000" w:themeColor="text1"/>
                <w:sz w:val="24"/>
                <w:szCs w:val="24"/>
              </w:rPr>
              <w:t>.</w:t>
            </w:r>
          </w:p>
          <w:p w14:paraId="396D0F22" w14:textId="77777777"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27EA55E8" w14:textId="77777777" w:rsidR="004A4611" w:rsidRPr="006473D4" w:rsidRDefault="004A4611" w:rsidP="00742600">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63EE74DA" w14:textId="77777777" w:rsidR="004A4611" w:rsidRPr="006473D4" w:rsidRDefault="004A4611" w:rsidP="00742600">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0DA815C" w14:textId="77777777" w:rsidR="004A4611" w:rsidRPr="00DF7A6F" w:rsidRDefault="004A4611" w:rsidP="004A4611">
      <w:pPr>
        <w:rPr>
          <w:rFonts w:asciiTheme="majorBidi" w:hAnsiTheme="majorBidi" w:cstheme="majorBidi"/>
          <w:sz w:val="24"/>
          <w:szCs w:val="24"/>
        </w:rPr>
      </w:pPr>
    </w:p>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ACA4CA6" w14:textId="77777777" w:rsidR="00E54795" w:rsidRPr="005B6195" w:rsidRDefault="00E54795" w:rsidP="007A57AA">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DEB5E17" w14:textId="77777777" w:rsidR="00E54795" w:rsidRPr="005B6195" w:rsidRDefault="00E54795" w:rsidP="007A57AA">
            <w:pPr>
              <w:snapToGrid w:val="0"/>
              <w:ind w:right="-108"/>
              <w:jc w:val="both"/>
              <w:rPr>
                <w:rFonts w:asciiTheme="majorBidi" w:hAnsiTheme="majorBidi" w:cstheme="majorBidi"/>
                <w:sz w:val="24"/>
                <w:szCs w:val="24"/>
              </w:rPr>
            </w:pP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5AE2BED8"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7C0572F" w14:textId="77777777" w:rsidR="00E54795" w:rsidRPr="005B6195" w:rsidRDefault="00E54795" w:rsidP="00E54795">
      <w:pPr>
        <w:spacing w:after="0"/>
        <w:jc w:val="both"/>
        <w:rPr>
          <w:rFonts w:asciiTheme="majorBidi" w:hAnsiTheme="majorBidi" w:cstheme="majorBidi"/>
          <w:i/>
          <w:iCs/>
          <w:sz w:val="24"/>
          <w:szCs w:val="24"/>
        </w:rPr>
      </w:pP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3B12E76" w14:textId="5109E613" w:rsidR="00E54795" w:rsidRPr="005B6195" w:rsidRDefault="00F36ECB" w:rsidP="00E54795">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sz w:val="24"/>
          <w:szCs w:val="24"/>
        </w:rPr>
        <w:t>Jei tiekėjas pasitelkia subtiekėją (-</w:t>
      </w:r>
      <w:proofErr w:type="spellStart"/>
      <w:r w:rsidR="00E54795" w:rsidRPr="005B6195">
        <w:rPr>
          <w:rFonts w:asciiTheme="majorBidi" w:hAnsiTheme="majorBidi" w:cstheme="majorBidi"/>
          <w:sz w:val="24"/>
          <w:szCs w:val="24"/>
        </w:rPr>
        <w:t>us</w:t>
      </w:r>
      <w:proofErr w:type="spellEnd"/>
      <w:r w:rsidR="00E54795"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turi laikytis reikalaujamų </w:t>
      </w:r>
      <w:r w:rsidR="00E54795" w:rsidRPr="005B6195">
        <w:rPr>
          <w:rFonts w:asciiTheme="majorBidi" w:hAnsiTheme="majorBidi" w:cstheme="majorBidi"/>
          <w:bCs/>
          <w:color w:val="000000"/>
          <w:sz w:val="24"/>
          <w:szCs w:val="24"/>
        </w:rPr>
        <w:t xml:space="preserve">aplinkos apsaugos vadybos užtikrinimo priemonių, </w:t>
      </w:r>
      <w:r w:rsidR="00E54795" w:rsidRPr="005B6195">
        <w:rPr>
          <w:rFonts w:asciiTheme="majorBidi" w:hAnsiTheme="majorBidi" w:cstheme="majorBidi"/>
          <w:iCs/>
          <w:color w:val="000000"/>
          <w:sz w:val="24"/>
          <w:szCs w:val="24"/>
        </w:rPr>
        <w:t>atsižvelgiant į jų prisiimamus įsipareigojimus pirkimo sutarčiai vykdyti:</w:t>
      </w:r>
    </w:p>
    <w:p w14:paraId="7F5044B2" w14:textId="03CC4B89"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4F7A7812"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92169529"/>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Default="000A0B1A" w:rsidP="00F17573">
      <w:pPr>
        <w:widowControl w:val="0"/>
        <w:spacing w:after="0" w:line="240" w:lineRule="auto"/>
        <w:rPr>
          <w:rFonts w:asciiTheme="majorBidi" w:hAnsiTheme="majorBidi" w:cstheme="majorBidi"/>
          <w:b/>
          <w:bCs/>
          <w:smallCaps/>
          <w:sz w:val="24"/>
          <w:szCs w:val="24"/>
        </w:rPr>
      </w:pPr>
    </w:p>
    <w:p w14:paraId="4F293F4B" w14:textId="77777777" w:rsidR="0016343F" w:rsidRDefault="0016343F"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92169532"/>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2"/>
      <w:proofErr w:type="spellEnd"/>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192169536"/>
      <w:r w:rsidRPr="003C2E0C">
        <w:rPr>
          <w:rFonts w:asciiTheme="majorBidi" w:eastAsia="Calibri" w:hAnsiTheme="majorBidi"/>
          <w:color w:val="auto"/>
          <w:sz w:val="22"/>
          <w:szCs w:val="22"/>
        </w:rPr>
        <w:lastRenderedPageBreak/>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C2E0C" w:rsidRPr="003C2E0C" w14:paraId="11E42289" w14:textId="77777777" w:rsidTr="00742600">
        <w:trPr>
          <w:trHeight w:val="865"/>
          <w:jc w:val="center"/>
        </w:trPr>
        <w:tc>
          <w:tcPr>
            <w:tcW w:w="541" w:type="dxa"/>
            <w:vMerge w:val="restart"/>
            <w:textDirection w:val="btLr"/>
            <w:vAlign w:val="center"/>
            <w:hideMark/>
          </w:tcPr>
          <w:p w14:paraId="52BD0E55" w14:textId="77777777" w:rsidR="003C2E0C" w:rsidRPr="003C2E0C" w:rsidRDefault="003C2E0C"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113" w:type="dxa"/>
            <w:vMerge w:val="restart"/>
            <w:vAlign w:val="center"/>
            <w:hideMark/>
          </w:tcPr>
          <w:p w14:paraId="39DBBB4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Nuolatinių Darbų veiklos (etapo) pavadinimas</w:t>
            </w:r>
          </w:p>
        </w:tc>
        <w:tc>
          <w:tcPr>
            <w:tcW w:w="1825" w:type="dxa"/>
            <w:vMerge w:val="restart"/>
            <w:vAlign w:val="center"/>
            <w:hideMark/>
          </w:tcPr>
          <w:p w14:paraId="3DAB876D"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Bendra darbo apimtis (fiziniais mato vienetais, jei reikalinga)</w:t>
            </w:r>
          </w:p>
        </w:tc>
        <w:tc>
          <w:tcPr>
            <w:tcW w:w="2126" w:type="dxa"/>
            <w:vAlign w:val="center"/>
            <w:hideMark/>
          </w:tcPr>
          <w:p w14:paraId="7877402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3C2E0C" w:rsidRPr="003C2E0C" w14:paraId="5F1A4B71" w14:textId="77777777" w:rsidTr="00BE1B01">
        <w:trPr>
          <w:cantSplit/>
          <w:trHeight w:val="782"/>
          <w:jc w:val="center"/>
        </w:trPr>
        <w:tc>
          <w:tcPr>
            <w:tcW w:w="541" w:type="dxa"/>
            <w:vMerge/>
            <w:vAlign w:val="center"/>
            <w:hideMark/>
          </w:tcPr>
          <w:p w14:paraId="780D8EA6" w14:textId="77777777" w:rsidR="003C2E0C" w:rsidRPr="003C2E0C" w:rsidRDefault="003C2E0C" w:rsidP="00742600">
            <w:pPr>
              <w:rPr>
                <w:rFonts w:asciiTheme="majorBidi" w:hAnsiTheme="majorBidi" w:cstheme="majorBidi"/>
                <w:i/>
                <w:iCs/>
                <w:sz w:val="22"/>
                <w:szCs w:val="22"/>
              </w:rPr>
            </w:pPr>
          </w:p>
        </w:tc>
        <w:tc>
          <w:tcPr>
            <w:tcW w:w="5113" w:type="dxa"/>
            <w:vMerge/>
            <w:vAlign w:val="center"/>
            <w:hideMark/>
          </w:tcPr>
          <w:p w14:paraId="3B266EF1" w14:textId="77777777" w:rsidR="003C2E0C" w:rsidRPr="003C2E0C" w:rsidRDefault="003C2E0C" w:rsidP="00742600">
            <w:pPr>
              <w:rPr>
                <w:rFonts w:asciiTheme="majorBidi" w:hAnsiTheme="majorBidi" w:cstheme="majorBidi"/>
                <w:b/>
                <w:bCs/>
                <w:sz w:val="22"/>
                <w:szCs w:val="22"/>
              </w:rPr>
            </w:pPr>
          </w:p>
        </w:tc>
        <w:tc>
          <w:tcPr>
            <w:tcW w:w="1825" w:type="dxa"/>
            <w:vMerge/>
            <w:vAlign w:val="center"/>
            <w:hideMark/>
          </w:tcPr>
          <w:p w14:paraId="4C7AD81C" w14:textId="77777777" w:rsidR="003C2E0C" w:rsidRPr="003C2E0C" w:rsidRDefault="003C2E0C" w:rsidP="00742600">
            <w:pPr>
              <w:rPr>
                <w:rFonts w:asciiTheme="majorBidi" w:hAnsiTheme="majorBidi" w:cstheme="majorBidi"/>
                <w:b/>
                <w:bCs/>
                <w:sz w:val="22"/>
                <w:szCs w:val="22"/>
              </w:rPr>
            </w:pPr>
          </w:p>
        </w:tc>
        <w:tc>
          <w:tcPr>
            <w:tcW w:w="2126" w:type="dxa"/>
            <w:vAlign w:val="center"/>
            <w:hideMark/>
          </w:tcPr>
          <w:p w14:paraId="1FC18BBB" w14:textId="77777777" w:rsidR="003C2E0C" w:rsidRPr="003C2E0C" w:rsidRDefault="003C2E0C" w:rsidP="00742600">
            <w:pPr>
              <w:rPr>
                <w:rFonts w:asciiTheme="majorBidi" w:hAnsiTheme="majorBidi" w:cstheme="majorBidi"/>
                <w:b/>
                <w:bCs/>
                <w:sz w:val="22"/>
                <w:szCs w:val="22"/>
              </w:rPr>
            </w:pPr>
          </w:p>
        </w:tc>
      </w:tr>
      <w:tr w:rsidR="003C2E0C" w:rsidRPr="003C2E0C" w14:paraId="7FE3AC72" w14:textId="77777777" w:rsidTr="00742600">
        <w:trPr>
          <w:trHeight w:val="384"/>
          <w:jc w:val="center"/>
        </w:trPr>
        <w:tc>
          <w:tcPr>
            <w:tcW w:w="541" w:type="dxa"/>
            <w:noWrap/>
            <w:vAlign w:val="center"/>
            <w:hideMark/>
          </w:tcPr>
          <w:p w14:paraId="0ECD04F9"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113" w:type="dxa"/>
            <w:vAlign w:val="center"/>
          </w:tcPr>
          <w:p w14:paraId="6A446C8B" w14:textId="1C3D56FE"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1825" w:type="dxa"/>
            <w:noWrap/>
            <w:vAlign w:val="bottom"/>
            <w:hideMark/>
          </w:tcPr>
          <w:p w14:paraId="5E04F127" w14:textId="77777777" w:rsidR="003C2E0C" w:rsidRPr="003C2E0C" w:rsidRDefault="003C2E0C" w:rsidP="00742600">
            <w:pPr>
              <w:rPr>
                <w:rFonts w:asciiTheme="majorBidi" w:hAnsiTheme="majorBidi" w:cstheme="majorBidi"/>
                <w:sz w:val="22"/>
                <w:szCs w:val="22"/>
              </w:rPr>
            </w:pPr>
          </w:p>
        </w:tc>
        <w:tc>
          <w:tcPr>
            <w:tcW w:w="2126" w:type="dxa"/>
            <w:noWrap/>
            <w:vAlign w:val="bottom"/>
            <w:hideMark/>
          </w:tcPr>
          <w:p w14:paraId="7EA44B24" w14:textId="77777777" w:rsidR="003C2E0C" w:rsidRPr="003C2E0C" w:rsidRDefault="003C2E0C" w:rsidP="00742600">
            <w:pPr>
              <w:rPr>
                <w:rFonts w:asciiTheme="majorBidi" w:hAnsiTheme="majorBidi" w:cstheme="majorBidi"/>
                <w:sz w:val="22"/>
                <w:szCs w:val="22"/>
              </w:rPr>
            </w:pPr>
          </w:p>
        </w:tc>
      </w:tr>
      <w:tr w:rsidR="003C2E0C" w:rsidRPr="003C2E0C" w14:paraId="3786B8AB" w14:textId="77777777" w:rsidTr="00742600">
        <w:trPr>
          <w:trHeight w:val="384"/>
          <w:jc w:val="center"/>
        </w:trPr>
        <w:tc>
          <w:tcPr>
            <w:tcW w:w="541" w:type="dxa"/>
            <w:noWrap/>
            <w:vAlign w:val="center"/>
          </w:tcPr>
          <w:p w14:paraId="5C5B81B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113" w:type="dxa"/>
            <w:vAlign w:val="center"/>
          </w:tcPr>
          <w:p w14:paraId="3D8CC79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1825" w:type="dxa"/>
            <w:noWrap/>
            <w:vAlign w:val="bottom"/>
          </w:tcPr>
          <w:p w14:paraId="5CD0B6F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E088297" w14:textId="77777777" w:rsidR="003C2E0C" w:rsidRPr="003C2E0C" w:rsidRDefault="003C2E0C" w:rsidP="00742600">
            <w:pPr>
              <w:rPr>
                <w:rFonts w:asciiTheme="majorBidi" w:hAnsiTheme="majorBidi" w:cstheme="majorBidi"/>
                <w:sz w:val="22"/>
                <w:szCs w:val="22"/>
              </w:rPr>
            </w:pPr>
          </w:p>
        </w:tc>
      </w:tr>
      <w:tr w:rsidR="003C2E0C" w:rsidRPr="003C2E0C" w14:paraId="31EBDB56" w14:textId="77777777" w:rsidTr="00742600">
        <w:trPr>
          <w:trHeight w:val="384"/>
          <w:jc w:val="center"/>
        </w:trPr>
        <w:tc>
          <w:tcPr>
            <w:tcW w:w="541" w:type="dxa"/>
            <w:noWrap/>
            <w:vAlign w:val="center"/>
          </w:tcPr>
          <w:p w14:paraId="46673B7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113" w:type="dxa"/>
            <w:vAlign w:val="center"/>
          </w:tcPr>
          <w:p w14:paraId="0161C2D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1825" w:type="dxa"/>
            <w:noWrap/>
            <w:vAlign w:val="bottom"/>
          </w:tcPr>
          <w:p w14:paraId="1E7C6DD3"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68E0894" w14:textId="77777777" w:rsidR="003C2E0C" w:rsidRPr="003C2E0C" w:rsidRDefault="003C2E0C" w:rsidP="00742600">
            <w:pPr>
              <w:rPr>
                <w:rFonts w:asciiTheme="majorBidi" w:hAnsiTheme="majorBidi" w:cstheme="majorBidi"/>
                <w:sz w:val="22"/>
                <w:szCs w:val="22"/>
              </w:rPr>
            </w:pPr>
          </w:p>
        </w:tc>
      </w:tr>
      <w:tr w:rsidR="003C2E0C" w:rsidRPr="003C2E0C" w14:paraId="462E1E41" w14:textId="77777777" w:rsidTr="00742600">
        <w:trPr>
          <w:trHeight w:val="384"/>
          <w:jc w:val="center"/>
        </w:trPr>
        <w:tc>
          <w:tcPr>
            <w:tcW w:w="541" w:type="dxa"/>
            <w:noWrap/>
            <w:vAlign w:val="center"/>
          </w:tcPr>
          <w:p w14:paraId="404A51F7"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113" w:type="dxa"/>
            <w:vAlign w:val="center"/>
          </w:tcPr>
          <w:p w14:paraId="7E37392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1825" w:type="dxa"/>
            <w:noWrap/>
            <w:vAlign w:val="bottom"/>
          </w:tcPr>
          <w:p w14:paraId="279842D2"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174827DE" w14:textId="77777777" w:rsidR="003C2E0C" w:rsidRPr="003C2E0C" w:rsidRDefault="003C2E0C" w:rsidP="00742600">
            <w:pPr>
              <w:rPr>
                <w:rFonts w:asciiTheme="majorBidi" w:hAnsiTheme="majorBidi" w:cstheme="majorBidi"/>
                <w:sz w:val="22"/>
                <w:szCs w:val="22"/>
              </w:rPr>
            </w:pPr>
          </w:p>
        </w:tc>
      </w:tr>
      <w:tr w:rsidR="003C2E0C" w:rsidRPr="003C2E0C" w14:paraId="55A6FCB6" w14:textId="77777777" w:rsidTr="00742600">
        <w:trPr>
          <w:trHeight w:val="384"/>
          <w:jc w:val="center"/>
        </w:trPr>
        <w:tc>
          <w:tcPr>
            <w:tcW w:w="541" w:type="dxa"/>
            <w:noWrap/>
            <w:vAlign w:val="center"/>
          </w:tcPr>
          <w:p w14:paraId="724B7CB3"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113" w:type="dxa"/>
            <w:vAlign w:val="center"/>
          </w:tcPr>
          <w:p w14:paraId="54FBDE1B"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1825" w:type="dxa"/>
            <w:noWrap/>
            <w:vAlign w:val="bottom"/>
          </w:tcPr>
          <w:p w14:paraId="5D848E0B"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14A2CD7" w14:textId="77777777" w:rsidR="003C2E0C" w:rsidRPr="003C2E0C" w:rsidRDefault="003C2E0C" w:rsidP="00742600">
            <w:pPr>
              <w:rPr>
                <w:rFonts w:asciiTheme="majorBidi" w:hAnsiTheme="majorBidi" w:cstheme="majorBidi"/>
                <w:sz w:val="22"/>
                <w:szCs w:val="22"/>
              </w:rPr>
            </w:pPr>
          </w:p>
        </w:tc>
      </w:tr>
      <w:tr w:rsidR="003C2E0C" w:rsidRPr="003C2E0C" w14:paraId="3B52D1BB" w14:textId="77777777" w:rsidTr="00742600">
        <w:trPr>
          <w:trHeight w:val="384"/>
          <w:jc w:val="center"/>
        </w:trPr>
        <w:tc>
          <w:tcPr>
            <w:tcW w:w="541" w:type="dxa"/>
            <w:noWrap/>
            <w:vAlign w:val="center"/>
          </w:tcPr>
          <w:p w14:paraId="0239AC56"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113" w:type="dxa"/>
            <w:vAlign w:val="center"/>
          </w:tcPr>
          <w:p w14:paraId="7995070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1825" w:type="dxa"/>
            <w:noWrap/>
            <w:vAlign w:val="bottom"/>
          </w:tcPr>
          <w:p w14:paraId="653B82B1"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3711A77A" w14:textId="77777777" w:rsidR="003C2E0C" w:rsidRPr="003C2E0C" w:rsidRDefault="003C2E0C" w:rsidP="00742600">
            <w:pPr>
              <w:rPr>
                <w:rFonts w:asciiTheme="majorBidi" w:hAnsiTheme="majorBidi" w:cstheme="majorBidi"/>
                <w:sz w:val="22"/>
                <w:szCs w:val="22"/>
              </w:rPr>
            </w:pPr>
          </w:p>
        </w:tc>
      </w:tr>
      <w:tr w:rsidR="003C2E0C" w:rsidRPr="003C2E0C" w14:paraId="77929071" w14:textId="77777777" w:rsidTr="00742600">
        <w:trPr>
          <w:trHeight w:val="384"/>
          <w:jc w:val="center"/>
        </w:trPr>
        <w:tc>
          <w:tcPr>
            <w:tcW w:w="541" w:type="dxa"/>
            <w:noWrap/>
            <w:vAlign w:val="center"/>
          </w:tcPr>
          <w:p w14:paraId="4F0AE189" w14:textId="7AE7A896"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7</w:t>
            </w:r>
            <w:r w:rsidR="003C2E0C" w:rsidRPr="003C2E0C">
              <w:rPr>
                <w:rFonts w:asciiTheme="majorBidi" w:hAnsiTheme="majorBidi" w:cstheme="majorBidi"/>
                <w:sz w:val="22"/>
                <w:szCs w:val="22"/>
              </w:rPr>
              <w:t>.</w:t>
            </w:r>
          </w:p>
        </w:tc>
        <w:tc>
          <w:tcPr>
            <w:tcW w:w="5113" w:type="dxa"/>
            <w:vAlign w:val="center"/>
          </w:tcPr>
          <w:p w14:paraId="6F7B173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Teritorijos apšvietimo įrengimo darbai.</w:t>
            </w:r>
          </w:p>
        </w:tc>
        <w:tc>
          <w:tcPr>
            <w:tcW w:w="1825" w:type="dxa"/>
            <w:noWrap/>
            <w:vAlign w:val="bottom"/>
          </w:tcPr>
          <w:p w14:paraId="60358525"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0041CE43" w14:textId="77777777" w:rsidR="003C2E0C" w:rsidRPr="003C2E0C" w:rsidRDefault="003C2E0C" w:rsidP="00742600">
            <w:pPr>
              <w:rPr>
                <w:rFonts w:asciiTheme="majorBidi" w:hAnsiTheme="majorBidi" w:cstheme="majorBidi"/>
                <w:sz w:val="22"/>
                <w:szCs w:val="22"/>
              </w:rPr>
            </w:pPr>
          </w:p>
        </w:tc>
      </w:tr>
      <w:tr w:rsidR="003C2E0C" w:rsidRPr="003C2E0C" w14:paraId="0038FDD7" w14:textId="77777777" w:rsidTr="00742600">
        <w:trPr>
          <w:trHeight w:val="384"/>
          <w:jc w:val="center"/>
        </w:trPr>
        <w:tc>
          <w:tcPr>
            <w:tcW w:w="541" w:type="dxa"/>
            <w:noWrap/>
            <w:vAlign w:val="center"/>
          </w:tcPr>
          <w:p w14:paraId="4CBC306B" w14:textId="54439E61"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8</w:t>
            </w:r>
            <w:r w:rsidR="003C2E0C" w:rsidRPr="003C2E0C">
              <w:rPr>
                <w:rFonts w:asciiTheme="majorBidi" w:hAnsiTheme="majorBidi" w:cstheme="majorBidi"/>
                <w:sz w:val="22"/>
                <w:szCs w:val="22"/>
              </w:rPr>
              <w:t>.</w:t>
            </w:r>
          </w:p>
        </w:tc>
        <w:tc>
          <w:tcPr>
            <w:tcW w:w="5113" w:type="dxa"/>
            <w:vAlign w:val="center"/>
          </w:tcPr>
          <w:p w14:paraId="6A9A5A5A"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Elektros jėgos tinklo įrengimo darbai.</w:t>
            </w:r>
          </w:p>
        </w:tc>
        <w:tc>
          <w:tcPr>
            <w:tcW w:w="1825" w:type="dxa"/>
            <w:noWrap/>
            <w:vAlign w:val="bottom"/>
          </w:tcPr>
          <w:p w14:paraId="3E891499"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BE80C9F" w14:textId="77777777" w:rsidR="003C2E0C" w:rsidRPr="003C2E0C" w:rsidRDefault="003C2E0C" w:rsidP="00742600">
            <w:pPr>
              <w:rPr>
                <w:rFonts w:asciiTheme="majorBidi" w:hAnsiTheme="majorBidi" w:cstheme="majorBidi"/>
                <w:sz w:val="22"/>
                <w:szCs w:val="22"/>
              </w:rPr>
            </w:pPr>
          </w:p>
        </w:tc>
      </w:tr>
      <w:tr w:rsidR="003C2E0C" w:rsidRPr="003C2E0C" w14:paraId="63FB5346" w14:textId="77777777" w:rsidTr="00742600">
        <w:trPr>
          <w:trHeight w:val="384"/>
          <w:jc w:val="center"/>
        </w:trPr>
        <w:tc>
          <w:tcPr>
            <w:tcW w:w="541" w:type="dxa"/>
            <w:noWrap/>
            <w:vAlign w:val="center"/>
          </w:tcPr>
          <w:p w14:paraId="256EDEEC" w14:textId="006A25ED"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9</w:t>
            </w:r>
            <w:r w:rsidR="003C2E0C" w:rsidRPr="003C2E0C">
              <w:rPr>
                <w:rFonts w:asciiTheme="majorBidi" w:hAnsiTheme="majorBidi" w:cstheme="majorBidi"/>
                <w:sz w:val="22"/>
                <w:szCs w:val="22"/>
              </w:rPr>
              <w:t>.</w:t>
            </w:r>
          </w:p>
        </w:tc>
        <w:tc>
          <w:tcPr>
            <w:tcW w:w="5113" w:type="dxa"/>
            <w:vAlign w:val="center"/>
          </w:tcPr>
          <w:p w14:paraId="296AD7F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Paviršinių (lietaus) nuotekų tinklų įrengimo darbai.</w:t>
            </w:r>
          </w:p>
        </w:tc>
        <w:tc>
          <w:tcPr>
            <w:tcW w:w="1825" w:type="dxa"/>
            <w:noWrap/>
            <w:vAlign w:val="bottom"/>
          </w:tcPr>
          <w:p w14:paraId="02EB9A2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385EDAA" w14:textId="77777777" w:rsidR="003C2E0C" w:rsidRPr="003C2E0C" w:rsidRDefault="003C2E0C" w:rsidP="00742600">
            <w:pPr>
              <w:rPr>
                <w:rFonts w:asciiTheme="majorBidi" w:hAnsiTheme="majorBidi" w:cstheme="majorBidi"/>
                <w:sz w:val="22"/>
                <w:szCs w:val="22"/>
              </w:rPr>
            </w:pPr>
          </w:p>
        </w:tc>
      </w:tr>
      <w:tr w:rsidR="003C2E0C" w:rsidRPr="003C2E0C" w14:paraId="15BBCA8F" w14:textId="77777777" w:rsidTr="00742600">
        <w:trPr>
          <w:trHeight w:val="384"/>
          <w:jc w:val="center"/>
        </w:trPr>
        <w:tc>
          <w:tcPr>
            <w:tcW w:w="541" w:type="dxa"/>
            <w:noWrap/>
            <w:vAlign w:val="center"/>
          </w:tcPr>
          <w:p w14:paraId="3BB67DF8" w14:textId="71AC47BA"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r w:rsidR="00EE4F37">
              <w:rPr>
                <w:rFonts w:asciiTheme="majorBidi" w:hAnsiTheme="majorBidi" w:cstheme="majorBidi"/>
                <w:sz w:val="22"/>
                <w:szCs w:val="22"/>
              </w:rPr>
              <w:t>0</w:t>
            </w:r>
            <w:r w:rsidRPr="003C2E0C">
              <w:rPr>
                <w:rFonts w:asciiTheme="majorBidi" w:hAnsiTheme="majorBidi" w:cstheme="majorBidi"/>
                <w:sz w:val="22"/>
                <w:szCs w:val="22"/>
              </w:rPr>
              <w:t>.</w:t>
            </w:r>
          </w:p>
        </w:tc>
        <w:tc>
          <w:tcPr>
            <w:tcW w:w="5113" w:type="dxa"/>
            <w:vAlign w:val="center"/>
          </w:tcPr>
          <w:p w14:paraId="630B6F41"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1825" w:type="dxa"/>
            <w:noWrap/>
            <w:vAlign w:val="bottom"/>
          </w:tcPr>
          <w:p w14:paraId="48B7FA7D"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55115A23" w14:textId="77777777" w:rsidR="003C2E0C" w:rsidRPr="003C2E0C" w:rsidRDefault="003C2E0C" w:rsidP="00742600">
            <w:pPr>
              <w:rPr>
                <w:rFonts w:asciiTheme="majorBidi" w:hAnsiTheme="majorBidi" w:cstheme="majorBidi"/>
                <w:sz w:val="22"/>
                <w:szCs w:val="22"/>
              </w:rPr>
            </w:pPr>
          </w:p>
        </w:tc>
      </w:tr>
      <w:tr w:rsidR="003C2E0C" w:rsidRPr="003C2E0C" w14:paraId="14212060" w14:textId="77777777" w:rsidTr="00742600">
        <w:trPr>
          <w:trHeight w:val="297"/>
          <w:jc w:val="center"/>
        </w:trPr>
        <w:tc>
          <w:tcPr>
            <w:tcW w:w="7479" w:type="dxa"/>
            <w:gridSpan w:val="3"/>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2126"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742600">
        <w:trPr>
          <w:trHeight w:val="297"/>
          <w:jc w:val="center"/>
        </w:trPr>
        <w:tc>
          <w:tcPr>
            <w:tcW w:w="7479" w:type="dxa"/>
            <w:gridSpan w:val="3"/>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2126"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742600">
        <w:trPr>
          <w:trHeight w:val="297"/>
          <w:jc w:val="center"/>
        </w:trPr>
        <w:tc>
          <w:tcPr>
            <w:tcW w:w="7479" w:type="dxa"/>
            <w:gridSpan w:val="3"/>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2126"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045A0D">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66E0" w14:textId="77777777" w:rsidR="005F507F" w:rsidRDefault="005F507F" w:rsidP="00D05666">
      <w:r>
        <w:separator/>
      </w:r>
    </w:p>
  </w:endnote>
  <w:endnote w:type="continuationSeparator" w:id="0">
    <w:p w14:paraId="650BBF68" w14:textId="77777777" w:rsidR="005F507F" w:rsidRDefault="005F507F" w:rsidP="00D05666">
      <w:r>
        <w:continuationSeparator/>
      </w:r>
    </w:p>
  </w:endnote>
  <w:endnote w:type="continuationNotice" w:id="1">
    <w:p w14:paraId="3395E840" w14:textId="77777777" w:rsidR="005F507F" w:rsidRDefault="005F5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07349B">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8367" w14:textId="77777777" w:rsidR="005F507F" w:rsidRDefault="005F507F" w:rsidP="00D05666">
      <w:r>
        <w:separator/>
      </w:r>
    </w:p>
  </w:footnote>
  <w:footnote w:type="continuationSeparator" w:id="0">
    <w:p w14:paraId="33E70621" w14:textId="77777777" w:rsidR="005F507F" w:rsidRDefault="005F507F" w:rsidP="00D05666">
      <w:r>
        <w:continuationSeparator/>
      </w:r>
    </w:p>
  </w:footnote>
  <w:footnote w:type="continuationNotice" w:id="1">
    <w:p w14:paraId="5F26C538" w14:textId="77777777" w:rsidR="005F507F" w:rsidRDefault="005F507F">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12D"/>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3F"/>
    <w:rsid w:val="001640AF"/>
    <w:rsid w:val="00164443"/>
    <w:rsid w:val="001647BD"/>
    <w:rsid w:val="00165B9B"/>
    <w:rsid w:val="00166073"/>
    <w:rsid w:val="0016665C"/>
    <w:rsid w:val="00166EB7"/>
    <w:rsid w:val="00167192"/>
    <w:rsid w:val="00167555"/>
    <w:rsid w:val="00167A7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736"/>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3D29"/>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67AAC"/>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6FA"/>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611"/>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913"/>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5D2"/>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4B"/>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82"/>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5D3E"/>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70"/>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ECB"/>
    <w:rsid w:val="00F36F28"/>
    <w:rsid w:val="00F37882"/>
    <w:rsid w:val="00F37A07"/>
    <w:rsid w:val="00F37A9B"/>
    <w:rsid w:val="00F40BD7"/>
    <w:rsid w:val="00F40E95"/>
    <w:rsid w:val="00F4196A"/>
    <w:rsid w:val="00F41BF7"/>
    <w:rsid w:val="00F4288C"/>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40593</Words>
  <Characters>23139</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2025-05-26T12:42:00Z</cp:lastPrinted>
  <dcterms:created xsi:type="dcterms:W3CDTF">2025-07-31T08:17:00Z</dcterms:created>
  <dcterms:modified xsi:type="dcterms:W3CDTF">2025-07-31T08:17:00Z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