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0" w:type="dxa"/>
        <w:tblLayout w:type="fixed"/>
        <w:tblCellMar>
          <w:top w:w="0" w:type="dxa"/>
          <w:left w:w="108" w:type="dxa"/>
          <w:bottom w:w="0" w:type="dxa"/>
          <w:right w:w="108" w:type="dxa"/>
        </w:tblCellMar>
      </w:tblPr>
      <w:tblGrid>
        <w:gridCol w:w="3289"/>
        <w:gridCol w:w="6632"/>
      </w:tblGrid>
      <w:tr>
        <w:trPr/>
        <w:tc>
          <w:tcPr>
            <w:tcW w:w="3289" w:type="dxa"/>
            <w:tcBorders>
              <w:top w:val="single" w:sz="4" w:space="0" w:color="4F81BD"/>
              <w:left w:val="single" w:sz="4" w:space="0" w:color="4F81BD"/>
              <w:bottom w:val="single" w:sz="4" w:space="0" w:color="4F81BD"/>
              <w:right w:val="single" w:sz="4" w:space="0" w:color="4F81BD"/>
            </w:tcBorders>
            <w:shd w:fill="FFFFCC" w:val="clear"/>
            <w:vAlign w:val="center"/>
          </w:tcPr>
          <w:p>
            <w:pPr>
              <w:pStyle w:val="Normal"/>
              <w:widowControl/>
              <w:suppressAutoHyphens w:val="true"/>
              <w:spacing w:before="0" w:after="200"/>
              <w:jc w:val="both"/>
              <w:rPr>
                <w:b/>
                <w:i/>
                <w:i/>
                <w:sz w:val="24"/>
                <w:szCs w:val="24"/>
                <w:lang w:val="lt-LT"/>
              </w:rPr>
            </w:pPr>
            <w:r>
              <w:rPr>
                <w:b/>
                <w:color w:val="548DD4"/>
                <w:kern w:val="0"/>
                <w:sz w:val="24"/>
                <w:szCs w:val="24"/>
                <w:lang w:val="lt-LT" w:eastAsia="en-US" w:bidi="ar-SA"/>
              </w:rPr>
              <w:t>RINKOS DALYVIŲ KONSULTACIJA</w:t>
            </w:r>
          </w:p>
        </w:tc>
        <w:tc>
          <w:tcPr>
            <w:tcW w:w="6632"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center"/>
              <w:rPr>
                <w:sz w:val="24"/>
                <w:szCs w:val="24"/>
              </w:rPr>
            </w:pPr>
            <w:r>
              <w:rPr>
                <w:rFonts w:ascii="Times New Roman" w:hAnsi="Times New Roman"/>
                <w:b/>
                <w:bCs/>
                <w:color w:val="333333"/>
                <w:kern w:val="0"/>
                <w:sz w:val="24"/>
                <w:szCs w:val="24"/>
                <w:lang w:val="lt-LT" w:eastAsia="en-US" w:bidi="ar-SA"/>
              </w:rPr>
              <w:t>MOKYMŲ „RACIONALUS ANTIMIKROBINIŲ VAISTINIŲ PREPARATŲ SKYRIMAS IR VARTOJIMAS“ ORGANIZAVIMO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fill="FFFFCC" w:val="clear"/>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0" w:type="dxa"/>
        <w:tblLayout w:type="fixed"/>
        <w:tblCellMar>
          <w:top w:w="0" w:type="dxa"/>
          <w:left w:w="108" w:type="dxa"/>
          <w:bottom w:w="0" w:type="dxa"/>
          <w:right w:w="108" w:type="dxa"/>
        </w:tblCellMar>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color w:themeColor="dark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bCs/>
                <w:kern w:val="0"/>
                <w:sz w:val="24"/>
                <w:szCs w:val="24"/>
                <w:lang w:val="lt-LT"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w:t>
            </w:r>
            <w:r>
              <w:rPr>
                <w:rFonts w:ascii="Times New Roman" w:hAnsi="Times New Roman"/>
                <w:bCs/>
                <w:iCs/>
                <w:kern w:val="0"/>
                <w:sz w:val="24"/>
                <w:szCs w:val="24"/>
                <w:lang w:val="en-US" w:eastAsia="en-US" w:bidi="ar-SA"/>
              </w:rPr>
              <w:t>8</w:t>
            </w:r>
            <w:r>
              <w:rPr>
                <w:rFonts w:ascii="Times New Roman" w:hAnsi="Times New Roman"/>
                <w:bCs/>
                <w:iCs/>
                <w:kern w:val="0"/>
                <w:sz w:val="24"/>
                <w:szCs w:val="24"/>
                <w:lang w:val="lt-LT" w:eastAsia="en-US" w:bidi="ar-SA"/>
              </w:rPr>
              <w:t>-0</w:t>
            </w:r>
            <w:r>
              <w:rPr>
                <w:rFonts w:ascii="Times New Roman" w:hAnsi="Times New Roman"/>
                <w:bCs/>
                <w:iCs/>
                <w:kern w:val="0"/>
                <w:sz w:val="24"/>
                <w:szCs w:val="24"/>
                <w:lang w:val="lt-LT" w:eastAsia="en-US" w:bidi="ar-SA"/>
              </w:rPr>
              <w:t>6</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fill="FFFFCC" w:val="clear"/>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7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36"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pastabų, klausimų techninės specifikacijos projektui?</w:t>
            </w:r>
          </w:p>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uppressAutoHyphens w:val="true"/>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name w:val="Default Paragraph Font"/>
    <w:qFormat/>
    <w:rPr/>
  </w:style>
  <w:style w:type="character" w:styleId="SraopastraipaDiagrama">
    <w:name w:val="Sąrašo pastraipa Diagrama"/>
    <w:link w:val="ListParagraph"/>
    <w:qFormat/>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suppressAutoHyphens w:val="true"/>
      <w:kinsoku w:val="true"/>
      <w:overflowPunct w:val="true"/>
      <w:autoSpaceDE w:val="tru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qFormat/>
    <w:pPr>
      <w:spacing w:before="0" w:after="200"/>
      <w:ind w:left="720"/>
      <w:contextualSpacing/>
    </w:pPr>
    <w:rPr/>
  </w:style>
  <w:style w:type="paragraph" w:styleId="Pagrindinistekstas1">
    <w:name w:val="Pagrindinis tekstas1"/>
    <w:basedOn w:val="Normal"/>
    <w:qFormat/>
    <w:pPr>
      <w:suppressAutoHyphens w:val="true"/>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name w:val="Text body indent"/>
    <w:basedOn w:val="Normal"/>
    <w:qFormat/>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LibreOffice/7.6.4.1$Windows_X86_64 LibreOffice_project/e19e193f88cd6c0525a17fb7a176ed8e6a3e2aa1</Application>
  <AppVersion>15.0000</AppVersion>
  <Pages>2</Pages>
  <Words>330</Words>
  <Characters>2525</Characters>
  <CharactersWithSpaces>2816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2025-02-21T09:32:00Z</dcterms:created>
  <dc:creator>Jurgita Nainienė</dc:creator>
  <dc:description/>
  <dc:language>en-US</dc:language>
  <cp:lastModifiedBy/>
  <dcterms:modified xsi:type="dcterms:W3CDTF">2025-08-01T14:02:26Z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