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iCs/>
          <w:lang w:val="lt-LT"/>
        </w:rPr>
      </w:pPr>
      <w:r>
        <w:rPr>
          <w:iCs/>
          <w:lang w:val="lt-LT"/>
        </w:rPr>
        <w:t>Konkurso sąlygų priedas Nr. 1</w:t>
      </w:r>
    </w:p>
    <w:p>
      <w:pPr>
        <w:pStyle w:val="Normal"/>
        <w:jc w:val="right"/>
        <w:rPr>
          <w:iCs/>
          <w:lang w:val="lt-LT"/>
        </w:rPr>
      </w:pPr>
      <w:r>
        <w:rPr>
          <w:iCs/>
          <w:lang w:val="lt-LT"/>
        </w:rPr>
      </w:r>
    </w:p>
    <w:p>
      <w:pPr>
        <w:pStyle w:val="Normal"/>
        <w:jc w:val="center"/>
        <w:rPr>
          <w:b/>
          <w:bCs/>
          <w:color w:val="333333"/>
          <w:lang w:val="lt-LT"/>
        </w:rPr>
      </w:pPr>
      <w:r>
        <w:rPr>
          <w:b/>
          <w:bCs/>
          <w:color w:val="333333"/>
          <w:lang w:val="lt-LT"/>
        </w:rPr>
        <w:t>MOKYMŲ „RACIONALUS ANTIMIKROBINIŲ VAISTINIŲ PREPARATŲ SKYRIMAS IR VARTOJIMAS“ ORGANIZAVIMO PASLAUGOS</w:t>
      </w:r>
    </w:p>
    <w:p>
      <w:pPr>
        <w:pStyle w:val="Normal"/>
        <w:jc w:val="center"/>
        <w:rPr>
          <w:b/>
          <w:bCs/>
          <w:color w:val="333333"/>
          <w:lang w:val="lt-LT"/>
        </w:rPr>
      </w:pPr>
      <w:r>
        <w:rPr>
          <w:b/>
          <w:bCs/>
          <w:color w:val="333333"/>
          <w:lang w:val="lt-LT"/>
        </w:rPr>
      </w:r>
    </w:p>
    <w:p>
      <w:pPr>
        <w:pStyle w:val="Normal"/>
        <w:ind w:hanging="142" w:left="-142"/>
        <w:jc w:val="center"/>
        <w:rPr>
          <w:b/>
          <w:lang w:val="lt-LT"/>
        </w:rPr>
      </w:pPr>
      <w:r>
        <w:rPr>
          <w:b/>
          <w:lang w:val="lt-LT"/>
        </w:rPr>
        <w:t>TECHNINĖ SPECIFIKACIJA</w:t>
      </w:r>
    </w:p>
    <w:p>
      <w:pPr>
        <w:pStyle w:val="Normal"/>
        <w:jc w:val="center"/>
        <w:rPr>
          <w:lang w:val="lt-LT"/>
        </w:rPr>
      </w:pPr>
      <w:r>
        <w:rPr>
          <w:lang w:val="lt-LT"/>
        </w:rPr>
      </w:r>
    </w:p>
    <w:p>
      <w:pPr>
        <w:pStyle w:val="Normal"/>
        <w:tabs>
          <w:tab w:val="clear" w:pos="720"/>
          <w:tab w:val="left" w:pos="3402" w:leader="none"/>
          <w:tab w:val="left" w:pos="3969" w:leader="none"/>
        </w:tabs>
        <w:ind w:hanging="142"/>
        <w:jc w:val="center"/>
        <w:rPr>
          <w:b/>
          <w:lang w:val="lt-LT"/>
        </w:rPr>
      </w:pPr>
      <w:r>
        <w:rPr>
          <w:b/>
          <w:lang w:val="lt-LT"/>
        </w:rPr>
        <w:t>I. BENDROJI DALIS</w:t>
      </w:r>
    </w:p>
    <w:p>
      <w:pPr>
        <w:pStyle w:val="Normal"/>
        <w:tabs>
          <w:tab w:val="clear" w:pos="720"/>
          <w:tab w:val="left" w:pos="3402" w:leader="none"/>
          <w:tab w:val="left" w:pos="3969" w:leader="none"/>
        </w:tabs>
        <w:ind w:left="360"/>
        <w:jc w:val="both"/>
        <w:rPr>
          <w:b/>
          <w:lang w:val="lt-LT"/>
        </w:rPr>
      </w:pPr>
      <w:r>
        <w:rPr>
          <w:b/>
          <w:lang w:val="lt-LT"/>
        </w:rPr>
      </w:r>
    </w:p>
    <w:p>
      <w:pPr>
        <w:pStyle w:val="ListParagraph"/>
        <w:numPr>
          <w:ilvl w:val="0"/>
          <w:numId w:val="1"/>
        </w:numPr>
        <w:tabs>
          <w:tab w:val="clear" w:pos="720"/>
          <w:tab w:val="left" w:pos="3402" w:leader="none"/>
          <w:tab w:val="left" w:pos="3969" w:leader="none"/>
        </w:tabs>
        <w:ind w:firstLine="426" w:left="0"/>
        <w:jc w:val="both"/>
        <w:rPr>
          <w:rFonts w:ascii="Times New Roman" w:hAnsi="Times New Roman" w:cs="Times New Roman"/>
          <w:b/>
          <w:lang w:val="lt-LT"/>
        </w:rPr>
      </w:pPr>
      <w:r>
        <w:rPr>
          <w:rFonts w:cs="Times New Roman" w:ascii="Times New Roman" w:hAnsi="Times New Roman"/>
          <w:b/>
          <w:lang w:val="lt-LT"/>
        </w:rPr>
        <w:t xml:space="preserve">Perkančioji organizacija - </w:t>
      </w:r>
      <w:r>
        <w:rPr>
          <w:rFonts w:cs="Times New Roman" w:ascii="Times New Roman" w:hAnsi="Times New Roman"/>
          <w:bCs/>
          <w:lang w:val="lt-LT"/>
        </w:rPr>
        <w:t xml:space="preserve">Higienos institutas </w:t>
      </w:r>
    </w:p>
    <w:p>
      <w:pPr>
        <w:pStyle w:val="ListParagraph"/>
        <w:numPr>
          <w:ilvl w:val="0"/>
          <w:numId w:val="1"/>
        </w:numPr>
        <w:tabs>
          <w:tab w:val="clear" w:pos="720"/>
          <w:tab w:val="left" w:pos="3402" w:leader="none"/>
          <w:tab w:val="left" w:pos="3969" w:leader="none"/>
        </w:tabs>
        <w:ind w:firstLine="426" w:left="0"/>
        <w:jc w:val="both"/>
        <w:rPr>
          <w:lang w:val="lt-LT"/>
        </w:rPr>
      </w:pPr>
      <w:r>
        <w:rPr>
          <w:rFonts w:cs="Times New Roman" w:ascii="Times New Roman" w:hAnsi="Times New Roman"/>
          <w:b/>
          <w:lang w:val="lt-LT"/>
        </w:rPr>
        <w:t xml:space="preserve">Informacija apie vykdomą projektą - </w:t>
      </w:r>
      <w:r>
        <w:rPr>
          <w:rFonts w:cs="Times New Roman" w:ascii="Times New Roman" w:hAnsi="Times New Roman"/>
          <w:lang w:val="lt-LT"/>
        </w:rPr>
        <w:t>Paslaugos perkamos įgyvendinant Perkančiosios organizacijos koordinuojamą  projektą „Antimikrobinio atsparumo valdymo plėtojimas“ (toliau - Projektas), kuriuo siekiama užtikrinti antimikrobinio atsparumo valdymo gerinimą šalyje. Projektas skirtas asmens  sveikatos priežiūros įstaigoms (ASPĮ) ir jų sveikatos priežiūros specialistams. Europos prevencijos ir kontrolės centro (ECDC) duomenimis, antimikrobinis atsparumas pasaulyje ir ES šalyse didėja ir tampa vis svarbesne visuomenės sveikatos problema. Situacija Lietuvoje taip pat nėra palanki. Šią problemą planuojama spręsti sukuriant ir diegiant antimikrobinio atsparumo valdymui skirtas priemones  – pasinaudojus gerąja užsienio šalių praktika ir patirtimi bei mokslo įrodymais projekto metu bus sukurti ir pradėti diegti stacionarinėse ASPĮ du modeliai:</w:t>
      </w:r>
      <w:r>
        <w:rPr>
          <w:rFonts w:cs="Times New Roman" w:ascii="Times New Roman" w:hAnsi="Times New Roman"/>
          <w:b/>
          <w:bCs/>
          <w:lang w:val="lt-LT"/>
        </w:rPr>
        <w:t xml:space="preserve"> </w:t>
      </w:r>
      <w:r>
        <w:rPr>
          <w:rFonts w:cs="Times New Roman" w:ascii="Times New Roman" w:hAnsi="Times New Roman"/>
          <w:lang w:val="lt-LT"/>
        </w:rPr>
        <w:t>antimikrobinių vaistų vartojimo valdymo ir infekcijų prevencijos ir valdymo stacionarinėse ASPĮ modeliai. Siekiant sėkmingai diegti modelius, bus tobulinama sveikatos priežiūros specialistų kvalifikacija Lietuvoje vyksiančių ir užsienio šalių renginiuose, rengiama metodinė medžiaga ir organizuojami mokymai.</w:t>
      </w:r>
    </w:p>
    <w:p>
      <w:pPr>
        <w:pStyle w:val="Normal"/>
        <w:ind w:firstLine="851"/>
        <w:jc w:val="both"/>
        <w:rPr>
          <w:lang w:val="lt-LT"/>
        </w:rPr>
      </w:pPr>
      <w:r>
        <w:rPr>
          <w:lang w:val="lt-LT"/>
        </w:rPr>
      </w:r>
    </w:p>
    <w:p>
      <w:pPr>
        <w:pStyle w:val="Normal"/>
        <w:tabs>
          <w:tab w:val="clear" w:pos="720"/>
          <w:tab w:val="left" w:pos="3402" w:leader="none"/>
          <w:tab w:val="left" w:pos="3969" w:leader="none"/>
        </w:tabs>
        <w:jc w:val="center"/>
        <w:rPr>
          <w:b/>
          <w:lang w:val="lt-LT"/>
        </w:rPr>
      </w:pPr>
      <w:r>
        <w:rPr>
          <w:b/>
          <w:lang w:val="lt-LT"/>
        </w:rPr>
        <w:t>II. PIRKIMO OBJEKTAS</w:t>
      </w:r>
    </w:p>
    <w:p>
      <w:pPr>
        <w:pStyle w:val="Normal"/>
        <w:tabs>
          <w:tab w:val="clear" w:pos="720"/>
          <w:tab w:val="left" w:pos="3402" w:leader="none"/>
          <w:tab w:val="left" w:pos="3969" w:leader="none"/>
        </w:tabs>
        <w:jc w:val="center"/>
        <w:rPr>
          <w:b/>
          <w:lang w:val="lt-LT"/>
        </w:rPr>
      </w:pPr>
      <w:r>
        <w:rPr>
          <w:b/>
          <w:lang w:val="lt-LT"/>
        </w:rPr>
      </w:r>
    </w:p>
    <w:p>
      <w:pPr>
        <w:pStyle w:val="ListParagraph"/>
        <w:numPr>
          <w:ilvl w:val="0"/>
          <w:numId w:val="1"/>
        </w:numPr>
        <w:ind w:firstLine="567" w:left="0"/>
        <w:jc w:val="both"/>
        <w:rPr>
          <w:rFonts w:ascii="Times New Roman" w:hAnsi="Times New Roman" w:cs="Times New Roman"/>
          <w:color w:val="000000"/>
          <w:spacing w:val="2"/>
          <w:shd w:fill="FFFFFF" w:val="clear"/>
          <w:lang w:val="lt-LT"/>
        </w:rPr>
      </w:pPr>
      <w:r>
        <w:rPr>
          <w:rFonts w:cs="Times New Roman" w:ascii="Times New Roman" w:hAnsi="Times New Roman"/>
          <w:bCs/>
          <w:lang w:val="lt-LT"/>
        </w:rPr>
        <w:t xml:space="preserve"> </w:t>
      </w:r>
      <w:r>
        <w:rPr>
          <w:rFonts w:cs="Times New Roman" w:ascii="Times New Roman" w:hAnsi="Times New Roman"/>
          <w:b/>
          <w:lang w:val="lt-LT"/>
        </w:rPr>
        <w:t>Pirkimo objektas</w:t>
      </w:r>
      <w:r>
        <w:rPr>
          <w:rFonts w:cs="Times New Roman" w:ascii="Times New Roman" w:hAnsi="Times New Roman"/>
          <w:bCs/>
          <w:lang w:val="lt-LT"/>
        </w:rPr>
        <w:t xml:space="preserve"> – mokymų „Racionalaus antimikrobinių vaistinių preparatų  vartojimas ambulatorinėse asmens sveikatos priežiūros įstaigose“ organizavimo paslaugos.</w:t>
      </w:r>
    </w:p>
    <w:p>
      <w:pPr>
        <w:pStyle w:val="ListParagraph"/>
        <w:numPr>
          <w:ilvl w:val="0"/>
          <w:numId w:val="1"/>
        </w:numPr>
        <w:ind w:firstLine="567" w:left="0"/>
        <w:jc w:val="both"/>
        <w:rPr>
          <w:rFonts w:ascii="Times New Roman" w:hAnsi="Times New Roman" w:cs="Times New Roman"/>
          <w:color w:val="000000"/>
          <w:spacing w:val="2"/>
          <w:shd w:fill="FFFFFF" w:val="clear"/>
          <w:lang w:val="lt-LT"/>
        </w:rPr>
      </w:pPr>
      <w:r>
        <w:rPr>
          <w:rFonts w:cs="Times New Roman" w:ascii="Times New Roman" w:hAnsi="Times New Roman"/>
          <w:b/>
          <w:lang w:val="lt-LT"/>
        </w:rPr>
        <w:t>Paslaugų tikslas</w:t>
      </w:r>
      <w:r>
        <w:rPr>
          <w:rFonts w:cs="Times New Roman" w:ascii="Times New Roman" w:hAnsi="Times New Roman"/>
          <w:bCs/>
          <w:lang w:val="lt-LT"/>
        </w:rPr>
        <w:t xml:space="preserve"> – suorganizuoti mokymus asmens sveikatos priežiūros specialistams pagal tobulinimo programą „Racionalus antimikrobinių vaistinių preparatų  skyrimas ir vartojimas“, patvirtintą LR Sveikatos apsaugos ministro 2024 m. birželio 28 d. įsakymu Nr. V-697 (programos kodas 57.1),  (</w:t>
      </w:r>
      <w:r>
        <w:rPr>
          <w:rFonts w:cs="Times New Roman" w:ascii="Times New Roman" w:hAnsi="Times New Roman"/>
          <w:b/>
          <w:lang w:val="lt-LT"/>
        </w:rPr>
        <w:t>Mokymų tikslinė grupė</w:t>
      </w:r>
      <w:r>
        <w:rPr>
          <w:rFonts w:cs="Times New Roman" w:ascii="Times New Roman" w:hAnsi="Times New Roman"/>
          <w:bCs/>
          <w:lang w:val="lt-LT"/>
        </w:rPr>
        <w:t xml:space="preserve"> – </w:t>
      </w:r>
      <w:r>
        <w:rPr>
          <w:rFonts w:eastAsia="Times New Roman" w:cs="Times New Roman" w:ascii="Times New Roman" w:hAnsi="Times New Roman"/>
          <w:bCs/>
          <w:color w:val="000000"/>
          <w:lang w:val="lt-LT" w:eastAsia="lt-LT"/>
        </w:rPr>
        <w:t>medicinos gydytojai, farmacijos specialistai, visų profesinių kvalifikacijų gydytojai odontologai)</w:t>
      </w:r>
      <w:r>
        <w:rPr>
          <w:rFonts w:cs="Times New Roman" w:ascii="Times New Roman" w:hAnsi="Times New Roman"/>
          <w:color w:val="000000"/>
          <w:spacing w:val="2"/>
          <w:shd w:fill="FFFFFF" w:val="clear"/>
          <w:lang w:val="lt-LT"/>
        </w:rPr>
        <w:t>.</w:t>
      </w:r>
    </w:p>
    <w:p>
      <w:pPr>
        <w:pStyle w:val="ListParagraph"/>
        <w:numPr>
          <w:ilvl w:val="0"/>
          <w:numId w:val="7"/>
        </w:numPr>
        <w:tabs>
          <w:tab w:val="clear" w:pos="720"/>
          <w:tab w:val="left" w:pos="360" w:leader="none"/>
          <w:tab w:val="left" w:pos="709" w:leader="none"/>
          <w:tab w:val="left" w:pos="993" w:leader="none"/>
        </w:tabs>
        <w:ind w:firstLine="567" w:left="0"/>
        <w:jc w:val="both"/>
        <w:rPr>
          <w:rFonts w:ascii="Times New Roman" w:hAnsi="Times New Roman" w:eastAsia="Times New Roman" w:cs="Times New Roman"/>
          <w:bCs/>
          <w:color w:val="000000"/>
          <w:lang w:val="lt-LT" w:eastAsia="lt-LT"/>
        </w:rPr>
      </w:pPr>
      <w:r>
        <w:rPr>
          <w:rFonts w:eastAsia="Times New Roman" w:cs="Times New Roman" w:ascii="Times New Roman" w:hAnsi="Times New Roman"/>
          <w:bCs/>
          <w:color w:val="000000"/>
          <w:lang w:val="lt-LT" w:eastAsia="lt-LT"/>
        </w:rPr>
        <w:t xml:space="preserve"> </w:t>
      </w:r>
      <w:r>
        <w:rPr>
          <w:rFonts w:eastAsia="Times New Roman" w:cs="Times New Roman" w:ascii="Times New Roman" w:hAnsi="Times New Roman"/>
          <w:bCs/>
          <w:color w:val="000000"/>
          <w:lang w:val="lt-LT" w:eastAsia="lt-LT"/>
        </w:rPr>
        <w:t xml:space="preserve">Mokymų trukmė – 6 val. Programoje turi būti išdėstytos </w:t>
      </w:r>
      <w:r>
        <w:rPr>
          <w:rFonts w:cs="Times New Roman" w:ascii="Times New Roman" w:hAnsi="Times New Roman"/>
          <w:bCs/>
          <w:lang w:val="lt-LT"/>
        </w:rPr>
        <w:t xml:space="preserve">Sveikatos apsaugos ministro 2022 m  kovo 18 d. įsakymo Nr. 132  priede nurodytos </w:t>
      </w:r>
      <w:r>
        <w:rPr>
          <w:rFonts w:eastAsia="Times New Roman" w:cs="Times New Roman" w:ascii="Times New Roman" w:hAnsi="Times New Roman"/>
          <w:bCs/>
          <w:color w:val="000000"/>
          <w:lang w:val="lt-LT" w:eastAsia="lt-LT"/>
        </w:rPr>
        <w:t xml:space="preserve">temos. Konkreti mokymo programa, kurioje nurodyti lektoriai ir jų pranešimai, laikas turi būti suderinta su Perkančiąja organizacija ne vėliau kaip 10 dienų iki kvietimų išsiuntimo dalyviams dienos. </w:t>
      </w:r>
    </w:p>
    <w:p>
      <w:pPr>
        <w:pStyle w:val="ListParagraph"/>
        <w:numPr>
          <w:ilvl w:val="0"/>
          <w:numId w:val="7"/>
        </w:numPr>
        <w:tabs>
          <w:tab w:val="clear" w:pos="720"/>
          <w:tab w:val="left" w:pos="360" w:leader="none"/>
          <w:tab w:val="left" w:pos="1134"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bCs/>
          <w:color w:val="000000"/>
          <w:lang w:val="lt-LT" w:eastAsia="lt-LT"/>
        </w:rPr>
        <w:t xml:space="preserve">Paslaugos suteikimo vieta: Vilnius, Klaipėda, Šiauliai, Panevėžys, Kaunas organizuojant kontaktinius mokymus, organizuojant nuotolinius mokymus – </w:t>
      </w:r>
      <w:r>
        <w:rPr>
          <w:rFonts w:eastAsia="Times New Roman" w:cs="Times New Roman" w:ascii="Times New Roman" w:hAnsi="Times New Roman"/>
          <w:lang w:val="lt-LT"/>
        </w:rPr>
        <w:t xml:space="preserve">Lietuvos Respublikos teritorija.  </w:t>
      </w:r>
    </w:p>
    <w:p>
      <w:pPr>
        <w:pStyle w:val="ListParagraph"/>
        <w:numPr>
          <w:ilvl w:val="0"/>
          <w:numId w:val="7"/>
        </w:numPr>
        <w:tabs>
          <w:tab w:val="clear" w:pos="720"/>
          <w:tab w:val="left" w:pos="360" w:leader="none"/>
          <w:tab w:val="left" w:pos="1134"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Mokymo dalyviams turi būti išduoti mokymų baigimo pažymėjimai, atitinkantys </w:t>
      </w:r>
      <w:r>
        <w:rPr>
          <w:rFonts w:cs="Times New Roman" w:ascii="Times New Roman" w:hAnsi="Times New Roman"/>
          <w:bCs/>
          <w:lang w:val="lt-LT"/>
        </w:rPr>
        <w:t>Sveikatos apsaugos ministro 2022 m  kovo 18 d. įsakymo Nr.132 „Dėl s</w:t>
      </w:r>
      <w:r>
        <w:rPr>
          <w:rFonts w:cs="Times New Roman" w:ascii="Times New Roman" w:hAnsi="Times New Roman"/>
          <w:color w:val="000000"/>
          <w:lang w:val="lt-LT"/>
        </w:rPr>
        <w:t>veikatos priežiūros ir farmacijos specialistų profesinės kvalifikacijos tobulinimo ir jo finansavimo tvarkos aprašo patvirtinimo“ 15 punkto reikalavimus, ir suderinti su Paslaugos pirkėju.</w:t>
      </w:r>
      <w:r>
        <w:rPr>
          <w:rFonts w:eastAsia="Times New Roman" w:cs="Times New Roman" w:ascii="Times New Roman" w:hAnsi="Times New Roman"/>
          <w:lang w:val="lt-LT"/>
        </w:rPr>
        <w:t xml:space="preserve"> Pažymėjimus, kaip mokymų organizatoriai, turi pasirašyti Higienos instituto direktorius ir mokymų organizatoriaus vadovas.</w:t>
      </w:r>
    </w:p>
    <w:p>
      <w:pPr>
        <w:pStyle w:val="ListParagraph"/>
        <w:numPr>
          <w:ilvl w:val="0"/>
          <w:numId w:val="2"/>
        </w:numPr>
        <w:tabs>
          <w:tab w:val="clear" w:pos="720"/>
          <w:tab w:val="left" w:pos="993" w:leader="none"/>
        </w:tabs>
        <w:spacing w:lineRule="atLeast" w:line="254"/>
        <w:ind w:firstLine="709" w:left="0"/>
        <w:textAlignment w:val="baseline"/>
        <w:rPr>
          <w:rFonts w:ascii="Times New Roman" w:hAnsi="Times New Roman" w:eastAsia="Times New Roman" w:cs="Times New Roman"/>
          <w:b/>
          <w:color w:val="000000"/>
          <w:lang w:val="lt-LT" w:eastAsia="lt-LT"/>
        </w:rPr>
      </w:pPr>
      <w:r>
        <w:rPr>
          <w:rFonts w:cs="Times New Roman" w:ascii="Times New Roman" w:hAnsi="Times New Roman"/>
          <w:b/>
          <w:lang w:val="lt-LT"/>
        </w:rPr>
        <w:t>Paslaugų uždaviniai ir reikalavimai:</w:t>
      </w:r>
    </w:p>
    <w:p>
      <w:pPr>
        <w:pStyle w:val="ListParagraph"/>
        <w:numPr>
          <w:ilvl w:val="0"/>
          <w:numId w:val="4"/>
        </w:numPr>
        <w:tabs>
          <w:tab w:val="clear" w:pos="720"/>
          <w:tab w:val="left" w:pos="1134" w:leader="none"/>
        </w:tabs>
        <w:spacing w:lineRule="atLeast" w:line="254"/>
        <w:ind w:firstLine="709" w:left="0"/>
        <w:textAlignment w:val="baseline"/>
        <w:rPr>
          <w:rFonts w:ascii="Times New Roman" w:hAnsi="Times New Roman" w:eastAsia="Times New Roman" w:cs="Times New Roman"/>
          <w:color w:val="000000"/>
          <w:lang w:val="lt-LT" w:eastAsia="lt-LT"/>
        </w:rPr>
      </w:pPr>
      <w:r>
        <w:rPr>
          <w:rFonts w:eastAsia="Times New Roman" w:cs="Times New Roman" w:ascii="Times New Roman" w:hAnsi="Times New Roman"/>
          <w:color w:val="000000"/>
          <w:lang w:val="lt-LT" w:eastAsia="lt-LT"/>
        </w:rPr>
        <w:t xml:space="preserve">Suorganizuoti 10 kontaktinių ir 10 nuotolinių mokymų. </w:t>
      </w:r>
    </w:p>
    <w:p>
      <w:pPr>
        <w:pStyle w:val="ListParagraph"/>
        <w:numPr>
          <w:ilvl w:val="0"/>
          <w:numId w:val="4"/>
        </w:numPr>
        <w:tabs>
          <w:tab w:val="clear" w:pos="720"/>
          <w:tab w:val="left" w:pos="1134" w:leader="none"/>
        </w:tabs>
        <w:spacing w:lineRule="atLeast" w:line="254"/>
        <w:ind w:firstLine="709" w:left="0"/>
        <w:textAlignment w:val="baseline"/>
        <w:rPr>
          <w:rFonts w:ascii="Times New Roman" w:hAnsi="Times New Roman" w:eastAsia="Times New Roman" w:cs="Times New Roman"/>
          <w:color w:val="000000"/>
          <w:lang w:val="lt-LT" w:eastAsia="lt-LT"/>
        </w:rPr>
      </w:pPr>
      <w:r>
        <w:rPr>
          <w:rFonts w:eastAsia="Times New Roman" w:cs="Times New Roman" w:ascii="Times New Roman" w:hAnsi="Times New Roman"/>
          <w:color w:val="000000"/>
          <w:lang w:val="lt-LT" w:eastAsia="lt-LT"/>
        </w:rPr>
        <w:t>Kontaktinių mokymų dalyvių skaičius – 20-25 asmenys, nuotoliniu būdu vyksiančių mokymų skaičius – 30-40 asmenų.</w:t>
      </w:r>
    </w:p>
    <w:p>
      <w:pPr>
        <w:pStyle w:val="ListParagraph"/>
        <w:numPr>
          <w:ilvl w:val="0"/>
          <w:numId w:val="4"/>
        </w:numPr>
        <w:tabs>
          <w:tab w:val="clear" w:pos="720"/>
          <w:tab w:val="left" w:pos="1134" w:leader="none"/>
        </w:tabs>
        <w:spacing w:lineRule="atLeast" w:line="254"/>
        <w:ind w:firstLine="632" w:left="0"/>
        <w:textAlignment w:val="baseline"/>
        <w:rPr>
          <w:rFonts w:ascii="Times New Roman" w:hAnsi="Times New Roman" w:eastAsia="Times New Roman" w:cs="Times New Roman"/>
          <w:color w:val="000000"/>
          <w:lang w:val="lt-LT" w:eastAsia="lt-LT"/>
        </w:rPr>
      </w:pPr>
      <w:r>
        <w:rPr>
          <w:rFonts w:eastAsia="Times New Roman" w:cs="Times New Roman" w:ascii="Times New Roman" w:hAnsi="Times New Roman"/>
          <w:color w:val="000000"/>
          <w:lang w:val="lt-LT" w:eastAsia="lt-LT"/>
        </w:rPr>
        <w:t xml:space="preserve">Tiekėjas organizuoja mokymo dalyvių kvietimą į mokymus  ir  išankstinę jų registraciją. Tiekėjas mokymų pabaigoje anketinės apklausos būdu apklausia mokymų dalyvius (mokymų kokybės įvertinimas ir pasiūlymai jų tobulinimui).   </w:t>
      </w:r>
    </w:p>
    <w:p>
      <w:pPr>
        <w:pStyle w:val="ListParagraph"/>
        <w:numPr>
          <w:ilvl w:val="0"/>
          <w:numId w:val="4"/>
        </w:numPr>
        <w:tabs>
          <w:tab w:val="clear" w:pos="720"/>
          <w:tab w:val="left" w:pos="1134" w:leader="none"/>
        </w:tabs>
        <w:spacing w:lineRule="atLeast" w:line="254"/>
        <w:ind w:firstLine="632" w:left="0"/>
        <w:textAlignment w:val="baseline"/>
        <w:rPr>
          <w:rFonts w:ascii="Times New Roman" w:hAnsi="Times New Roman" w:eastAsia="Times New Roman" w:cs="Times New Roman"/>
          <w:lang w:val="lt-LT"/>
        </w:rPr>
      </w:pPr>
      <w:r>
        <w:rPr>
          <w:rFonts w:eastAsia="Times New Roman" w:cs="Times New Roman" w:ascii="Times New Roman" w:hAnsi="Times New Roman"/>
          <w:lang w:val="lt-LT"/>
        </w:rPr>
        <w:t>Reikalavimai maitinimo paslaugoms, kai mokymai vyksta kontaktiniu būdu:</w:t>
      </w:r>
    </w:p>
    <w:p>
      <w:pPr>
        <w:pStyle w:val="ListParagraph"/>
        <w:numPr>
          <w:ilvl w:val="0"/>
          <w:numId w:val="5"/>
        </w:numPr>
        <w:tabs>
          <w:tab w:val="clear" w:pos="720"/>
          <w:tab w:val="left" w:pos="1276" w:leader="none"/>
        </w:tabs>
        <w:ind w:firstLine="632" w:left="0"/>
        <w:rPr>
          <w:rFonts w:ascii="Times New Roman" w:hAnsi="Times New Roman" w:eastAsia="Times New Roman" w:cs="Times New Roman"/>
          <w:lang w:val="lt-LT"/>
        </w:rPr>
      </w:pPr>
      <w:r>
        <w:rPr>
          <w:rFonts w:eastAsia="Times New Roman" w:cs="Times New Roman" w:ascii="Times New Roman" w:hAnsi="Times New Roman"/>
          <w:lang w:val="lt-LT"/>
        </w:rPr>
        <w:t>Tiekėjas privalo organizuoti renginių dalyviams maitinimą bei užtikrinti aptarnavimą maitinio metu. Vieno renginio dalyviams mokymų metu organizuojamos:</w:t>
      </w:r>
    </w:p>
    <w:p>
      <w:pPr>
        <w:pStyle w:val="ListParagraph"/>
        <w:numPr>
          <w:ilvl w:val="0"/>
          <w:numId w:val="6"/>
        </w:numPr>
        <w:ind w:firstLine="632" w:left="0"/>
        <w:rPr>
          <w:rFonts w:ascii="Times New Roman" w:hAnsi="Times New Roman" w:eastAsia="Times New Roman" w:cs="Times New Roman"/>
          <w:lang w:val="lt-LT"/>
        </w:rPr>
      </w:pPr>
      <w:r>
        <w:rPr>
          <w:rFonts w:eastAsia="Times New Roman" w:cs="Times New Roman" w:ascii="Times New Roman" w:hAnsi="Times New Roman"/>
          <w:lang w:val="lt-LT"/>
        </w:rPr>
        <w:t>dvi kavos pertraukos – ne daugiau kaip 25 dalyviai;</w:t>
      </w:r>
    </w:p>
    <w:p>
      <w:pPr>
        <w:pStyle w:val="ListParagraph"/>
        <w:numPr>
          <w:ilvl w:val="0"/>
          <w:numId w:val="6"/>
        </w:numPr>
        <w:ind w:firstLine="632" w:left="0"/>
        <w:rPr>
          <w:rFonts w:ascii="Times New Roman" w:hAnsi="Times New Roman" w:eastAsia="Times New Roman" w:cs="Times New Roman"/>
          <w:lang w:val="lt-LT"/>
        </w:rPr>
      </w:pPr>
      <w:r>
        <w:rPr>
          <w:rFonts w:eastAsia="Times New Roman" w:cs="Times New Roman" w:ascii="Times New Roman" w:hAnsi="Times New Roman"/>
          <w:lang w:val="lt-LT"/>
        </w:rPr>
        <w:t>viena pietų pertrauka – ne daugiau kaip 25 dalyviams;</w:t>
      </w:r>
    </w:p>
    <w:p>
      <w:pPr>
        <w:pStyle w:val="ListParagraph"/>
        <w:numPr>
          <w:ilvl w:val="0"/>
          <w:numId w:val="5"/>
        </w:numPr>
        <w:tabs>
          <w:tab w:val="clear" w:pos="720"/>
          <w:tab w:val="left" w:pos="284" w:leader="none"/>
          <w:tab w:val="left" w:pos="567" w:leader="none"/>
          <w:tab w:val="left" w:pos="1134" w:leader="none"/>
          <w:tab w:val="left" w:pos="1418" w:leader="none"/>
        </w:tabs>
        <w:ind w:firstLine="632" w:left="0"/>
        <w:jc w:val="both"/>
        <w:rPr>
          <w:rFonts w:ascii="Times New Roman" w:hAnsi="Times New Roman" w:eastAsia="Times New Roman" w:cs="Times New Roman"/>
          <w:strike/>
          <w:lang w:val="lt-LT"/>
        </w:rPr>
      </w:pPr>
      <w:r>
        <w:rPr>
          <w:rFonts w:eastAsia="Times New Roman" w:cs="Times New Roman" w:ascii="Times New Roman" w:hAnsi="Times New Roman"/>
          <w:lang w:val="lt-LT"/>
        </w:rPr>
        <w:t>kavos pertraukų metu pateikiama: arbata (sudaroma galimybė rinktis iš žalios, juodos, vaisinės) ir kava su priedais (cukrus, pienas); ne mažiau kaip 0,3 litro stalo vandens. Kavos pertrauka vyksta tame pačiame pastate, kuriame organizuojamas renginys;</w:t>
      </w:r>
    </w:p>
    <w:p>
      <w:pPr>
        <w:pStyle w:val="ListParagraph"/>
        <w:numPr>
          <w:ilvl w:val="0"/>
          <w:numId w:val="5"/>
        </w:numPr>
        <w:tabs>
          <w:tab w:val="clear" w:pos="720"/>
          <w:tab w:val="left" w:pos="567" w:leader="none"/>
          <w:tab w:val="left" w:pos="1134" w:leader="none"/>
          <w:tab w:val="left" w:pos="1276" w:leader="none"/>
          <w:tab w:val="left" w:pos="1560" w:leader="none"/>
        </w:tabs>
        <w:ind w:firstLine="632" w:left="0"/>
        <w:jc w:val="both"/>
        <w:rPr>
          <w:rFonts w:ascii="Times New Roman" w:hAnsi="Times New Roman" w:eastAsia="Times New Roman" w:cs="Times New Roman"/>
          <w:strike/>
          <w:lang w:val="lt-LT"/>
        </w:rPr>
      </w:pPr>
      <w:r>
        <w:rPr>
          <w:rFonts w:eastAsia="Times New Roman" w:cs="Times New Roman" w:ascii="Times New Roman" w:hAnsi="Times New Roman"/>
          <w:lang w:val="lt-LT"/>
        </w:rPr>
        <w:t>pietums patiekiama: sultys / stalo vanduo, sriuba, karštas patiekalas. Tiekėjas turi užtikrinti maisto įvairovę, galimybę pasirinkti dietinių, vegetariškų / veganiškų patiekalų. Pietūs vykdomi tam pritaikytoje patalpoje, kuri turi būti pasiekiama ne ilgiau kaip per 5 (penkias) minutes pėsčiomis;</w:t>
      </w:r>
    </w:p>
    <w:p>
      <w:pPr>
        <w:pStyle w:val="ListParagraph"/>
        <w:numPr>
          <w:ilvl w:val="0"/>
          <w:numId w:val="5"/>
        </w:numPr>
        <w:tabs>
          <w:tab w:val="clear" w:pos="720"/>
          <w:tab w:val="left" w:pos="567" w:leader="none"/>
          <w:tab w:val="left" w:pos="993" w:leader="none"/>
          <w:tab w:val="left" w:pos="1276" w:leader="none"/>
        </w:tabs>
        <w:ind w:firstLine="632" w:left="0"/>
        <w:jc w:val="both"/>
        <w:rPr>
          <w:rFonts w:ascii="Times New Roman" w:hAnsi="Times New Roman" w:cs="Times New Roman"/>
          <w:lang w:val="lt-LT" w:bidi="lt-LT"/>
        </w:rPr>
      </w:pPr>
      <w:r>
        <w:rPr>
          <w:rFonts w:cs="Times New Roman" w:ascii="Times New Roman" w:hAnsi="Times New Roman"/>
          <w:lang w:val="lt-LT" w:bidi="lt-LT"/>
        </w:rPr>
        <w:t xml:space="preserve">Maitinimą organizuoti vadovaujantis Lietuvos Respublikos Sveikatos apsaugos ministerijos 1999 m. lapkričio 25 d. įsakymu Nr. 510 </w:t>
      </w:r>
      <w:r>
        <w:rPr>
          <w:rFonts w:eastAsia="Times New Roman" w:cs="Times New Roman" w:ascii="Times New Roman" w:hAnsi="Times New Roman"/>
          <w:lang w:val="lt-LT"/>
        </w:rPr>
        <w:t xml:space="preserve">(2016 m. liepos 6 d. įsakymo Nr. V-836 redakcija) </w:t>
      </w:r>
      <w:r>
        <w:rPr>
          <w:rFonts w:cs="Times New Roman" w:ascii="Times New Roman" w:hAnsi="Times New Roman"/>
          <w:lang w:val="lt-LT" w:bidi="lt-LT"/>
        </w:rPr>
        <w:t xml:space="preserve">patvirtintomis rekomenduojamomis paros maistinių medžiagų ir energijos normomis ir kitais teisės aktais reglamentuojančiais maisto higienos normas. </w:t>
      </w:r>
    </w:p>
    <w:p>
      <w:pPr>
        <w:pStyle w:val="ListParagraph"/>
        <w:numPr>
          <w:ilvl w:val="0"/>
          <w:numId w:val="8"/>
        </w:numPr>
        <w:ind w:hanging="567" w:left="1134"/>
        <w:rPr>
          <w:rFonts w:ascii="Times New Roman" w:hAnsi="Times New Roman" w:cs="Times New Roman"/>
          <w:lang w:val="lt-LT"/>
        </w:rPr>
      </w:pPr>
      <w:r>
        <w:rPr>
          <w:rFonts w:eastAsia="Times New Roman" w:cs="Times New Roman" w:ascii="Times New Roman" w:hAnsi="Times New Roman"/>
          <w:lang w:val="lt-LT"/>
        </w:rPr>
        <w:t>Reikalavimai mokymų salei:</w:t>
      </w:r>
    </w:p>
    <w:p>
      <w:pPr>
        <w:pStyle w:val="ListParagraph"/>
        <w:numPr>
          <w:ilvl w:val="0"/>
          <w:numId w:val="3"/>
        </w:numPr>
        <w:tabs>
          <w:tab w:val="clear" w:pos="720"/>
          <w:tab w:val="left" w:pos="426" w:leader="none"/>
          <w:tab w:val="left" w:pos="993" w:leader="none"/>
          <w:tab w:val="left" w:pos="1276" w:leader="none"/>
          <w:tab w:val="left" w:pos="1560"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mokymai turi vykti pagal panašių paslaugų vykdymo praktiką įprastoje patalpoje, kuri atitinka 4 (keturių) žvaigždučių arba lygiavertį įvertinimą pagal Viešbučių ir motelių klasifikavimo reikalavimus, patvirtintus Valstybinio turizmo departamento prie Ūkio ministerijos direktoriaus 2013 m. vasario 28 d. įsakymu Nr. V-50 (2015 m. gegužės 18 d. įsakymo Nr. V-138 redakcija). Žvaigždučių vertinimo skalė taikoma viešbučiams. Jei siūlomos kitos tinkamos patalpos, jos turi atitikti lygiaverčius reikalavimus, kokie yra nurodyti 4 (keturių) žvaigždučių pagal prieš tai minėtą klasifikatorių;</w:t>
      </w:r>
    </w:p>
    <w:p>
      <w:pPr>
        <w:pStyle w:val="ListParagraph"/>
        <w:numPr>
          <w:ilvl w:val="0"/>
          <w:numId w:val="3"/>
        </w:numPr>
        <w:tabs>
          <w:tab w:val="clear" w:pos="720"/>
          <w:tab w:val="left" w:pos="426" w:leader="none"/>
          <w:tab w:val="left" w:pos="993" w:leader="none"/>
          <w:tab w:val="left" w:pos="1276" w:leader="none"/>
          <w:tab w:val="left" w:pos="1560"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Mokymų patalpa turi būti gerai vėdinama, tinkamai apšviesta, šildoma (šildymo sezono metu);</w:t>
      </w:r>
    </w:p>
    <w:p>
      <w:pPr>
        <w:pStyle w:val="ListParagraph"/>
        <w:numPr>
          <w:ilvl w:val="0"/>
          <w:numId w:val="3"/>
        </w:numPr>
        <w:tabs>
          <w:tab w:val="clear" w:pos="720"/>
          <w:tab w:val="left" w:pos="426" w:leader="none"/>
          <w:tab w:val="left" w:pos="993" w:leader="none"/>
          <w:tab w:val="left" w:pos="1276" w:leader="none"/>
          <w:tab w:val="left" w:pos="1560"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Mokymų patalpose turi būti užtektinai vietos – ne mažiau nei 25 (dvidešimt penkiems) asmenims sėdint prie stalų (klasės stiliumi);</w:t>
      </w:r>
    </w:p>
    <w:p>
      <w:pPr>
        <w:pStyle w:val="ListParagraph"/>
        <w:numPr>
          <w:ilvl w:val="0"/>
          <w:numId w:val="3"/>
        </w:numPr>
        <w:tabs>
          <w:tab w:val="clear" w:pos="720"/>
          <w:tab w:val="left" w:pos="426" w:leader="none"/>
          <w:tab w:val="left" w:pos="993" w:leader="none"/>
          <w:tab w:val="left" w:pos="1276" w:leader="none"/>
          <w:tab w:val="left" w:pos="1560"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Mokymų patalpose turi būti sąlygos gerai matyti ir girdėti pateikiamą informaciją;</w:t>
      </w:r>
    </w:p>
    <w:p>
      <w:pPr>
        <w:pStyle w:val="ListParagraph"/>
        <w:numPr>
          <w:ilvl w:val="0"/>
          <w:numId w:val="3"/>
        </w:numPr>
        <w:tabs>
          <w:tab w:val="clear" w:pos="720"/>
          <w:tab w:val="left" w:pos="426" w:leader="none"/>
          <w:tab w:val="left" w:pos="993" w:leader="none"/>
          <w:tab w:val="left" w:pos="1276" w:leader="none"/>
          <w:tab w:val="left" w:pos="1560"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Mokymų patalpoje turi būti reikiama įranga ir baldai: demonstravimo įranga, leidžianti demonstruoti vaizdinę medžiagą  iš skaitmeninės laikmenos ir jungtis USB atmintinei, projektorius, kompiuteris, nenutrūkstamas interneto ryšys, baltas ekranas (tokio dydžio, kad jame demonstruojamą informaciją aiškiai galėtų matyti visi renginio dalyviai), stalai ir kėdės dalyviams ir lektoriams.</w:t>
      </w:r>
    </w:p>
    <w:p>
      <w:pPr>
        <w:pStyle w:val="ListParagraph"/>
        <w:numPr>
          <w:ilvl w:val="0"/>
          <w:numId w:val="3"/>
        </w:numPr>
        <w:tabs>
          <w:tab w:val="clear" w:pos="720"/>
          <w:tab w:val="left" w:pos="426" w:leader="none"/>
          <w:tab w:val="left" w:pos="993" w:leader="none"/>
          <w:tab w:val="left" w:pos="1276" w:leader="none"/>
          <w:tab w:val="left" w:pos="1560"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Tiekėjas turi paskirti atsakingą asmenį (kontaktinį asmenį), į kurį Perkančioji organizacija galėtų kreiptis dėl teikiamų paslaugų ir (arba) dėl naudojamų patalpų, įrangos ir (arba) kitų nenumatytų techninių problemų;</w:t>
      </w:r>
    </w:p>
    <w:p>
      <w:pPr>
        <w:pStyle w:val="ListParagraph"/>
        <w:numPr>
          <w:ilvl w:val="0"/>
          <w:numId w:val="3"/>
        </w:numPr>
        <w:tabs>
          <w:tab w:val="clear" w:pos="720"/>
          <w:tab w:val="left" w:pos="426" w:leader="none"/>
          <w:tab w:val="left" w:pos="993" w:leader="none"/>
          <w:tab w:val="left" w:pos="1276" w:leader="none"/>
          <w:tab w:val="left" w:pos="1560"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Turi būti parengta vieta salėje arba šalia salės renginių dalyvių registravimui. Dalyvių registraciją vykdys Tiekėjo darbuotojai;</w:t>
      </w:r>
    </w:p>
    <w:p>
      <w:pPr>
        <w:pStyle w:val="ListParagraph"/>
        <w:numPr>
          <w:ilvl w:val="0"/>
          <w:numId w:val="3"/>
        </w:numPr>
        <w:tabs>
          <w:tab w:val="clear" w:pos="720"/>
          <w:tab w:val="left" w:pos="426" w:leader="none"/>
          <w:tab w:val="left" w:pos="993" w:leader="none"/>
          <w:tab w:val="left" w:pos="1276" w:leader="none"/>
          <w:tab w:val="left" w:pos="1560" w:leader="none"/>
        </w:tabs>
        <w:ind w:firstLine="567" w:left="0"/>
        <w:jc w:val="both"/>
        <w:rPr>
          <w:rFonts w:ascii="Times New Roman" w:hAnsi="Times New Roman" w:eastAsia="Times New Roman" w:cs="Times New Roman"/>
          <w:strike/>
          <w:lang w:val="lt-LT"/>
        </w:rPr>
      </w:pPr>
      <w:r>
        <w:rPr>
          <w:rFonts w:eastAsia="Times New Roman" w:cs="Times New Roman" w:ascii="Times New Roman" w:hAnsi="Times New Roman"/>
          <w:lang w:val="lt-LT"/>
        </w:rPr>
        <w:t xml:space="preserve">Pastate, kuriame vyks Renginiai turi būti parengtos ir matomose vietose išdėstytos informacinės nuorodos / užrašai į Renginio vietą. </w:t>
      </w:r>
    </w:p>
    <w:p>
      <w:pPr>
        <w:pStyle w:val="ListParagraph"/>
        <w:numPr>
          <w:ilvl w:val="0"/>
          <w:numId w:val="3"/>
        </w:numPr>
        <w:tabs>
          <w:tab w:val="clear" w:pos="720"/>
          <w:tab w:val="left" w:pos="426" w:leader="none"/>
          <w:tab w:val="left" w:pos="993" w:leader="none"/>
          <w:tab w:val="left" w:pos="1276" w:leader="none"/>
          <w:tab w:val="left" w:pos="1560"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Mokymų patalpos turi būti parengtos ne vėliau kaip prieš 1 valandą iki nurodytos renginių pradžios;</w:t>
      </w:r>
    </w:p>
    <w:p>
      <w:pPr>
        <w:pStyle w:val="ListParagraph"/>
        <w:numPr>
          <w:ilvl w:val="0"/>
          <w:numId w:val="3"/>
        </w:numPr>
        <w:tabs>
          <w:tab w:val="clear" w:pos="720"/>
          <w:tab w:val="left" w:pos="426" w:leader="none"/>
          <w:tab w:val="left" w:pos="993" w:leader="none"/>
          <w:tab w:val="left" w:pos="1276" w:leader="none"/>
          <w:tab w:val="left" w:pos="1560"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Patalpos privalo atitikti visas higienos normas.</w:t>
      </w:r>
    </w:p>
    <w:p>
      <w:pPr>
        <w:pStyle w:val="ListParagraph"/>
        <w:numPr>
          <w:ilvl w:val="0"/>
          <w:numId w:val="3"/>
        </w:numPr>
        <w:tabs>
          <w:tab w:val="clear" w:pos="720"/>
          <w:tab w:val="left" w:pos="426" w:leader="none"/>
          <w:tab w:val="left" w:pos="993" w:leader="none"/>
          <w:tab w:val="left" w:pos="1276" w:leader="none"/>
          <w:tab w:val="left" w:pos="1560"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Mokymų tiksli vieta turi būti suderinta su Perkančiąja organizacija ne vėliau kaip prieš 10 (dešimt) darbo dienų iki renginio pradžios.</w:t>
      </w:r>
    </w:p>
    <w:p>
      <w:pPr>
        <w:pStyle w:val="ListParagraph"/>
        <w:numPr>
          <w:ilvl w:val="0"/>
          <w:numId w:val="9"/>
        </w:numPr>
        <w:tabs>
          <w:tab w:val="clear" w:pos="720"/>
          <w:tab w:val="left" w:pos="0" w:leader="none"/>
          <w:tab w:val="left" w:pos="284" w:leader="none"/>
          <w:tab w:val="left" w:pos="567" w:leader="none"/>
          <w:tab w:val="left" w:pos="993"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 </w:t>
      </w:r>
      <w:r>
        <w:rPr>
          <w:rFonts w:eastAsia="Times New Roman" w:cs="Times New Roman" w:ascii="Times New Roman" w:hAnsi="Times New Roman"/>
          <w:lang w:val="lt-LT"/>
        </w:rPr>
        <w:t>Vykdant mokymus nuotoliniu būdu Tiekėjas užtikrina tinkamą įrangą (platformą), skirtą nuotoliniams mokymams.</w:t>
      </w:r>
    </w:p>
    <w:p>
      <w:pPr>
        <w:pStyle w:val="ListParagraph"/>
        <w:numPr>
          <w:ilvl w:val="0"/>
          <w:numId w:val="9"/>
        </w:numPr>
        <w:tabs>
          <w:tab w:val="clear" w:pos="720"/>
          <w:tab w:val="left" w:pos="0" w:leader="none"/>
          <w:tab w:val="left" w:pos="284" w:leader="none"/>
          <w:tab w:val="left" w:pos="709" w:leader="none"/>
          <w:tab w:val="left" w:pos="993" w:leader="none"/>
        </w:tabs>
        <w:ind w:firstLine="567" w:left="0"/>
        <w:jc w:val="both"/>
        <w:rPr>
          <w:rFonts w:ascii="Times New Roman" w:hAnsi="Times New Roman" w:eastAsia="Times New Roman" w:cs="Times New Roman"/>
          <w:lang w:val="lt-LT"/>
        </w:rPr>
      </w:pPr>
      <w:r>
        <w:rPr>
          <w:rFonts w:cs="Times New Roman" w:ascii="Times New Roman" w:hAnsi="Times New Roman"/>
          <w:lang w:val="lt-LT" w:eastAsia="lt-LT"/>
        </w:rPr>
        <w:t xml:space="preserve">Paslaugų teikimo </w:t>
      </w:r>
      <w:r>
        <w:rPr>
          <w:rFonts w:cs="Times New Roman" w:ascii="Times New Roman" w:hAnsi="Times New Roman"/>
          <w:lang w:val="lt-LT"/>
        </w:rPr>
        <w:t xml:space="preserve">metu Paslaugų teikėjas tvarkys </w:t>
      </w:r>
      <w:r>
        <w:rPr>
          <w:rFonts w:eastAsia="Times New Roman" w:cs="Times New Roman" w:ascii="Times New Roman" w:hAnsi="Times New Roman"/>
          <w:lang w:val="lt-LT"/>
        </w:rPr>
        <w:t xml:space="preserve">mokymų dalyvių asmens duomenis kaip savarankiškas duomenų valdytojas. Tvarkydamas asmens duomenis Paslaugų teikėjas privalo įgyvendinti </w:t>
      </w:r>
      <w:r>
        <w:rPr>
          <w:rFonts w:cs="Times New Roman" w:ascii="Times New Roman" w:hAnsi="Times New Roman"/>
          <w:lang w:val="lt-LT"/>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 </w:t>
      </w:r>
      <w:r>
        <w:rPr>
          <w:rFonts w:cs="Times New Roman" w:ascii="Times New Roman" w:hAnsi="Times New Roman"/>
          <w:color w:val="000000"/>
          <w:lang w:val="lt-LT"/>
        </w:rPr>
        <w:t>Reglamentas (ES) 2016/679</w:t>
      </w:r>
      <w:r>
        <w:rPr>
          <w:rFonts w:cs="Times New Roman" w:ascii="Times New Roman" w:hAnsi="Times New Roman"/>
          <w:lang w:val="lt-LT"/>
        </w:rPr>
        <w:t>) reikalavimus.</w:t>
      </w:r>
      <w:r>
        <w:rPr>
          <w:rFonts w:eastAsia="Times New Roman" w:cs="Times New Roman" w:ascii="Times New Roman" w:hAnsi="Times New Roman"/>
          <w:lang w:val="lt-LT"/>
        </w:rPr>
        <w:t xml:space="preserve"> </w:t>
      </w:r>
    </w:p>
    <w:p>
      <w:pPr>
        <w:pStyle w:val="ListParagraph"/>
        <w:numPr>
          <w:ilvl w:val="0"/>
          <w:numId w:val="9"/>
        </w:numPr>
        <w:tabs>
          <w:tab w:val="clear" w:pos="720"/>
          <w:tab w:val="left" w:pos="0" w:leader="none"/>
          <w:tab w:val="left" w:pos="284" w:leader="none"/>
          <w:tab w:val="left" w:pos="709" w:leader="none"/>
          <w:tab w:val="left" w:pos="993"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Paslaugų teikėjas, tvarkydamas mokymų dalyvių asmens duomenis, privalo mokymų dalyvius informuoti apie jų asmens duomenų perdavimą Perkančiajai organizacijai, mokymų dalyviams pateikiant su tokiu asmens duomenų perdavimu susijusią informaciją, suderintą su Perkančiąja organizacija. </w:t>
      </w:r>
    </w:p>
    <w:p>
      <w:pPr>
        <w:pStyle w:val="ListParagraph"/>
        <w:numPr>
          <w:ilvl w:val="0"/>
          <w:numId w:val="10"/>
        </w:numPr>
        <w:tabs>
          <w:tab w:val="clear" w:pos="720"/>
          <w:tab w:val="left" w:pos="0" w:leader="none"/>
          <w:tab w:val="left" w:pos="426" w:leader="none"/>
          <w:tab w:val="left" w:pos="993" w:leader="none"/>
          <w:tab w:val="left" w:pos="1134" w:leader="none"/>
        </w:tabs>
        <w:ind w:hanging="284" w:left="851"/>
        <w:jc w:val="both"/>
        <w:rPr>
          <w:rFonts w:ascii="Times New Roman" w:hAnsi="Times New Roman" w:cs="Times New Roman"/>
          <w:b/>
          <w:bCs/>
          <w:lang w:val="lt-LT"/>
        </w:rPr>
      </w:pPr>
      <w:r>
        <w:rPr>
          <w:rFonts w:cs="Times New Roman" w:ascii="Times New Roman" w:hAnsi="Times New Roman"/>
          <w:b/>
          <w:bCs/>
          <w:lang w:val="lt-LT"/>
        </w:rPr>
        <w:t>Rezultatai:</w:t>
      </w:r>
    </w:p>
    <w:p>
      <w:pPr>
        <w:pStyle w:val="ListParagraph"/>
        <w:numPr>
          <w:ilvl w:val="0"/>
          <w:numId w:val="11"/>
        </w:numPr>
        <w:tabs>
          <w:tab w:val="clear" w:pos="720"/>
          <w:tab w:val="left" w:pos="0" w:leader="none"/>
          <w:tab w:val="left" w:pos="567" w:leader="none"/>
          <w:tab w:val="left" w:pos="993" w:leader="none"/>
          <w:tab w:val="left" w:pos="1134" w:leader="none"/>
        </w:tabs>
        <w:ind w:firstLine="567" w:left="0"/>
        <w:jc w:val="both"/>
        <w:rPr>
          <w:rFonts w:ascii="Times New Roman" w:hAnsi="Times New Roman" w:cs="Times New Roman"/>
          <w:lang w:val="lt-LT"/>
        </w:rPr>
      </w:pPr>
      <w:r>
        <w:rPr>
          <w:rFonts w:cs="Times New Roman" w:ascii="Times New Roman" w:hAnsi="Times New Roman"/>
          <w:lang w:val="lt-LT"/>
        </w:rPr>
        <w:t>Iki 2025 m. gruodžio 1 d. suorganizuota 10 kontaktinių ir 10 nuotolinių mokymų ir apmokyta iki 200-250 unikalių dalyvių kontaktiniu būdu ir  300-400 unikalių dalyvių nuotoliniu būdu.</w:t>
      </w:r>
    </w:p>
    <w:p>
      <w:pPr>
        <w:pStyle w:val="ListParagraph"/>
        <w:numPr>
          <w:ilvl w:val="0"/>
          <w:numId w:val="11"/>
        </w:numPr>
        <w:tabs>
          <w:tab w:val="clear" w:pos="720"/>
          <w:tab w:val="left" w:pos="0" w:leader="none"/>
          <w:tab w:val="left" w:pos="567" w:leader="none"/>
          <w:tab w:val="left" w:pos="993" w:leader="none"/>
          <w:tab w:val="left" w:pos="1134" w:leader="none"/>
        </w:tabs>
        <w:ind w:firstLine="567" w:left="0"/>
        <w:jc w:val="both"/>
        <w:rPr>
          <w:rFonts w:ascii="Times New Roman" w:hAnsi="Times New Roman" w:cs="Times New Roman"/>
          <w:lang w:val="lt-LT"/>
        </w:rPr>
      </w:pPr>
      <w:r>
        <w:rPr>
          <w:rFonts w:cs="Times New Roman" w:ascii="Times New Roman" w:hAnsi="Times New Roman"/>
          <w:lang w:val="lt-LT"/>
        </w:rPr>
        <w:t>Paslaugų teikėjas po kiekvienų kontaktiniu būdu vykusių mokymų turi Perkančiajai organizacijai pateikti dalyvių sąrašus su parašais (originalus), pažymėjimų sąrašus su pažymėjimų registracijos numeriais ir parašais, mokymo programas (-as) pagal kurias vyko mokymai, su lektorių pavardėmis ir kiekvienos paskaitos laiku, dalyvių anketas su mokymų vertinimu (gali būti Google forms) ir keletą fotografijų iš mokymų.</w:t>
      </w:r>
    </w:p>
    <w:p>
      <w:pPr>
        <w:pStyle w:val="ListParagraph"/>
        <w:numPr>
          <w:ilvl w:val="0"/>
          <w:numId w:val="11"/>
        </w:numPr>
        <w:tabs>
          <w:tab w:val="clear" w:pos="720"/>
          <w:tab w:val="left" w:pos="0" w:leader="none"/>
          <w:tab w:val="left" w:pos="567" w:leader="none"/>
          <w:tab w:val="left" w:pos="993" w:leader="none"/>
          <w:tab w:val="left" w:pos="1134" w:leader="none"/>
        </w:tabs>
        <w:ind w:firstLine="567" w:left="0"/>
        <w:jc w:val="both"/>
        <w:rPr>
          <w:rFonts w:ascii="Times New Roman" w:hAnsi="Times New Roman" w:cs="Times New Roman"/>
          <w:lang w:val="lt-LT"/>
        </w:rPr>
      </w:pPr>
      <w:r>
        <w:rPr>
          <w:rFonts w:cs="Times New Roman" w:ascii="Times New Roman" w:hAnsi="Times New Roman"/>
          <w:lang w:val="lt-LT"/>
        </w:rPr>
        <w:t xml:space="preserve">Kai mokymai vykdyti nuotoliniu būdu, Paslaugų teikėjas po kiekvienų mokymų turi pateikti </w:t>
      </w:r>
      <w:r>
        <w:rPr>
          <w:rFonts w:cs="Times New Roman" w:ascii="Times New Roman" w:hAnsi="Times New Roman"/>
          <w:i/>
          <w:iCs/>
          <w:lang w:val="lt-LT"/>
        </w:rPr>
        <w:t>MS teams</w:t>
      </w:r>
      <w:r>
        <w:rPr>
          <w:rFonts w:cs="Times New Roman" w:ascii="Times New Roman" w:hAnsi="Times New Roman"/>
          <w:lang w:val="lt-LT"/>
        </w:rPr>
        <w:t xml:space="preserve"> (ar kitos platformos) sugeneruotą dalyvių sąrašą, ir dalyvių elektroninių pažymėjimų sąrašą su pažymėjimo registracijos numeriu ir </w:t>
      </w:r>
      <w:r>
        <w:rPr>
          <w:rFonts w:cs="Times New Roman" w:ascii="Times New Roman" w:hAnsi="Times New Roman"/>
          <w:i/>
          <w:iCs/>
          <w:lang w:val="lt-LT"/>
        </w:rPr>
        <w:t>Google forms</w:t>
      </w:r>
      <w:r>
        <w:rPr>
          <w:rFonts w:cs="Times New Roman" w:ascii="Times New Roman" w:hAnsi="Times New Roman"/>
          <w:lang w:val="lt-LT"/>
        </w:rPr>
        <w:t xml:space="preserve"> mokymų įvertinimo anketas.</w:t>
      </w:r>
    </w:p>
    <w:p>
      <w:pPr>
        <w:pStyle w:val="ListParagraph"/>
        <w:numPr>
          <w:ilvl w:val="0"/>
          <w:numId w:val="11"/>
        </w:numPr>
        <w:tabs>
          <w:tab w:val="clear" w:pos="720"/>
          <w:tab w:val="left" w:pos="0" w:leader="none"/>
          <w:tab w:val="left" w:pos="567" w:leader="none"/>
          <w:tab w:val="left" w:pos="993" w:leader="none"/>
          <w:tab w:val="left" w:pos="1134" w:leader="none"/>
        </w:tabs>
        <w:ind w:firstLine="567" w:left="0"/>
        <w:jc w:val="both"/>
        <w:rPr>
          <w:rFonts w:ascii="Times New Roman" w:hAnsi="Times New Roman" w:cs="Times New Roman"/>
          <w:lang w:val="lt-LT"/>
        </w:rPr>
      </w:pPr>
      <w:r>
        <w:rPr>
          <w:rFonts w:cs="Times New Roman" w:ascii="Times New Roman" w:hAnsi="Times New Roman"/>
          <w:lang w:val="lt-LT"/>
        </w:rPr>
        <w:t xml:space="preserve"> </w:t>
      </w:r>
      <w:r>
        <w:rPr>
          <w:lang w:val="lt-LT"/>
        </w:rPr>
        <w:t>Paslaugos turi būti suteiktos iki 2025 m. gruodžio 1 d.</w:t>
      </w:r>
    </w:p>
    <w:p>
      <w:pPr>
        <w:pStyle w:val="ListParagraph"/>
        <w:tabs>
          <w:tab w:val="clear" w:pos="720"/>
          <w:tab w:val="left" w:pos="0" w:leader="none"/>
          <w:tab w:val="left" w:pos="567" w:leader="none"/>
          <w:tab w:val="left" w:pos="993" w:leader="none"/>
          <w:tab w:val="left" w:pos="1134" w:leader="none"/>
        </w:tabs>
        <w:ind w:left="567"/>
        <w:jc w:val="both"/>
        <w:rPr>
          <w:rFonts w:ascii="Times New Roman" w:hAnsi="Times New Roman" w:cs="Times New Roman"/>
          <w:lang w:val="lt-LT"/>
        </w:rPr>
      </w:pPr>
      <w:r>
        <w:rPr>
          <w:rFonts w:cs="Times New Roman" w:ascii="Times New Roman" w:hAnsi="Times New Roman"/>
          <w:lang w:val="lt-LT"/>
        </w:rPr>
      </w:r>
    </w:p>
    <w:p>
      <w:pPr>
        <w:pStyle w:val="ListParagraph"/>
        <w:tabs>
          <w:tab w:val="clear" w:pos="720"/>
          <w:tab w:val="left" w:pos="0" w:leader="none"/>
          <w:tab w:val="left" w:pos="567" w:leader="none"/>
          <w:tab w:val="left" w:pos="993" w:leader="none"/>
          <w:tab w:val="left" w:pos="1134" w:leader="none"/>
        </w:tabs>
        <w:ind w:left="567"/>
        <w:jc w:val="center"/>
        <w:rPr>
          <w:rFonts w:ascii="Times New Roman" w:hAnsi="Times New Roman" w:cs="Times New Roman"/>
          <w:b/>
          <w:bCs/>
          <w:lang w:val="lt-LT"/>
        </w:rPr>
      </w:pPr>
      <w:r>
        <w:rPr>
          <w:rFonts w:cs="Times New Roman" w:ascii="Times New Roman" w:hAnsi="Times New Roman"/>
          <w:b/>
          <w:bCs/>
          <w:lang w:val="lt-LT"/>
        </w:rPr>
        <w:t>III. APLINKOS APSAUGOS REIKALAVIMAI</w:t>
      </w:r>
    </w:p>
    <w:p>
      <w:pPr>
        <w:pStyle w:val="ListParagraph"/>
        <w:tabs>
          <w:tab w:val="clear" w:pos="720"/>
          <w:tab w:val="left" w:pos="0" w:leader="none"/>
          <w:tab w:val="left" w:pos="567" w:leader="none"/>
          <w:tab w:val="left" w:pos="993" w:leader="none"/>
          <w:tab w:val="left" w:pos="1134" w:leader="none"/>
        </w:tabs>
        <w:ind w:left="567"/>
        <w:jc w:val="center"/>
        <w:rPr>
          <w:rFonts w:ascii="Times New Roman" w:hAnsi="Times New Roman" w:cs="Times New Roman"/>
          <w:b/>
          <w:bCs/>
          <w:lang w:val="lt-LT"/>
        </w:rPr>
      </w:pPr>
      <w:r>
        <w:rPr>
          <w:rFonts w:cs="Times New Roman" w:ascii="Times New Roman" w:hAnsi="Times New Roman"/>
          <w:b/>
          <w:bCs/>
          <w:lang w:val="lt-LT"/>
        </w:rPr>
      </w:r>
    </w:p>
    <w:p>
      <w:pPr>
        <w:pStyle w:val="Normal"/>
        <w:tabs>
          <w:tab w:val="clear" w:pos="720"/>
          <w:tab w:val="left" w:pos="0" w:leader="none"/>
          <w:tab w:val="left" w:pos="567" w:leader="none"/>
          <w:tab w:val="left" w:pos="1134" w:leader="none"/>
        </w:tabs>
        <w:ind w:firstLine="567"/>
        <w:jc w:val="both"/>
        <w:rPr>
          <w:lang w:val="lt-LT"/>
        </w:rPr>
      </w:pPr>
      <w:r>
        <w:rPr>
          <w:lang w:val="lt-LT"/>
        </w:rPr>
        <w:t>7. Paslaugų teikėjas įsipareigoja mažinti popieriaus sunaudojimą, atsisakyti nebūtino dokumentų kopijavimo ir spausdinimo, rengiama dokumentacija, ataskaitos, paslaugų perdavimo– priėmimo aktai Perkančiajai organizacijai turi būti pateikti tik elektroniniu formatu, dokumentacija turi būti pasirašoma elektroniniu parašu. Teikdamas paslaugą Paslaugų teikėjas turi dėti pastangas sunaudoti mažiau gamtos išteklių ir (arba) naudoti pakartotinai panaudotas ir (arba) perdirbtas medžiagas, sunaudoti mažiau elektros energijos.</w:t>
      </w:r>
    </w:p>
    <w:p>
      <w:pPr>
        <w:pStyle w:val="Normal"/>
        <w:tabs>
          <w:tab w:val="clear" w:pos="720"/>
          <w:tab w:val="left" w:pos="0" w:leader="none"/>
          <w:tab w:val="left" w:pos="567" w:leader="none"/>
          <w:tab w:val="left" w:pos="993" w:leader="none"/>
          <w:tab w:val="left" w:pos="1134" w:leader="none"/>
        </w:tabs>
        <w:ind w:firstLine="567"/>
        <w:jc w:val="both"/>
        <w:rPr>
          <w:lang w:val="lt-LT"/>
        </w:rPr>
      </w:pPr>
      <w:r>
        <w:rPr>
          <w:lang w:val="lt-LT"/>
        </w:rPr>
        <w:t>8. Vadovaujantis Lietuvos Respublikos aplinkos ministro 2011 m. birželio 28 d. įsakymu Nr. D1-508 patvirtinto Aplinkos apsaugos kriterijų taikymo, vykdant žaliuosius pirkimus, tvarkos aprašo 4.4.3. papunkčiu, maitinimo patalpose neturi būti naudojami plastikiniai indai arba, jeigu tokie naudojami, jie turi būti pagaminti iš perdirbtų medžiagų.</w:t>
      </w:r>
    </w:p>
    <w:p>
      <w:pPr>
        <w:pStyle w:val="Normal"/>
        <w:jc w:val="both"/>
        <w:rPr>
          <w:lang w:val="lt-LT"/>
        </w:rPr>
      </w:pPr>
      <w:r>
        <w:rPr>
          <w:lang w:val="lt-LT"/>
        </w:rPr>
      </w:r>
    </w:p>
    <w:p>
      <w:pPr>
        <w:pStyle w:val="Normal"/>
        <w:jc w:val="center"/>
        <w:rPr>
          <w:rFonts w:eastAsia="Calibri"/>
          <w:b/>
          <w:bCs/>
          <w:lang w:val="lt-LT"/>
        </w:rPr>
      </w:pPr>
      <w:r>
        <w:rPr>
          <w:rFonts w:eastAsia="Calibri"/>
          <w:b/>
          <w:bCs/>
          <w:lang w:val="lt-LT"/>
        </w:rPr>
        <w:t>IV SKYRIUS</w:t>
      </w:r>
    </w:p>
    <w:p>
      <w:pPr>
        <w:pStyle w:val="Normal"/>
        <w:jc w:val="center"/>
        <w:rPr>
          <w:rFonts w:eastAsia="Calibri"/>
          <w:b/>
          <w:bCs/>
          <w:lang w:val="lt-LT"/>
        </w:rPr>
      </w:pPr>
      <w:r>
        <w:rPr>
          <w:rFonts w:eastAsia="Calibri"/>
          <w:b/>
          <w:bCs/>
          <w:lang w:val="lt-LT"/>
        </w:rPr>
        <w:t>ASMENS DUOMENŲ TVARKYMAS</w:t>
      </w:r>
    </w:p>
    <w:p>
      <w:pPr>
        <w:pStyle w:val="Normal"/>
        <w:jc w:val="center"/>
        <w:rPr>
          <w:rFonts w:eastAsia="Calibri"/>
          <w:b/>
          <w:bCs/>
          <w:lang w:val="lt-LT"/>
        </w:rPr>
      </w:pPr>
      <w:r>
        <w:rPr>
          <w:rFonts w:eastAsia="Calibri"/>
          <w:b/>
          <w:bCs/>
          <w:lang w:val="lt-LT"/>
        </w:rPr>
      </w:r>
    </w:p>
    <w:p>
      <w:pPr>
        <w:pStyle w:val="NoSpacing"/>
        <w:tabs>
          <w:tab w:val="clear" w:pos="720"/>
          <w:tab w:val="left" w:pos="426" w:leader="none"/>
        </w:tabs>
        <w:spacing w:lineRule="auto" w:line="276"/>
        <w:ind w:firstLine="567"/>
        <w:jc w:val="both"/>
        <w:rPr>
          <w:color w:themeColor="text1" w:val="000000"/>
          <w:lang w:val="lt-LT"/>
        </w:rPr>
      </w:pPr>
      <w:r>
        <w:rPr>
          <w:color w:themeColor="text1" w:val="000000"/>
          <w:lang w:val="lt-LT"/>
        </w:rPr>
        <w:t>9.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12"/>
        </w:numPr>
        <w:tabs>
          <w:tab w:val="clear" w:pos="720"/>
          <w:tab w:val="left" w:pos="284" w:leader="none"/>
          <w:tab w:val="left" w:pos="426" w:leader="none"/>
        </w:tabs>
        <w:spacing w:lineRule="auto" w:line="276"/>
        <w:ind w:firstLine="360" w:left="0"/>
        <w:jc w:val="both"/>
        <w:rPr>
          <w:color w:themeColor="text1" w:val="000000"/>
          <w:lang w:val="lt-LT"/>
        </w:rPr>
      </w:pPr>
      <w:r>
        <w:rPr>
          <w:color w:themeColor="text1" w:val="000000"/>
        </w:rPr>
        <w:t>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w:t>
      </w:r>
    </w:p>
    <w:p>
      <w:pPr>
        <w:pStyle w:val="NoSpacing"/>
        <w:numPr>
          <w:ilvl w:val="0"/>
          <w:numId w:val="12"/>
        </w:numPr>
        <w:tabs>
          <w:tab w:val="clear" w:pos="720"/>
          <w:tab w:val="left" w:pos="284" w:leader="none"/>
          <w:tab w:val="left" w:pos="426" w:leader="none"/>
        </w:tabs>
        <w:spacing w:lineRule="auto" w:line="276"/>
        <w:ind w:firstLine="426" w:left="0"/>
        <w:jc w:val="both"/>
        <w:rPr>
          <w:color w:themeColor="text1" w:val="000000"/>
          <w:lang w:val="lt-LT"/>
        </w:rPr>
      </w:pPr>
      <w:r>
        <w:rPr>
          <w:color w:themeColor="text1" w:val="000000"/>
          <w:lang w:val="lt-LT"/>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12"/>
        </w:numPr>
        <w:tabs>
          <w:tab w:val="clear" w:pos="720"/>
          <w:tab w:val="left" w:pos="284" w:leader="none"/>
          <w:tab w:val="left" w:pos="426" w:leader="none"/>
        </w:tabs>
        <w:spacing w:lineRule="auto" w:line="276"/>
        <w:ind w:firstLine="360" w:left="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12"/>
        </w:numPr>
        <w:tabs>
          <w:tab w:val="clear" w:pos="720"/>
          <w:tab w:val="left" w:pos="284" w:leader="none"/>
          <w:tab w:val="left" w:pos="426" w:leader="none"/>
        </w:tabs>
        <w:spacing w:lineRule="auto" w:line="276"/>
        <w:ind w:firstLine="360" w:left="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Kilus ginčams dėl viešųjų pirkimų organizavimo ar Sutarties vykdymo, Perkančioji organizacija gali tvarkyti 11-12 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12"/>
        </w:numPr>
        <w:tabs>
          <w:tab w:val="clear" w:pos="720"/>
          <w:tab w:val="left" w:pos="284" w:leader="none"/>
          <w:tab w:val="left" w:pos="426" w:leader="none"/>
        </w:tabs>
        <w:spacing w:lineRule="auto" w:line="276"/>
        <w:ind w:firstLine="360" w:left="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ListParagraph"/>
        <w:numPr>
          <w:ilvl w:val="0"/>
          <w:numId w:val="12"/>
        </w:numPr>
        <w:tabs>
          <w:tab w:val="clear" w:pos="720"/>
          <w:tab w:val="left" w:pos="284" w:leader="none"/>
          <w:tab w:val="left" w:pos="426" w:leader="none"/>
        </w:tabs>
        <w:spacing w:lineRule="auto" w:line="276"/>
        <w:ind w:firstLine="360" w:left="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Asmens duomenų pateikimas yra privalomas. Nepateikus asmens duomenų Paslaugų teikėjo pasiūlymas negalės būti vertinamas bei nebus galima sudaryti ir vykdyti Sutarties.</w:t>
      </w:r>
    </w:p>
    <w:p>
      <w:pPr>
        <w:pStyle w:val="ListParagraph"/>
        <w:numPr>
          <w:ilvl w:val="0"/>
          <w:numId w:val="12"/>
        </w:numPr>
        <w:tabs>
          <w:tab w:val="clear" w:pos="720"/>
          <w:tab w:val="left" w:pos="284" w:leader="none"/>
          <w:tab w:val="left" w:pos="426" w:leader="none"/>
        </w:tabs>
        <w:spacing w:lineRule="auto" w:line="276"/>
        <w:ind w:firstLine="786" w:left="-426"/>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12"/>
        </w:numPr>
        <w:tabs>
          <w:tab w:val="clear" w:pos="720"/>
          <w:tab w:val="left" w:pos="284" w:leader="none"/>
          <w:tab w:val="left" w:pos="426" w:leader="none"/>
        </w:tabs>
        <w:spacing w:lineRule="auto" w:line="276"/>
        <w:ind w:firstLine="786" w:left="-426"/>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eastAsia="Times New Roman" w:cs="Times New Roman" w:ascii="Times New Roman" w:hAnsi="Times New Roman"/>
            <w:color w:themeColor="text1" w:val="000000"/>
            <w:lang w:val="lt-LT"/>
          </w:rPr>
          <w:t>https://vdai.lrv.lt/</w:t>
        </w:r>
      </w:hyperlink>
      <w:r>
        <w:rPr>
          <w:rFonts w:eastAsia="Times New Roman" w:cs="Times New Roman" w:ascii="Times New Roman" w:hAnsi="Times New Roman"/>
          <w:color w:themeColor="text1" w:val="000000"/>
          <w:lang w:val="lt-LT"/>
        </w:rPr>
        <w:t xml:space="preserve">. </w:t>
      </w:r>
    </w:p>
    <w:p>
      <w:pPr>
        <w:pStyle w:val="ListParagraph"/>
        <w:numPr>
          <w:ilvl w:val="0"/>
          <w:numId w:val="12"/>
        </w:numPr>
        <w:tabs>
          <w:tab w:val="clear" w:pos="720"/>
          <w:tab w:val="left" w:pos="284" w:leader="none"/>
          <w:tab w:val="left" w:pos="426" w:leader="none"/>
        </w:tabs>
        <w:spacing w:lineRule="auto" w:line="276"/>
        <w:ind w:firstLine="786" w:left="-426"/>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3">
        <w:r>
          <w:rPr>
            <w:rFonts w:eastAsia="Times New Roman" w:cs="Times New Roman" w:ascii="Times New Roman" w:hAnsi="Times New Roman"/>
            <w:color w:themeColor="text1" w:val="000000"/>
            <w:lang w:val="lt-LT"/>
          </w:rPr>
          <w:t>institutas@hi.lt</w:t>
        </w:r>
      </w:hyperlink>
      <w:r>
        <w:rPr>
          <w:rFonts w:eastAsia="Times New Roman" w:cs="Times New Roman" w:ascii="Times New Roman" w:hAnsi="Times New Roman"/>
          <w:color w:themeColor="text1" w:val="000000"/>
          <w:lang w:val="lt-LT"/>
        </w:rPr>
        <w:t xml:space="preserve"> ar jo duomenų apsaugos pareigūnui el. paštu ada.ekspertai@gmail.com. </w:t>
      </w:r>
    </w:p>
    <w:p>
      <w:pPr>
        <w:pStyle w:val="ListParagraph"/>
        <w:numPr>
          <w:ilvl w:val="0"/>
          <w:numId w:val="12"/>
        </w:numPr>
        <w:tabs>
          <w:tab w:val="clear" w:pos="720"/>
          <w:tab w:val="left" w:pos="284" w:leader="none"/>
          <w:tab w:val="left" w:pos="426" w:leader="none"/>
        </w:tabs>
        <w:spacing w:lineRule="auto" w:line="276"/>
        <w:ind w:firstLine="852" w:left="-426"/>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Paslaugų teikėjas, prieš teikdamas pasiūlymą ir prieš sudarydamas Sutartį, nurodytus fizinius asmenis privalo supažindinti su 9-18 punktuose pateikta informacija apie Perkančiosios organizacijos vykdomą asmens duomenų tvarkymą. </w:t>
      </w:r>
    </w:p>
    <w:p>
      <w:pPr>
        <w:pStyle w:val="Normal"/>
        <w:jc w:val="both"/>
        <w:rPr>
          <w:lang w:val="lt-LT"/>
        </w:rPr>
      </w:pPr>
      <w:r>
        <w:rPr>
          <w:lang w:val="lt-LT"/>
        </w:rPr>
      </w:r>
    </w:p>
    <w:p>
      <w:pPr>
        <w:pStyle w:val="Normal"/>
        <w:jc w:val="both"/>
        <w:rPr>
          <w:lang w:val="lt-LT"/>
        </w:rPr>
      </w:pPr>
      <w:r>
        <w:rPr>
          <w:lang w:val="lt-LT"/>
        </w:rPr>
      </w:r>
    </w:p>
    <w:p>
      <w:pPr>
        <w:pStyle w:val="Normal"/>
        <w:jc w:val="center"/>
        <w:rPr>
          <w:lang w:val="lt-LT"/>
        </w:rPr>
      </w:pPr>
      <w:r>
        <w:rPr>
          <w:b/>
          <w:iCs/>
          <w:lang w:val="lt-LT"/>
        </w:rPr>
        <w:t>_____________________________</w:t>
      </w:r>
    </w:p>
    <w:sectPr>
      <w:footerReference w:type="default" r:id="rId4"/>
      <w:type w:val="nextPage"/>
      <w:pgSz w:w="12240" w:h="15840"/>
      <w:pgMar w:left="1701" w:right="567" w:gutter="0" w:header="0" w:top="1701"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67816336"/>
    </w:sdtPr>
    <w:sdtContent>
      <w:p>
        <w:pPr>
          <w:pStyle w:val="Footer"/>
          <w:jc w:val="right"/>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284" w:firstLine="284"/>
      </w:pPr>
      <w:rPr>
        <w:dstrike w:val="false"/>
        <w:strike w:val="false"/>
        <w:i w:val="false"/>
        <w:b/>
        <w:iCs w:val="false"/>
        <w:bCs w:val="false"/>
        <w:rFonts w:ascii="Times New Roman" w:hAnsi="Times New Roman" w:cs="Times New Roman"/>
        <w:color w:val="auto"/>
      </w:rPr>
    </w:lvl>
    <w:lvl w:ilvl="1">
      <w:start w:val="1"/>
      <w:numFmt w:val="decimal"/>
      <w:suff w:val="space"/>
      <w:lvlText w:val="%1.%2."/>
      <w:lvlJc w:val="left"/>
      <w:pPr>
        <w:tabs>
          <w:tab w:val="num" w:pos="0"/>
        </w:tabs>
        <w:ind w:left="0" w:firstLine="284"/>
      </w:pPr>
      <w:rPr>
        <w:b w:val="false"/>
        <w:bCs w:val="false"/>
      </w:rPr>
    </w:lvl>
    <w:lvl w:ilvl="2">
      <w:start w:val="1"/>
      <w:numFmt w:val="decimal"/>
      <w:suff w:val="space"/>
      <w:lvlText w:val="%1.%2.%3."/>
      <w:lvlJc w:val="left"/>
      <w:pPr>
        <w:tabs>
          <w:tab w:val="num" w:pos="0"/>
        </w:tabs>
        <w:ind w:left="0" w:firstLine="284"/>
      </w:pPr>
      <w:rPr/>
    </w:lvl>
    <w:lvl w:ilvl="3">
      <w:start w:val="1"/>
      <w:numFmt w:val="decimal"/>
      <w:suff w:val="space"/>
      <w:lvlText w:val="%1.%2.%3.%4."/>
      <w:lvlJc w:val="left"/>
      <w:pPr>
        <w:tabs>
          <w:tab w:val="num" w:pos="0"/>
        </w:tabs>
        <w:ind w:left="0" w:firstLine="284"/>
      </w:pPr>
      <w:rPr/>
    </w:lvl>
    <w:lvl w:ilvl="4">
      <w:start w:val="1"/>
      <w:numFmt w:val="decimal"/>
      <w:lvlText w:val="%1.%2.%3.%4.%5."/>
      <w:lvlJc w:val="left"/>
      <w:pPr>
        <w:tabs>
          <w:tab w:val="num" w:pos="0"/>
        </w:tabs>
        <w:ind w:left="0" w:firstLine="284"/>
      </w:pPr>
      <w:rPr/>
    </w:lvl>
    <w:lvl w:ilvl="5">
      <w:start w:val="1"/>
      <w:numFmt w:val="decimal"/>
      <w:lvlText w:val="%1.%2.%3.%4.%5.%6."/>
      <w:lvlJc w:val="left"/>
      <w:pPr>
        <w:tabs>
          <w:tab w:val="num" w:pos="0"/>
        </w:tabs>
        <w:ind w:left="0" w:firstLine="284"/>
      </w:pPr>
      <w:rPr/>
    </w:lvl>
    <w:lvl w:ilvl="6">
      <w:start w:val="1"/>
      <w:numFmt w:val="decimal"/>
      <w:lvlText w:val="%1.%2.%3.%4.%5.%6.%7."/>
      <w:lvlJc w:val="left"/>
      <w:pPr>
        <w:tabs>
          <w:tab w:val="num" w:pos="0"/>
        </w:tabs>
        <w:ind w:left="0" w:firstLine="284"/>
      </w:pPr>
      <w:rPr/>
    </w:lvl>
    <w:lvl w:ilvl="7">
      <w:start w:val="1"/>
      <w:numFmt w:val="decimal"/>
      <w:lvlText w:val="%1.%2.%3.%4.%5.%6.%7.%8."/>
      <w:lvlJc w:val="left"/>
      <w:pPr>
        <w:tabs>
          <w:tab w:val="num" w:pos="0"/>
        </w:tabs>
        <w:ind w:left="0" w:firstLine="284"/>
      </w:pPr>
      <w:rPr/>
    </w:lvl>
    <w:lvl w:ilvl="8">
      <w:start w:val="1"/>
      <w:numFmt w:val="decimal"/>
      <w:lvlText w:val="%1.%2.%3.%4.%5.%6.%7.%8.%9."/>
      <w:lvlJc w:val="left"/>
      <w:pPr>
        <w:tabs>
          <w:tab w:val="num" w:pos="0"/>
        </w:tabs>
        <w:ind w:left="0" w:firstLine="284"/>
      </w:pPr>
      <w:rPr/>
    </w:lvl>
  </w:abstractNum>
  <w:abstractNum w:abstractNumId="2">
    <w:lvl w:ilvl="0">
      <w:start w:val="5"/>
      <w:numFmt w:val="decimal"/>
      <w:lvlText w:val="%1."/>
      <w:lvlJc w:val="left"/>
      <w:pPr>
        <w:tabs>
          <w:tab w:val="num" w:pos="0"/>
        </w:tabs>
        <w:ind w:left="928" w:hanging="360"/>
      </w:pPr>
      <w:rPr>
        <w:b/>
        <w:bCs w:val="false"/>
        <w:rFonts w:eastAsia="Arial Unicode MS"/>
        <w:color w:val="auto"/>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3">
    <w:lvl w:ilvl="0">
      <w:start w:val="1"/>
      <w:numFmt w:val="decimal"/>
      <w:lvlText w:val="5.5.%1."/>
      <w:lvlJc w:val="left"/>
      <w:pPr>
        <w:tabs>
          <w:tab w:val="num" w:pos="0"/>
        </w:tabs>
        <w:ind w:left="786" w:hanging="360"/>
      </w:pPr>
      <w:rPr>
        <w:dstrike w:val="false"/>
        <w:strike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5.%1."/>
      <w:lvlJc w:val="left"/>
      <w:pPr>
        <w:tabs>
          <w:tab w:val="num" w:pos="0"/>
        </w:tabs>
        <w:ind w:left="1288" w:hanging="360"/>
      </w:pPr>
      <w:rPr/>
    </w:lvl>
    <w:lvl w:ilvl="1">
      <w:start w:val="1"/>
      <w:numFmt w:val="lowerLetter"/>
      <w:lvlText w:val="%2."/>
      <w:lvlJc w:val="left"/>
      <w:pPr>
        <w:tabs>
          <w:tab w:val="num" w:pos="0"/>
        </w:tabs>
        <w:ind w:left="2008" w:hanging="360"/>
      </w:pPr>
      <w:rPr/>
    </w:lvl>
    <w:lvl w:ilvl="2">
      <w:start w:val="1"/>
      <w:numFmt w:val="lowerRoman"/>
      <w:lvlText w:val="%3."/>
      <w:lvlJc w:val="right"/>
      <w:pPr>
        <w:tabs>
          <w:tab w:val="num" w:pos="0"/>
        </w:tabs>
        <w:ind w:left="2728" w:hanging="180"/>
      </w:pPr>
      <w:rPr/>
    </w:lvl>
    <w:lvl w:ilvl="3">
      <w:start w:val="1"/>
      <w:numFmt w:val="decimal"/>
      <w:lvlText w:val="%4."/>
      <w:lvlJc w:val="left"/>
      <w:pPr>
        <w:tabs>
          <w:tab w:val="num" w:pos="0"/>
        </w:tabs>
        <w:ind w:left="3448" w:hanging="360"/>
      </w:pPr>
      <w:rPr/>
    </w:lvl>
    <w:lvl w:ilvl="4">
      <w:start w:val="1"/>
      <w:numFmt w:val="lowerLetter"/>
      <w:lvlText w:val="%5."/>
      <w:lvlJc w:val="left"/>
      <w:pPr>
        <w:tabs>
          <w:tab w:val="num" w:pos="0"/>
        </w:tabs>
        <w:ind w:left="4168" w:hanging="360"/>
      </w:pPr>
      <w:rPr/>
    </w:lvl>
    <w:lvl w:ilvl="5">
      <w:start w:val="1"/>
      <w:numFmt w:val="lowerRoman"/>
      <w:lvlText w:val="%6."/>
      <w:lvlJc w:val="right"/>
      <w:pPr>
        <w:tabs>
          <w:tab w:val="num" w:pos="0"/>
        </w:tabs>
        <w:ind w:left="4888" w:hanging="180"/>
      </w:pPr>
      <w:rPr/>
    </w:lvl>
    <w:lvl w:ilvl="6">
      <w:start w:val="1"/>
      <w:numFmt w:val="decimal"/>
      <w:lvlText w:val="%7."/>
      <w:lvlJc w:val="left"/>
      <w:pPr>
        <w:tabs>
          <w:tab w:val="num" w:pos="0"/>
        </w:tabs>
        <w:ind w:left="5608" w:hanging="360"/>
      </w:pPr>
      <w:rPr/>
    </w:lvl>
    <w:lvl w:ilvl="7">
      <w:start w:val="1"/>
      <w:numFmt w:val="lowerLetter"/>
      <w:lvlText w:val="%8."/>
      <w:lvlJc w:val="left"/>
      <w:pPr>
        <w:tabs>
          <w:tab w:val="num" w:pos="0"/>
        </w:tabs>
        <w:ind w:left="6328" w:hanging="360"/>
      </w:pPr>
      <w:rPr/>
    </w:lvl>
    <w:lvl w:ilvl="8">
      <w:start w:val="1"/>
      <w:numFmt w:val="lowerRoman"/>
      <w:lvlText w:val="%9."/>
      <w:lvlJc w:val="right"/>
      <w:pPr>
        <w:tabs>
          <w:tab w:val="num" w:pos="0"/>
        </w:tabs>
        <w:ind w:left="7048" w:hanging="180"/>
      </w:pPr>
      <w:rPr/>
    </w:lvl>
  </w:abstractNum>
  <w:abstractNum w:abstractNumId="5">
    <w:lvl w:ilvl="0">
      <w:start w:val="1"/>
      <w:numFmt w:val="decimal"/>
      <w:lvlText w:val="5.4.%1."/>
      <w:lvlJc w:val="left"/>
      <w:pPr>
        <w:tabs>
          <w:tab w:val="num" w:pos="0"/>
        </w:tabs>
        <w:ind w:left="1288" w:hanging="360"/>
      </w:pPr>
      <w:rPr>
        <w:dstrike w:val="false"/>
        <w:strike w:val="false"/>
      </w:rPr>
    </w:lvl>
    <w:lvl w:ilvl="1">
      <w:start w:val="1"/>
      <w:numFmt w:val="lowerLetter"/>
      <w:lvlText w:val="%2."/>
      <w:lvlJc w:val="left"/>
      <w:pPr>
        <w:tabs>
          <w:tab w:val="num" w:pos="0"/>
        </w:tabs>
        <w:ind w:left="2008" w:hanging="360"/>
      </w:pPr>
      <w:rPr/>
    </w:lvl>
    <w:lvl w:ilvl="2">
      <w:start w:val="1"/>
      <w:numFmt w:val="lowerRoman"/>
      <w:lvlText w:val="%3."/>
      <w:lvlJc w:val="right"/>
      <w:pPr>
        <w:tabs>
          <w:tab w:val="num" w:pos="0"/>
        </w:tabs>
        <w:ind w:left="2728" w:hanging="180"/>
      </w:pPr>
      <w:rPr/>
    </w:lvl>
    <w:lvl w:ilvl="3">
      <w:start w:val="1"/>
      <w:numFmt w:val="decimal"/>
      <w:lvlText w:val="%4."/>
      <w:lvlJc w:val="left"/>
      <w:pPr>
        <w:tabs>
          <w:tab w:val="num" w:pos="0"/>
        </w:tabs>
        <w:ind w:left="3448" w:hanging="360"/>
      </w:pPr>
      <w:rPr/>
    </w:lvl>
    <w:lvl w:ilvl="4">
      <w:start w:val="1"/>
      <w:numFmt w:val="lowerLetter"/>
      <w:lvlText w:val="%5."/>
      <w:lvlJc w:val="left"/>
      <w:pPr>
        <w:tabs>
          <w:tab w:val="num" w:pos="0"/>
        </w:tabs>
        <w:ind w:left="4168" w:hanging="360"/>
      </w:pPr>
      <w:rPr/>
    </w:lvl>
    <w:lvl w:ilvl="5">
      <w:start w:val="1"/>
      <w:numFmt w:val="lowerRoman"/>
      <w:lvlText w:val="%6."/>
      <w:lvlJc w:val="right"/>
      <w:pPr>
        <w:tabs>
          <w:tab w:val="num" w:pos="0"/>
        </w:tabs>
        <w:ind w:left="4888" w:hanging="180"/>
      </w:pPr>
      <w:rPr/>
    </w:lvl>
    <w:lvl w:ilvl="6">
      <w:start w:val="1"/>
      <w:numFmt w:val="decimal"/>
      <w:lvlText w:val="%7."/>
      <w:lvlJc w:val="left"/>
      <w:pPr>
        <w:tabs>
          <w:tab w:val="num" w:pos="0"/>
        </w:tabs>
        <w:ind w:left="5608" w:hanging="360"/>
      </w:pPr>
      <w:rPr/>
    </w:lvl>
    <w:lvl w:ilvl="7">
      <w:start w:val="1"/>
      <w:numFmt w:val="lowerLetter"/>
      <w:lvlText w:val="%8."/>
      <w:lvlJc w:val="left"/>
      <w:pPr>
        <w:tabs>
          <w:tab w:val="num" w:pos="0"/>
        </w:tabs>
        <w:ind w:left="6328" w:hanging="360"/>
      </w:pPr>
      <w:rPr/>
    </w:lvl>
    <w:lvl w:ilvl="8">
      <w:start w:val="1"/>
      <w:numFmt w:val="lowerRoman"/>
      <w:lvlText w:val="%9."/>
      <w:lvlJc w:val="right"/>
      <w:pPr>
        <w:tabs>
          <w:tab w:val="num" w:pos="0"/>
        </w:tabs>
        <w:ind w:left="7048" w:hanging="180"/>
      </w:pPr>
      <w:rPr/>
    </w:lvl>
  </w:abstractNum>
  <w:abstractNum w:abstractNumId="6">
    <w:lvl w:ilvl="0">
      <w:start w:val="1"/>
      <w:numFmt w:val="decimal"/>
      <w:lvlText w:val="5.4.1.%1."/>
      <w:lvlJc w:val="left"/>
      <w:pPr>
        <w:tabs>
          <w:tab w:val="num" w:pos="0"/>
        </w:tabs>
        <w:ind w:left="1288" w:hanging="360"/>
      </w:pPr>
      <w:rPr/>
    </w:lvl>
    <w:lvl w:ilvl="1">
      <w:start w:val="1"/>
      <w:numFmt w:val="lowerLetter"/>
      <w:lvlText w:val="%2."/>
      <w:lvlJc w:val="left"/>
      <w:pPr>
        <w:tabs>
          <w:tab w:val="num" w:pos="0"/>
        </w:tabs>
        <w:ind w:left="2008" w:hanging="360"/>
      </w:pPr>
      <w:rPr/>
    </w:lvl>
    <w:lvl w:ilvl="2">
      <w:start w:val="1"/>
      <w:numFmt w:val="lowerRoman"/>
      <w:lvlText w:val="%3."/>
      <w:lvlJc w:val="right"/>
      <w:pPr>
        <w:tabs>
          <w:tab w:val="num" w:pos="0"/>
        </w:tabs>
        <w:ind w:left="2728" w:hanging="180"/>
      </w:pPr>
      <w:rPr/>
    </w:lvl>
    <w:lvl w:ilvl="3">
      <w:start w:val="1"/>
      <w:numFmt w:val="decimal"/>
      <w:lvlText w:val="%4."/>
      <w:lvlJc w:val="left"/>
      <w:pPr>
        <w:tabs>
          <w:tab w:val="num" w:pos="0"/>
        </w:tabs>
        <w:ind w:left="3448" w:hanging="360"/>
      </w:pPr>
      <w:rPr/>
    </w:lvl>
    <w:lvl w:ilvl="4">
      <w:start w:val="1"/>
      <w:numFmt w:val="lowerLetter"/>
      <w:lvlText w:val="%5."/>
      <w:lvlJc w:val="left"/>
      <w:pPr>
        <w:tabs>
          <w:tab w:val="num" w:pos="0"/>
        </w:tabs>
        <w:ind w:left="4168" w:hanging="360"/>
      </w:pPr>
      <w:rPr/>
    </w:lvl>
    <w:lvl w:ilvl="5">
      <w:start w:val="1"/>
      <w:numFmt w:val="lowerRoman"/>
      <w:lvlText w:val="%6."/>
      <w:lvlJc w:val="right"/>
      <w:pPr>
        <w:tabs>
          <w:tab w:val="num" w:pos="0"/>
        </w:tabs>
        <w:ind w:left="4888" w:hanging="180"/>
      </w:pPr>
      <w:rPr/>
    </w:lvl>
    <w:lvl w:ilvl="6">
      <w:start w:val="1"/>
      <w:numFmt w:val="decimal"/>
      <w:lvlText w:val="%7."/>
      <w:lvlJc w:val="left"/>
      <w:pPr>
        <w:tabs>
          <w:tab w:val="num" w:pos="0"/>
        </w:tabs>
        <w:ind w:left="5608" w:hanging="360"/>
      </w:pPr>
      <w:rPr/>
    </w:lvl>
    <w:lvl w:ilvl="7">
      <w:start w:val="1"/>
      <w:numFmt w:val="lowerLetter"/>
      <w:lvlText w:val="%8."/>
      <w:lvlJc w:val="left"/>
      <w:pPr>
        <w:tabs>
          <w:tab w:val="num" w:pos="0"/>
        </w:tabs>
        <w:ind w:left="6328" w:hanging="360"/>
      </w:pPr>
      <w:rPr/>
    </w:lvl>
    <w:lvl w:ilvl="8">
      <w:start w:val="1"/>
      <w:numFmt w:val="lowerRoman"/>
      <w:lvlText w:val="%9."/>
      <w:lvlJc w:val="right"/>
      <w:pPr>
        <w:tabs>
          <w:tab w:val="num" w:pos="0"/>
        </w:tabs>
        <w:ind w:left="7048" w:hanging="180"/>
      </w:pPr>
      <w:rPr/>
    </w:lvl>
  </w:abstractNum>
  <w:abstractNum w:abstractNumId="7">
    <w:lvl w:ilvl="0">
      <w:start w:val="1"/>
      <w:numFmt w:val="decimal"/>
      <w:lvlText w:val="4.%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5"/>
      <w:numFmt w:val="decimal"/>
      <w:lvlText w:val="5.%1."/>
      <w:lvlJc w:val="left"/>
      <w:pPr>
        <w:tabs>
          <w:tab w:val="num" w:pos="0"/>
        </w:tabs>
        <w:ind w:left="1288" w:hanging="360"/>
      </w:pPr>
      <w:rPr>
        <w:dstrike w:val="false"/>
        <w:strike w:val="false"/>
        <w:rFonts w:ascii="Times New Roman" w:hAnsi="Times New Roman" w:cs="Times New Roman"/>
      </w:rPr>
    </w:lvl>
    <w:lvl w:ilvl="1">
      <w:start w:val="1"/>
      <w:numFmt w:val="lowerLetter"/>
      <w:lvlText w:val="%2."/>
      <w:lvlJc w:val="left"/>
      <w:pPr>
        <w:tabs>
          <w:tab w:val="num" w:pos="0"/>
        </w:tabs>
        <w:ind w:left="2008" w:hanging="360"/>
      </w:pPr>
      <w:rPr/>
    </w:lvl>
    <w:lvl w:ilvl="2">
      <w:start w:val="1"/>
      <w:numFmt w:val="lowerRoman"/>
      <w:lvlText w:val="%3."/>
      <w:lvlJc w:val="right"/>
      <w:pPr>
        <w:tabs>
          <w:tab w:val="num" w:pos="0"/>
        </w:tabs>
        <w:ind w:left="2728" w:hanging="180"/>
      </w:pPr>
      <w:rPr/>
    </w:lvl>
    <w:lvl w:ilvl="3">
      <w:start w:val="1"/>
      <w:numFmt w:val="decimal"/>
      <w:lvlText w:val="%4."/>
      <w:lvlJc w:val="left"/>
      <w:pPr>
        <w:tabs>
          <w:tab w:val="num" w:pos="0"/>
        </w:tabs>
        <w:ind w:left="3448" w:hanging="360"/>
      </w:pPr>
      <w:rPr/>
    </w:lvl>
    <w:lvl w:ilvl="4">
      <w:start w:val="1"/>
      <w:numFmt w:val="lowerLetter"/>
      <w:lvlText w:val="%5."/>
      <w:lvlJc w:val="left"/>
      <w:pPr>
        <w:tabs>
          <w:tab w:val="num" w:pos="0"/>
        </w:tabs>
        <w:ind w:left="4168" w:hanging="360"/>
      </w:pPr>
      <w:rPr/>
    </w:lvl>
    <w:lvl w:ilvl="5">
      <w:start w:val="1"/>
      <w:numFmt w:val="lowerRoman"/>
      <w:lvlText w:val="%6."/>
      <w:lvlJc w:val="right"/>
      <w:pPr>
        <w:tabs>
          <w:tab w:val="num" w:pos="0"/>
        </w:tabs>
        <w:ind w:left="4888" w:hanging="180"/>
      </w:pPr>
      <w:rPr/>
    </w:lvl>
    <w:lvl w:ilvl="6">
      <w:start w:val="1"/>
      <w:numFmt w:val="decimal"/>
      <w:lvlText w:val="%7."/>
      <w:lvlJc w:val="left"/>
      <w:pPr>
        <w:tabs>
          <w:tab w:val="num" w:pos="0"/>
        </w:tabs>
        <w:ind w:left="5608" w:hanging="360"/>
      </w:pPr>
      <w:rPr/>
    </w:lvl>
    <w:lvl w:ilvl="7">
      <w:start w:val="1"/>
      <w:numFmt w:val="lowerLetter"/>
      <w:lvlText w:val="%8."/>
      <w:lvlJc w:val="left"/>
      <w:pPr>
        <w:tabs>
          <w:tab w:val="num" w:pos="0"/>
        </w:tabs>
        <w:ind w:left="6328" w:hanging="360"/>
      </w:pPr>
      <w:rPr/>
    </w:lvl>
    <w:lvl w:ilvl="8">
      <w:start w:val="1"/>
      <w:numFmt w:val="lowerRoman"/>
      <w:lvlText w:val="%9."/>
      <w:lvlJc w:val="right"/>
      <w:pPr>
        <w:tabs>
          <w:tab w:val="num" w:pos="0"/>
        </w:tabs>
        <w:ind w:left="7048" w:hanging="180"/>
      </w:pPr>
      <w:rPr/>
    </w:lvl>
  </w:abstractNum>
  <w:abstractNum w:abstractNumId="9">
    <w:lvl w:ilvl="0">
      <w:start w:val="6"/>
      <w:numFmt w:val="decimal"/>
      <w:lvlText w:val="5.%1."/>
      <w:lvlJc w:val="left"/>
      <w:pPr>
        <w:tabs>
          <w:tab w:val="num" w:pos="0"/>
        </w:tabs>
        <w:ind w:left="78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6"/>
      <w:numFmt w:val="decimal"/>
      <w:lvlText w:val="%1."/>
      <w:lvlJc w:val="left"/>
      <w:pPr>
        <w:tabs>
          <w:tab w:val="num" w:pos="0"/>
        </w:tabs>
        <w:ind w:left="1288" w:hanging="360"/>
      </w:pPr>
      <w:rPr/>
    </w:lvl>
    <w:lvl w:ilvl="1">
      <w:start w:val="1"/>
      <w:numFmt w:val="lowerLetter"/>
      <w:lvlText w:val="%2."/>
      <w:lvlJc w:val="left"/>
      <w:pPr>
        <w:tabs>
          <w:tab w:val="num" w:pos="0"/>
        </w:tabs>
        <w:ind w:left="2008" w:hanging="360"/>
      </w:pPr>
      <w:rPr/>
    </w:lvl>
    <w:lvl w:ilvl="2">
      <w:start w:val="1"/>
      <w:numFmt w:val="lowerRoman"/>
      <w:lvlText w:val="%3."/>
      <w:lvlJc w:val="right"/>
      <w:pPr>
        <w:tabs>
          <w:tab w:val="num" w:pos="0"/>
        </w:tabs>
        <w:ind w:left="2728" w:hanging="180"/>
      </w:pPr>
      <w:rPr/>
    </w:lvl>
    <w:lvl w:ilvl="3">
      <w:start w:val="1"/>
      <w:numFmt w:val="decimal"/>
      <w:lvlText w:val="%4."/>
      <w:lvlJc w:val="left"/>
      <w:pPr>
        <w:tabs>
          <w:tab w:val="num" w:pos="0"/>
        </w:tabs>
        <w:ind w:left="3448" w:hanging="360"/>
      </w:pPr>
      <w:rPr/>
    </w:lvl>
    <w:lvl w:ilvl="4">
      <w:start w:val="1"/>
      <w:numFmt w:val="lowerLetter"/>
      <w:lvlText w:val="%5."/>
      <w:lvlJc w:val="left"/>
      <w:pPr>
        <w:tabs>
          <w:tab w:val="num" w:pos="0"/>
        </w:tabs>
        <w:ind w:left="4168" w:hanging="360"/>
      </w:pPr>
      <w:rPr/>
    </w:lvl>
    <w:lvl w:ilvl="5">
      <w:start w:val="1"/>
      <w:numFmt w:val="lowerRoman"/>
      <w:lvlText w:val="%6."/>
      <w:lvlJc w:val="right"/>
      <w:pPr>
        <w:tabs>
          <w:tab w:val="num" w:pos="0"/>
        </w:tabs>
        <w:ind w:left="4888" w:hanging="180"/>
      </w:pPr>
      <w:rPr/>
    </w:lvl>
    <w:lvl w:ilvl="6">
      <w:start w:val="1"/>
      <w:numFmt w:val="decimal"/>
      <w:lvlText w:val="%7."/>
      <w:lvlJc w:val="left"/>
      <w:pPr>
        <w:tabs>
          <w:tab w:val="num" w:pos="0"/>
        </w:tabs>
        <w:ind w:left="5608" w:hanging="360"/>
      </w:pPr>
      <w:rPr/>
    </w:lvl>
    <w:lvl w:ilvl="7">
      <w:start w:val="1"/>
      <w:numFmt w:val="lowerLetter"/>
      <w:lvlText w:val="%8."/>
      <w:lvlJc w:val="left"/>
      <w:pPr>
        <w:tabs>
          <w:tab w:val="num" w:pos="0"/>
        </w:tabs>
        <w:ind w:left="6328" w:hanging="360"/>
      </w:pPr>
      <w:rPr/>
    </w:lvl>
    <w:lvl w:ilvl="8">
      <w:start w:val="1"/>
      <w:numFmt w:val="lowerRoman"/>
      <w:lvlText w:val="%9."/>
      <w:lvlJc w:val="right"/>
      <w:pPr>
        <w:tabs>
          <w:tab w:val="num" w:pos="0"/>
        </w:tabs>
        <w:ind w:left="7048" w:hanging="180"/>
      </w:pPr>
      <w:rPr/>
    </w:lvl>
  </w:abstractNum>
  <w:abstractNum w:abstractNumId="11">
    <w:lvl w:ilvl="0">
      <w:start w:val="1"/>
      <w:numFmt w:val="decimal"/>
      <w:lvlText w:val="6.%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0"/>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3434"/>
    <w:pPr>
      <w:widowControl/>
      <w:bidi w:val="0"/>
      <w:spacing w:lineRule="auto" w:line="240" w:before="0" w:after="0"/>
      <w:jc w:val="left"/>
    </w:pPr>
    <w:rPr>
      <w:rFonts w:ascii="Times New Roman" w:hAnsi="Times New Roman" w:eastAsia="Arial Unicode MS" w:cs="Times New Roman"/>
      <w:color w:val="auto"/>
      <w:kern w:val="0"/>
      <w:sz w:val="24"/>
      <w:szCs w:val="24"/>
      <w:lang w:val="en-US" w:eastAsia="en-US" w:bidi="ar-SA"/>
      <w14:ligatures w14:val="none"/>
    </w:rPr>
  </w:style>
  <w:style w:type="character" w:styleId="DefaultParagraphFont" w:default="1">
    <w:name w:val="Default Paragraph Font"/>
    <w:uiPriority w:val="1"/>
    <w:semiHidden/>
    <w:unhideWhenUsed/>
    <w:qFormat/>
    <w:rPr/>
  </w:style>
  <w:style w:type="character" w:styleId="BetarpDiagrama" w:customStyle="1">
    <w:name w:val="Be tarpų Diagrama"/>
    <w:basedOn w:val="DefaultParagraphFont"/>
    <w:link w:val="NoSpacing"/>
    <w:uiPriority w:val="1"/>
    <w:qFormat/>
    <w:locked/>
    <w:rsid w:val="00f83434"/>
    <w:rPr>
      <w:rFonts w:ascii="Times New Roman" w:hAnsi="Times New Roman" w:eastAsia="Times New Roman" w:cs="Times New Roman"/>
      <w:sz w:val="24"/>
      <w:szCs w:val="24"/>
    </w:rPr>
  </w:style>
  <w:style w:type="character" w:styleId="SraopastraipaDiagrama" w:customStyle="1">
    <w:name w:val="Sąrašo pastraipa Diagrama"/>
    <w:link w:val="ListParagraph"/>
    <w:uiPriority w:val="34"/>
    <w:qFormat/>
    <w:locked/>
    <w:rsid w:val="00f83434"/>
    <w:rPr>
      <w:sz w:val="24"/>
      <w:szCs w:val="24"/>
    </w:rPr>
  </w:style>
  <w:style w:type="character" w:styleId="Annotationreference">
    <w:name w:val="annotation reference"/>
    <w:basedOn w:val="DefaultParagraphFont"/>
    <w:uiPriority w:val="99"/>
    <w:semiHidden/>
    <w:unhideWhenUsed/>
    <w:qFormat/>
    <w:rsid w:val="00685ee7"/>
    <w:rPr>
      <w:sz w:val="16"/>
      <w:szCs w:val="16"/>
    </w:rPr>
  </w:style>
  <w:style w:type="character" w:styleId="KomentarotekstasDiagrama" w:customStyle="1">
    <w:name w:val="Komentaro tekstas Diagrama"/>
    <w:basedOn w:val="DefaultParagraphFont"/>
    <w:link w:val="Annotationtext"/>
    <w:uiPriority w:val="99"/>
    <w:qFormat/>
    <w:rsid w:val="00685ee7"/>
    <w:rPr>
      <w:rFonts w:ascii="Times New Roman" w:hAnsi="Times New Roman" w:eastAsia="Arial Unicode MS" w:cs="Times New Roman"/>
      <w:kern w:val="0"/>
      <w:sz w:val="20"/>
      <w:szCs w:val="20"/>
      <w14:ligatures w14:val="none"/>
    </w:rPr>
  </w:style>
  <w:style w:type="character" w:styleId="KomentarotemaDiagrama" w:customStyle="1">
    <w:name w:val="Komentaro tema Diagrama"/>
    <w:basedOn w:val="KomentarotekstasDiagrama"/>
    <w:link w:val="Annotationsubject"/>
    <w:uiPriority w:val="99"/>
    <w:semiHidden/>
    <w:qFormat/>
    <w:rsid w:val="00685ee7"/>
    <w:rPr>
      <w:rFonts w:ascii="Times New Roman" w:hAnsi="Times New Roman" w:eastAsia="Arial Unicode MS" w:cs="Times New Roman"/>
      <w:b/>
      <w:bCs/>
      <w:kern w:val="0"/>
      <w:sz w:val="20"/>
      <w:szCs w:val="20"/>
      <w14:ligatures w14:val="none"/>
    </w:rPr>
  </w:style>
  <w:style w:type="character" w:styleId="AntratsDiagrama" w:customStyle="1">
    <w:name w:val="Antraštės Diagrama"/>
    <w:basedOn w:val="DefaultParagraphFont"/>
    <w:link w:val="Header"/>
    <w:uiPriority w:val="99"/>
    <w:qFormat/>
    <w:rsid w:val="009b2be6"/>
    <w:rPr>
      <w:rFonts w:ascii="Times New Roman" w:hAnsi="Times New Roman" w:eastAsia="Arial Unicode MS" w:cs="Times New Roman"/>
      <w:kern w:val="0"/>
      <w:sz w:val="24"/>
      <w:szCs w:val="24"/>
      <w14:ligatures w14:val="none"/>
    </w:rPr>
  </w:style>
  <w:style w:type="character" w:styleId="PoratDiagrama" w:customStyle="1">
    <w:name w:val="Poraštė Diagrama"/>
    <w:basedOn w:val="DefaultParagraphFont"/>
    <w:link w:val="Footer"/>
    <w:uiPriority w:val="99"/>
    <w:qFormat/>
    <w:rsid w:val="009b2be6"/>
    <w:rPr>
      <w:rFonts w:ascii="Times New Roman" w:hAnsi="Times New Roman" w:eastAsia="Arial Unicode MS" w:cs="Times New Roman"/>
      <w:kern w:val="0"/>
      <w:sz w:val="24"/>
      <w:szCs w:val="24"/>
      <w14:ligatures w14:val="none"/>
    </w:rPr>
  </w:style>
  <w:style w:type="character" w:styleId="Hyperlink">
    <w:name w:val="Hyperlink"/>
    <w:basedOn w:val="DefaultParagraphFont"/>
    <w:uiPriority w:val="99"/>
    <w:unhideWhenUsed/>
    <w:rsid w:val="00ed1957"/>
    <w:rPr>
      <w:color w:themeColor="hyperlink" w:val="0563C1"/>
      <w:u w:val="single"/>
    </w:rPr>
  </w:style>
  <w:style w:type="character" w:styleId="UnresolvedMention">
    <w:name w:val="Unresolved Mention"/>
    <w:basedOn w:val="DefaultParagraphFont"/>
    <w:uiPriority w:val="99"/>
    <w:semiHidden/>
    <w:unhideWhenUsed/>
    <w:qFormat/>
    <w:rsid w:val="00ed1957"/>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link w:val="BetarpDiagrama"/>
    <w:uiPriority w:val="1"/>
    <w:qFormat/>
    <w:rsid w:val="00f83434"/>
    <w:pPr>
      <w:widowControl/>
      <w:bidi w:val="0"/>
      <w:spacing w:lineRule="auto" w:line="240" w:before="0" w:after="0"/>
      <w:jc w:val="left"/>
    </w:pPr>
    <w:rPr>
      <w:rFonts w:ascii="Times New Roman" w:hAnsi="Times New Roman" w:eastAsia="Times New Roman" w:cs="Times New Roman"/>
      <w:color w:val="auto"/>
      <w:kern w:val="2"/>
      <w:sz w:val="24"/>
      <w:szCs w:val="24"/>
      <w:lang w:val="en-US" w:eastAsia="en-US" w:bidi="ar-SA"/>
      <w14:ligatures w14:val="standardContextual"/>
    </w:rPr>
  </w:style>
  <w:style w:type="paragraph" w:styleId="ListParagraph">
    <w:name w:val="List Paragraph"/>
    <w:basedOn w:val="Normal"/>
    <w:link w:val="SraopastraipaDiagrama"/>
    <w:uiPriority w:val="34"/>
    <w:qFormat/>
    <w:rsid w:val="00f83434"/>
    <w:pPr>
      <w:spacing w:before="0" w:after="0"/>
      <w:ind w:left="720"/>
      <w:contextualSpacing/>
    </w:pPr>
    <w:rPr>
      <w:rFonts w:ascii="Calibri" w:hAnsi="Calibri" w:eastAsia="Calibri" w:cs="Arial" w:asciiTheme="minorHAnsi" w:cstheme="minorBidi" w:eastAsiaTheme="minorHAnsi" w:hAnsiTheme="minorHAnsi"/>
      <w:kern w:val="2"/>
      <w14:ligatures w14:val="standardContextual"/>
    </w:rPr>
  </w:style>
  <w:style w:type="paragraph" w:styleId="Annotationtext">
    <w:name w:val="annotation text"/>
    <w:basedOn w:val="Normal"/>
    <w:link w:val="KomentarotekstasDiagrama"/>
    <w:uiPriority w:val="99"/>
    <w:unhideWhenUsed/>
    <w:qFormat/>
    <w:rsid w:val="00685ee7"/>
    <w:pPr/>
    <w:rPr>
      <w:sz w:val="20"/>
      <w:szCs w:val="20"/>
    </w:rPr>
  </w:style>
  <w:style w:type="paragraph" w:styleId="Annotationsubject">
    <w:name w:val="annotation subject"/>
    <w:basedOn w:val="Annotationtext"/>
    <w:next w:val="Annotationtext"/>
    <w:link w:val="KomentarotemaDiagrama"/>
    <w:uiPriority w:val="99"/>
    <w:semiHidden/>
    <w:unhideWhenUsed/>
    <w:qFormat/>
    <w:rsid w:val="00685ee7"/>
    <w:pPr/>
    <w:rPr>
      <w:b/>
      <w:bCs/>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9b2be6"/>
    <w:pPr>
      <w:tabs>
        <w:tab w:val="clear" w:pos="720"/>
        <w:tab w:val="center" w:pos="4819" w:leader="none"/>
        <w:tab w:val="right" w:pos="9638" w:leader="none"/>
      </w:tabs>
    </w:pPr>
    <w:rPr/>
  </w:style>
  <w:style w:type="paragraph" w:styleId="Footer">
    <w:name w:val="Footer"/>
    <w:basedOn w:val="Normal"/>
    <w:link w:val="PoratDiagrama"/>
    <w:uiPriority w:val="99"/>
    <w:unhideWhenUsed/>
    <w:rsid w:val="009b2be6"/>
    <w:pPr>
      <w:tabs>
        <w:tab w:val="clear" w:pos="720"/>
        <w:tab w:val="center" w:pos="4819" w:leader="none"/>
        <w:tab w:val="right" w:pos="9638" w:leader="none"/>
      </w:tabs>
    </w:pPr>
    <w:rPr/>
  </w:style>
  <w:style w:type="paragraph" w:styleId="Revision">
    <w:name w:val="Revision"/>
    <w:uiPriority w:val="99"/>
    <w:semiHidden/>
    <w:qFormat/>
    <w:rsid w:val="00112b20"/>
    <w:pPr>
      <w:widowControl/>
      <w:bidi w:val="0"/>
      <w:spacing w:lineRule="auto" w:line="240" w:before="0" w:after="0"/>
      <w:jc w:val="left"/>
    </w:pPr>
    <w:rPr>
      <w:rFonts w:ascii="Times New Roman" w:hAnsi="Times New Roman" w:eastAsia="Arial Unicode MS" w:cs="Times New Roman"/>
      <w:color w:val="auto"/>
      <w:kern w:val="0"/>
      <w:sz w:val="24"/>
      <w:szCs w:val="24"/>
      <w:lang w:val="en-US" w:eastAsia="en-US" w:bidi="ar-SA"/>
      <w14:ligatures w14:val="none"/>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EE23-237B-4B24-8F3D-3F7FEC2C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Application>LibreOffice/7.6.4.1$Windows_X86_64 LibreOffice_project/e19e193f88cd6c0525a17fb7a176ed8e6a3e2aa1</Application>
  <AppVersion>15.0000</AppVersion>
  <Pages>3</Pages>
  <Words>1961</Words>
  <Characters>13819</Characters>
  <CharactersWithSpaces>15729</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2025-05-26T12:34:00Z</dcterms:created>
  <dc:creator>Jurate Miceikiene</dc:creator>
  <dc:description/>
  <dc:language>en-US</dc:language>
  <cp:lastModifiedBy>Juratė Miceikienė</cp:lastModifiedBy>
  <cp:lastPrinted>2024-06-17T11:07:00Z</cp:lastPrinted>
  <dcterms:modified xsi:type="dcterms:W3CDTF">2025-07-29T03:39:00Z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