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30B5" w14:textId="77777777" w:rsidR="00852968" w:rsidRPr="003B3216" w:rsidRDefault="00852968" w:rsidP="00852968">
      <w:pPr>
        <w:rPr>
          <w:b/>
          <w:color w:val="000000" w:themeColor="text1"/>
          <w:sz w:val="20"/>
        </w:rPr>
      </w:pPr>
    </w:p>
    <w:p w14:paraId="3FE85344" w14:textId="21816040" w:rsidR="00852968" w:rsidRPr="003B3216" w:rsidRDefault="00E41DBA" w:rsidP="000E29F9">
      <w:pPr>
        <w:jc w:val="center"/>
        <w:rPr>
          <w:b/>
          <w:color w:val="000000" w:themeColor="text1"/>
        </w:rPr>
      </w:pPr>
      <w:r w:rsidRPr="003B3216">
        <w:rPr>
          <w:b/>
          <w:color w:val="000000" w:themeColor="text1"/>
        </w:rPr>
        <w:t>Bendrieji k</w:t>
      </w:r>
      <w:r w:rsidR="00505C8A" w:rsidRPr="003B3216">
        <w:rPr>
          <w:b/>
          <w:color w:val="000000" w:themeColor="text1"/>
        </w:rPr>
        <w:t xml:space="preserve">okybės ir </w:t>
      </w:r>
      <w:r w:rsidR="00852968" w:rsidRPr="003B3216">
        <w:rPr>
          <w:b/>
          <w:color w:val="000000" w:themeColor="text1"/>
        </w:rPr>
        <w:t>technin</w:t>
      </w:r>
      <w:r w:rsidR="00505C8A" w:rsidRPr="003B3216">
        <w:rPr>
          <w:b/>
          <w:color w:val="000000" w:themeColor="text1"/>
        </w:rPr>
        <w:t>iai</w:t>
      </w:r>
      <w:r w:rsidR="00852968" w:rsidRPr="003B3216">
        <w:rPr>
          <w:b/>
          <w:color w:val="000000" w:themeColor="text1"/>
        </w:rPr>
        <w:t xml:space="preserve"> </w:t>
      </w:r>
      <w:r w:rsidR="00505C8A" w:rsidRPr="003B3216">
        <w:rPr>
          <w:b/>
          <w:color w:val="000000" w:themeColor="text1"/>
        </w:rPr>
        <w:t>reikalavimai</w:t>
      </w:r>
    </w:p>
    <w:p w14:paraId="6EA84672" w14:textId="77777777" w:rsidR="00C602F5" w:rsidRPr="003B3216" w:rsidRDefault="00C602F5" w:rsidP="000E29F9">
      <w:pPr>
        <w:jc w:val="center"/>
        <w:rPr>
          <w:b/>
          <w:color w:val="000000" w:themeColor="text1"/>
        </w:rPr>
      </w:pPr>
    </w:p>
    <w:p w14:paraId="0157B166" w14:textId="3E7E2D1A" w:rsidR="00505C8A" w:rsidRPr="003B3216" w:rsidRDefault="00C602F5" w:rsidP="00C602F5">
      <w:pPr>
        <w:pStyle w:val="ListParagraph"/>
        <w:numPr>
          <w:ilvl w:val="0"/>
          <w:numId w:val="6"/>
        </w:numPr>
        <w:ind w:left="284" w:hanging="284"/>
        <w:rPr>
          <w:bCs/>
          <w:iCs/>
          <w:color w:val="000000" w:themeColor="text1"/>
        </w:rPr>
      </w:pPr>
      <w:r w:rsidRPr="003B3216">
        <w:rPr>
          <w:bCs/>
          <w:iCs/>
          <w:color w:val="000000" w:themeColor="text1"/>
        </w:rPr>
        <w:t>Prekės turi būti naujos, nenaudotos.</w:t>
      </w:r>
    </w:p>
    <w:p w14:paraId="007FA4E2" w14:textId="6CE3344E" w:rsidR="00A77C4F" w:rsidRPr="003B3216" w:rsidRDefault="00BC2918" w:rsidP="00A77C4F">
      <w:pPr>
        <w:jc w:val="both"/>
      </w:pPr>
      <w:r w:rsidRPr="003B3216">
        <w:rPr>
          <w:b/>
          <w:bCs/>
        </w:rPr>
        <w:t>2.</w:t>
      </w:r>
      <w:r w:rsidR="00C62089" w:rsidRPr="003B3216">
        <w:rPr>
          <w:b/>
          <w:bCs/>
        </w:rPr>
        <w:t xml:space="preserve"> </w:t>
      </w:r>
      <w:r w:rsidR="00A77C4F" w:rsidRPr="003B3216">
        <w:t xml:space="preserve">Tiekėjas </w:t>
      </w:r>
      <w:r w:rsidR="00A77C4F" w:rsidRPr="003B3216">
        <w:rPr>
          <w:u w:val="single"/>
        </w:rPr>
        <w:t>kartu su pasiūlymu</w:t>
      </w:r>
      <w:r w:rsidR="00A77C4F" w:rsidRPr="003B3216">
        <w:t xml:space="preserve"> privalo pateikti dokumentus, įrodančius siūlomos prekės atitikimą reikalavimams, nurodytiems kiekviename pirkimo dokumentų techninės specifikacijos punkte</w:t>
      </w:r>
      <w:r w:rsidR="00EE7B3F" w:rsidRPr="003B3216">
        <w:t xml:space="preserve"> bei atitikimą siūlomiems kokybės kriterijams (jei tiekėjas siūlo kokybės kriterijus)</w:t>
      </w:r>
      <w:r w:rsidR="00A77C4F" w:rsidRPr="003B3216">
        <w:t>, t. y. tiekėjas turi pateikti gamintojo parengtus katalogus ir / ar siūlomos įrangos techninių charakteristikų aprašymus (jei gamintojo kataloge neišsamiai atsispindi siūlomos įrangos atitikimas techninės specifikacijos reikalavimams)  su išsamiu siūlomų prekių techninių charakteristikų aprašymu – prekės pavadinimu, modeliu (jei yra), gamintoju, techninėmis charakteristikomis pagal techninės specifikacijos reikalavimus, prekių kodais (jei taikoma) bei visa informacija, pagrindžiančia prekės atitikimą techninei specifikacijai originalo (anglų) ir lietuvių kalba.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su vertimu į lietuvių kalbą. Jei gamintojo išleistame kataloge nėra Perkančiosios organizacijos reikalaujamo prekių parametro atitiktį patvirtinančios informacijos arba neišsamiai aprašyta, Tiekėjas gali pateikti atitiktį patvirtinančią prekių gamintojo deklaraciją. Kilus abejonėms dėl tiekėjo pateiktos gamintojo dokumentacijos ar deklaracijos autentiškumo, perkančiosios organizacijos prašymu tiekėjas turės pateikti gamintojo dokumentus, patvirtintus gamintojo vadovo ar jo įgalioto asmens (kartu su prekės aprašymu pateikiami gamintojo įgalioto atstovo atitinkamas teises įrodantys dokumentai)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Pažymėtina, kad kvalifikuotas elektroninis parašas priimamas šiomis sąlygomis:</w:t>
      </w:r>
    </w:p>
    <w:p w14:paraId="3BE520C8" w14:textId="77777777" w:rsidR="00A77C4F" w:rsidRPr="003B3216" w:rsidRDefault="00A77C4F" w:rsidP="00A77C4F">
      <w:pPr>
        <w:numPr>
          <w:ilvl w:val="0"/>
          <w:numId w:val="8"/>
        </w:numPr>
        <w:jc w:val="both"/>
      </w:pPr>
      <w:r w:rsidRPr="003B3216">
        <w:t>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602778B7" w14:textId="77777777" w:rsidR="00A77C4F" w:rsidRPr="003B3216" w:rsidRDefault="00A77C4F" w:rsidP="00A77C4F">
      <w:pPr>
        <w:numPr>
          <w:ilvl w:val="0"/>
          <w:numId w:val="8"/>
        </w:numPr>
        <w:jc w:val="both"/>
      </w:pPr>
      <w:r w:rsidRPr="003B3216">
        <w:t>jeigu tiekėjo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707D764A" w14:textId="4545D3A9" w:rsidR="00A77C4F" w:rsidRPr="003B3216" w:rsidRDefault="00A77C4F" w:rsidP="00A21018">
      <w:pPr>
        <w:jc w:val="both"/>
      </w:pPr>
      <w:r w:rsidRPr="003B3216">
        <w:t>Perkančioji organizacija turi teisę reikalauti pateikti katalogų ir techninių aprašų originalus, o tiekėjui jų nepateikus – pasiūlymą atmest</w:t>
      </w:r>
      <w:r w:rsidR="00A21018" w:rsidRPr="003B3216">
        <w:t>i.</w:t>
      </w:r>
    </w:p>
    <w:p w14:paraId="67DD7E3A" w14:textId="3D136279" w:rsidR="005701CF" w:rsidRPr="003B3216" w:rsidRDefault="00CD0FED" w:rsidP="00CD0FED">
      <w:pPr>
        <w:jc w:val="both"/>
        <w:rPr>
          <w:color w:val="000000" w:themeColor="text1"/>
        </w:rPr>
      </w:pPr>
      <w:r w:rsidRPr="003B3216">
        <w:rPr>
          <w:b/>
          <w:bCs/>
        </w:rPr>
        <w:t>3.</w:t>
      </w:r>
      <w:r w:rsidRPr="003B3216">
        <w:t xml:space="preserve"> </w:t>
      </w:r>
      <w:r w:rsidR="005701CF" w:rsidRPr="003B3216">
        <w:rPr>
          <w:color w:val="000000" w:themeColor="text1"/>
        </w:rPr>
        <w:t xml:space="preserve">Siūlomos prekės turi būti žymimos CE ženklu, kuris nurodo atitikimą svarbiausiems reikalavimams, keliamiems pagal Europos Parlamento ir Tarybos Reglamento (ES) 2017/745 ir/arba Europos Parlamento ir Tarybos Reglamento (ES) 2017/746 nuostatas. </w:t>
      </w:r>
      <w:bookmarkStart w:id="0" w:name="_Hlk193789943"/>
      <w:r w:rsidR="005701CF" w:rsidRPr="003B3216">
        <w:rPr>
          <w:b/>
          <w:bCs/>
          <w:i/>
          <w:iCs/>
          <w:color w:val="000000" w:themeColor="text1"/>
          <w:u w:val="single"/>
        </w:rPr>
        <w:t>Kartu su pasiūlymu</w:t>
      </w:r>
      <w:r w:rsidR="005701CF" w:rsidRPr="003B3216">
        <w:rPr>
          <w:color w:val="000000" w:themeColor="text1"/>
        </w:rPr>
        <w:t xml:space="preserve"> </w:t>
      </w:r>
      <w:bookmarkEnd w:id="0"/>
      <w:r w:rsidR="005701CF" w:rsidRPr="003B3216">
        <w:rPr>
          <w:color w:val="000000" w:themeColor="text1"/>
        </w:rPr>
        <w:t>turi būti pateikta galiojančio CE sertifikato arba EB atitikties deklaracijos kopija originalo ir lietuvių kalba. Vėliau šis dokumentas teikiamas vykdant sutartį su pirma prekių siunta. Jei netaikoma, privaloma pateikti įrodymus apie netaikymą. Jei tiekėjai pateikia su pasiūlymu EB atitikties deklaraciją, kad įsigyjama prekė atitiks reikiamus standartus, kartu pateikia ir techninius dokumentus, pagrindžiančius prekės atitiktį reikiamiems standartams.</w:t>
      </w:r>
    </w:p>
    <w:p w14:paraId="626D4DF6" w14:textId="77AFF7D9" w:rsidR="004A1ED5" w:rsidRPr="003B3216" w:rsidRDefault="00CD0FED" w:rsidP="009A7446">
      <w:pPr>
        <w:jc w:val="both"/>
        <w:rPr>
          <w:color w:val="000000" w:themeColor="text1"/>
        </w:rPr>
      </w:pPr>
      <w:r w:rsidRPr="003B3216">
        <w:rPr>
          <w:b/>
          <w:bCs/>
          <w:color w:val="000000" w:themeColor="text1"/>
        </w:rPr>
        <w:t>4</w:t>
      </w:r>
      <w:r w:rsidR="00E421A4" w:rsidRPr="003B3216">
        <w:rPr>
          <w:b/>
          <w:bCs/>
          <w:color w:val="000000" w:themeColor="text1"/>
        </w:rPr>
        <w:t>.</w:t>
      </w:r>
      <w:r w:rsidR="00E421A4" w:rsidRPr="003B3216">
        <w:rPr>
          <w:color w:val="000000" w:themeColor="text1"/>
        </w:rPr>
        <w:t xml:space="preserve"> </w:t>
      </w:r>
      <w:r w:rsidR="004A1ED5" w:rsidRPr="003B3216">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Lygiavertiškumo įrodymas yra tiekėjo pareiga. Pateikti minimalūs reikalavimai. Tiekėjai gali siūlyti geresnių charakteristikų pirkimo objektą. Visoms nurodytoms</w:t>
      </w:r>
      <w:r w:rsidR="008F1702" w:rsidRPr="003B3216">
        <w:t xml:space="preserve"> (jei nurodyta)</w:t>
      </w:r>
      <w:r w:rsidR="004A1ED5" w:rsidRPr="003B3216">
        <w:t xml:space="preserve"> konkrečioms </w:t>
      </w:r>
      <w:r w:rsidR="004A1ED5" w:rsidRPr="003B3216">
        <w:lastRenderedPageBreak/>
        <w:t>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4432B2C3" w14:textId="647D0EF2" w:rsidR="00E05721" w:rsidRPr="003B3216" w:rsidRDefault="00E15BB4" w:rsidP="00997820">
      <w:pPr>
        <w:pStyle w:val="ListParagraph"/>
        <w:ind w:left="0"/>
        <w:jc w:val="both"/>
      </w:pPr>
      <w:r w:rsidRPr="003B3216">
        <w:rPr>
          <w:b/>
          <w:bCs/>
        </w:rPr>
        <w:t>5.</w:t>
      </w:r>
      <w:r w:rsidRPr="003B3216">
        <w:t xml:space="preserve"> </w:t>
      </w:r>
      <w:r w:rsidR="00E05721" w:rsidRPr="00F2239E">
        <w:rPr>
          <w:b/>
          <w:bCs/>
        </w:rPr>
        <w:t>Garantinis laikotarpis:</w:t>
      </w:r>
    </w:p>
    <w:p w14:paraId="4F9CC772" w14:textId="57E7F4E0" w:rsidR="00E05721" w:rsidRPr="003B3216" w:rsidRDefault="00E05721" w:rsidP="00997820">
      <w:pPr>
        <w:pStyle w:val="ListParagraph"/>
        <w:ind w:left="0"/>
        <w:jc w:val="both"/>
      </w:pPr>
      <w:r w:rsidRPr="003B3216">
        <w:t xml:space="preserve">1. Ne mažiau nei </w:t>
      </w:r>
      <w:r w:rsidR="0057436F" w:rsidRPr="003B3216">
        <w:t>2</w:t>
      </w:r>
      <w:r w:rsidRPr="003B3216">
        <w:t xml:space="preserve"> metai (garantinio aptarnavimo laikas pradedamas skaičiuoti nuo perdavimo-priėmimo akto pasirašymo datos).</w:t>
      </w:r>
    </w:p>
    <w:p w14:paraId="1F8F2E5B" w14:textId="77777777" w:rsidR="00E05721" w:rsidRPr="003B3216" w:rsidRDefault="00E05721" w:rsidP="00997820">
      <w:pPr>
        <w:pStyle w:val="ListParagraph"/>
        <w:ind w:left="0"/>
        <w:jc w:val="both"/>
      </w:pPr>
      <w:r w:rsidRPr="003B3216">
        <w:t>2. Tiekėjas nemokamai atlieka prekės techninę priežiūrą (įskaitant techninei priežiūrai atlikti reikalingas detales ir/arba medžiagas).</w:t>
      </w:r>
    </w:p>
    <w:p w14:paraId="39E8EF95" w14:textId="77777777" w:rsidR="00E05721" w:rsidRPr="003B3216" w:rsidRDefault="00E05721" w:rsidP="00997820">
      <w:pPr>
        <w:pStyle w:val="ListParagraph"/>
        <w:ind w:left="0"/>
        <w:jc w:val="both"/>
      </w:pPr>
      <w:r w:rsidRPr="003B3216">
        <w:t>3. Tiekėjas nemokamai atlieka garantijos sąlygas atitinkančių gedimų (jei jie nutiko naudojant įrangą pagal paskirtį, laikantis pateiktų instrukcijų bei nurodytų eksploatavimo sąlygų) šalinimą.</w:t>
      </w:r>
    </w:p>
    <w:p w14:paraId="68969645" w14:textId="77777777" w:rsidR="0057436F" w:rsidRPr="003B3216" w:rsidRDefault="00E05721" w:rsidP="00997820">
      <w:pPr>
        <w:pStyle w:val="ListParagraph"/>
        <w:ind w:left="0"/>
        <w:jc w:val="both"/>
      </w:pPr>
      <w:r w:rsidRPr="003B3216">
        <w:t>4. Tiekėjas nemokamai atlieka techninės būklės patikrinimus pagal gamintojo reikalavimus/rekomendacijas.</w:t>
      </w:r>
    </w:p>
    <w:p w14:paraId="2380B012" w14:textId="77777777" w:rsidR="0057436F" w:rsidRPr="003B3216" w:rsidRDefault="0057436F" w:rsidP="00997820">
      <w:pPr>
        <w:pStyle w:val="ListParagraph"/>
        <w:ind w:left="0"/>
        <w:jc w:val="both"/>
      </w:pPr>
      <w:r w:rsidRPr="003B3216">
        <w:t>5. Tiekėjas informuoja pirkėją apie prevencinius veiksmus (jei tokių būtina imtis).</w:t>
      </w:r>
    </w:p>
    <w:p w14:paraId="26823634" w14:textId="138719A0" w:rsidR="0057436F" w:rsidRPr="003B3216" w:rsidRDefault="0057436F" w:rsidP="00997820">
      <w:pPr>
        <w:pStyle w:val="ListParagraph"/>
        <w:ind w:left="0"/>
        <w:jc w:val="both"/>
      </w:pPr>
      <w:r w:rsidRPr="003B3216">
        <w:t>6. Tiekėjas teikia pirkėjui išsamias konsultacijas ir paaiškinimus.</w:t>
      </w:r>
    </w:p>
    <w:p w14:paraId="2F7A9681" w14:textId="58137CC3" w:rsidR="007E04E9" w:rsidRPr="003B3216" w:rsidRDefault="0057436F" w:rsidP="00997820">
      <w:pPr>
        <w:pStyle w:val="ListParagraph"/>
        <w:ind w:left="0"/>
        <w:jc w:val="both"/>
      </w:pPr>
      <w:r w:rsidRPr="003B3216">
        <w:t xml:space="preserve">7. Gedimo atveju tiekėjas atvyksta remontuoti ne vėliau kaip per </w:t>
      </w:r>
      <w:r w:rsidR="009D2BBC" w:rsidRPr="003B3216">
        <w:t>48</w:t>
      </w:r>
      <w:r w:rsidRPr="003B3216">
        <w:t xml:space="preserve"> (</w:t>
      </w:r>
      <w:r w:rsidR="009D2BBC" w:rsidRPr="003B3216">
        <w:t>keturiasdešimt</w:t>
      </w:r>
      <w:r w:rsidR="003B3216">
        <w:t xml:space="preserve"> aštuoni</w:t>
      </w:r>
      <w:r w:rsidR="00705D22">
        <w:t>as</w:t>
      </w:r>
      <w:r w:rsidRPr="003B3216">
        <w:t>) valandas nuo pranešimo apie prekės gedimą gavimo.</w:t>
      </w:r>
    </w:p>
    <w:p w14:paraId="5D43763D" w14:textId="7C1D3D8B" w:rsidR="000B68D3" w:rsidRPr="00F2239E" w:rsidRDefault="00E4732D" w:rsidP="00997820">
      <w:pPr>
        <w:pStyle w:val="ListParagraph"/>
        <w:ind w:left="0"/>
        <w:jc w:val="both"/>
        <w:rPr>
          <w:b/>
          <w:bCs/>
        </w:rPr>
      </w:pPr>
      <w:r w:rsidRPr="009A7446">
        <w:rPr>
          <w:b/>
          <w:bCs/>
        </w:rPr>
        <w:t>6.</w:t>
      </w:r>
      <w:r w:rsidRPr="003B3216">
        <w:t xml:space="preserve"> </w:t>
      </w:r>
      <w:r w:rsidR="000B68D3" w:rsidRPr="00F2239E">
        <w:rPr>
          <w:b/>
          <w:bCs/>
        </w:rPr>
        <w:t>Kartu su įranga pateikiama dokumentacija</w:t>
      </w:r>
      <w:r w:rsidR="009A7446" w:rsidRPr="00F2239E">
        <w:rPr>
          <w:b/>
          <w:bCs/>
        </w:rPr>
        <w:t>:</w:t>
      </w:r>
    </w:p>
    <w:p w14:paraId="1FA15ED3" w14:textId="77777777" w:rsidR="00E26DB1" w:rsidRPr="003B3216" w:rsidRDefault="00E26DB1" w:rsidP="00E879D4">
      <w:pPr>
        <w:pStyle w:val="NoSpacing"/>
        <w:jc w:val="both"/>
        <w:rPr>
          <w:kern w:val="2"/>
        </w:rPr>
      </w:pPr>
      <w:r w:rsidRPr="003B3216">
        <w:rPr>
          <w:kern w:val="2"/>
        </w:rPr>
        <w:t xml:space="preserve">Prekių perdavimo-priėmimo aktas; </w:t>
      </w:r>
    </w:p>
    <w:p w14:paraId="0CBF8253" w14:textId="77777777" w:rsidR="00E26DB1" w:rsidRPr="003B3216" w:rsidRDefault="00E26DB1" w:rsidP="00E879D4">
      <w:pPr>
        <w:pStyle w:val="NoSpacing"/>
        <w:jc w:val="both"/>
        <w:rPr>
          <w:kern w:val="2"/>
        </w:rPr>
      </w:pPr>
      <w:r w:rsidRPr="003B3216">
        <w:rPr>
          <w:kern w:val="2"/>
        </w:rPr>
        <w:t>CE sertifikatai (arba lygiaverčiai dokumentai);</w:t>
      </w:r>
    </w:p>
    <w:p w14:paraId="29F76114" w14:textId="77777777" w:rsidR="00E26DB1" w:rsidRPr="003B3216" w:rsidRDefault="00E26DB1" w:rsidP="00E879D4">
      <w:pPr>
        <w:pStyle w:val="NoSpacing"/>
        <w:jc w:val="both"/>
      </w:pPr>
      <w:r w:rsidRPr="003B3216">
        <w:t xml:space="preserve">Vartotojo instrukcija lietuvių kalba (tikslus originalios vartotojo instrukcijos vertimas); </w:t>
      </w:r>
    </w:p>
    <w:p w14:paraId="1253F537" w14:textId="77777777" w:rsidR="00E26DB1" w:rsidRPr="003B3216" w:rsidRDefault="00E26DB1" w:rsidP="00E879D4">
      <w:pPr>
        <w:pStyle w:val="NoSpacing"/>
        <w:jc w:val="both"/>
      </w:pPr>
      <w:r w:rsidRPr="003B3216">
        <w:t>Vartotojo instrukcija anglų kalba (gamintojo išleistas originalas su pažymėtu CE ženklu, kuris pateikiamas su prekėmis (</w:t>
      </w:r>
      <w:proofErr w:type="spellStart"/>
      <w:r w:rsidRPr="003B3216">
        <w:t>ang</w:t>
      </w:r>
      <w:proofErr w:type="spellEnd"/>
      <w:r w:rsidRPr="003B3216">
        <w:t xml:space="preserve">. </w:t>
      </w:r>
      <w:proofErr w:type="spellStart"/>
      <w:r w:rsidRPr="003B3216">
        <w:t>User</w:t>
      </w:r>
      <w:proofErr w:type="spellEnd"/>
      <w:r w:rsidRPr="003B3216">
        <w:t xml:space="preserve"> </w:t>
      </w:r>
      <w:proofErr w:type="spellStart"/>
      <w:r w:rsidRPr="003B3216">
        <w:t>manual</w:t>
      </w:r>
      <w:proofErr w:type="spellEnd"/>
      <w:r w:rsidRPr="003B3216">
        <w:t>). Prekėms, pagamintoms Lietuvoje – neprivaloma;</w:t>
      </w:r>
    </w:p>
    <w:p w14:paraId="38914113" w14:textId="77777777" w:rsidR="00E26DB1" w:rsidRPr="003B3216" w:rsidRDefault="00E26DB1" w:rsidP="00E879D4">
      <w:pPr>
        <w:pStyle w:val="NoSpacing"/>
        <w:jc w:val="both"/>
      </w:pPr>
      <w:r w:rsidRPr="003B3216">
        <w:t xml:space="preserve">Techninės priežiūros reglamentas – periodiškai atliekamų techninės priežiūros darbų sąvadas, su nuorodomis į gamintojo techninės eksploatacijos dokumentus. Dokumente taip pat nurodomas techninės priežiūros periodiškumas, darbo priemonės, dalys ir medžiagos, reikalingos atlikti techninę priežiūrą. Jeigu gamintojas nereglamentuoja techninės priežiūros – pateikiama pažyma arba lygiavertis dokumentas, kad gamintojas techninės priežiūros nenumato; </w:t>
      </w:r>
    </w:p>
    <w:p w14:paraId="24DD1319" w14:textId="21BCA45B" w:rsidR="004B15E2" w:rsidRPr="003B3216" w:rsidRDefault="00E26DB1" w:rsidP="00E879D4">
      <w:pPr>
        <w:pStyle w:val="NoSpacing"/>
        <w:jc w:val="both"/>
      </w:pPr>
      <w:r w:rsidRPr="003B3216">
        <w:t xml:space="preserve">Valymo – dezinfekavimo instrukcija, įskaitant periodiškumą, naudojamų medžiagų ir priemonių sąrašą. Visos nurodomos priemonės ir medžiagos privalo būti registruotos Lietuvoje; </w:t>
      </w:r>
    </w:p>
    <w:p w14:paraId="4AB62D23" w14:textId="4449212B" w:rsidR="00B13AF9" w:rsidRPr="0041729A" w:rsidRDefault="00B42322" w:rsidP="0041729A">
      <w:pPr>
        <w:pStyle w:val="ListParagraph"/>
        <w:ind w:left="0"/>
        <w:contextualSpacing w:val="0"/>
        <w:jc w:val="both"/>
        <w:rPr>
          <w:color w:val="000000" w:themeColor="text1"/>
        </w:rPr>
      </w:pPr>
      <w:r w:rsidRPr="00F2239E">
        <w:rPr>
          <w:b/>
          <w:bCs/>
        </w:rPr>
        <w:t>7.</w:t>
      </w:r>
      <w:r w:rsidRPr="003B3216">
        <w:t xml:space="preserve"> </w:t>
      </w:r>
      <w:r w:rsidR="0015182A" w:rsidRPr="003B3216">
        <w:t xml:space="preserve">Į pasiūlymo kainą turi būti įskaičiuotas įrangos pristatymas į Viešąją įstaigą </w:t>
      </w:r>
      <w:r w:rsidR="0015182A" w:rsidRPr="00F2239E">
        <w:t>Respublikinę Šiaulių ligoninę</w:t>
      </w:r>
      <w:r w:rsidR="0015182A" w:rsidRPr="003B3216">
        <w:t>, jos parengimas darbui</w:t>
      </w:r>
      <w:r w:rsidR="00194506" w:rsidRPr="003B3216">
        <w:t xml:space="preserve"> (pervežimas į instaliavimo vietą, instaliavimas, po instaliavimo likusių įpakavimo medžiagų išvežimas (utilizavimas)</w:t>
      </w:r>
      <w:r w:rsidR="00114640" w:rsidRPr="003B3216">
        <w:t>)</w:t>
      </w:r>
      <w:r w:rsidR="0015182A" w:rsidRPr="003B3216">
        <w:t xml:space="preserve"> bei personalo apmokymas</w:t>
      </w:r>
      <w:r w:rsidR="003935A0" w:rsidRPr="003B3216">
        <w:t xml:space="preserve"> </w:t>
      </w:r>
      <w:r w:rsidR="003935A0" w:rsidRPr="003B3216">
        <w:rPr>
          <w:color w:val="000000" w:themeColor="text1"/>
          <w:kern w:val="2"/>
        </w:rPr>
        <w:t>(tiesioginiai apmokymai, lietuvių kalba, ne mažiau 14 žmonių)</w:t>
      </w:r>
      <w:r w:rsidR="002D055A" w:rsidRPr="003B3216">
        <w:t xml:space="preserve"> - </w:t>
      </w:r>
      <w:r w:rsidR="00F93204" w:rsidRPr="003B3216">
        <w:t>po apmokymų pateikti apmokymų aktą / sertifikatą arba kitą mokymų faktą įrodantį dokumentą.</w:t>
      </w:r>
    </w:p>
    <w:p w14:paraId="19E6241D" w14:textId="062148AD" w:rsidR="00ED3127" w:rsidRPr="003B3216" w:rsidRDefault="00552C34" w:rsidP="00997820">
      <w:pPr>
        <w:pStyle w:val="ListParagraph"/>
        <w:ind w:left="0"/>
        <w:jc w:val="both"/>
      </w:pPr>
      <w:r>
        <w:rPr>
          <w:b/>
          <w:bCs/>
        </w:rPr>
        <w:t xml:space="preserve">8. </w:t>
      </w:r>
      <w:r w:rsidR="00ED2412" w:rsidRPr="003B3216">
        <w:t xml:space="preserve">Siūlomos sistemos instaliavimas, montavimas, įskaitant projekto radiacinei saugai paruošimą bei jo ekspertizę ir paruošimas eksploatacijai pagal Lietuvos higienos normos HN 31:2021 „Radiacinės saugos reikalavimai medicininėje rentgeno diagnostikoje“ radiacinės saugos reikalavimus ir Medicinos priemonių (prietaisų) naudojimo tvarkos parašo, patvirtinto Lietuvos Respublikos sveikatos apsaugos ministro 2010 m. gegužės 3 d. įsakymu Nr. V-383 „Dėl Medicinos priemonių (prietaisų) naudojimo tvarkos aprašo patvirtinimo“ nustatyta tvarka - būtina; </w:t>
      </w:r>
    </w:p>
    <w:p w14:paraId="0BB4C1CC" w14:textId="77777777" w:rsidR="0041729A" w:rsidRDefault="0041729A" w:rsidP="00E26DB1">
      <w:pPr>
        <w:pStyle w:val="NoSpacing"/>
        <w:spacing w:line="276" w:lineRule="auto"/>
        <w:jc w:val="both"/>
        <w:rPr>
          <w:kern w:val="2"/>
        </w:rPr>
      </w:pPr>
      <w:r w:rsidRPr="0041729A">
        <w:rPr>
          <w:b/>
          <w:bCs/>
          <w:kern w:val="2"/>
        </w:rPr>
        <w:t>9.</w:t>
      </w:r>
      <w:r>
        <w:rPr>
          <w:kern w:val="2"/>
        </w:rPr>
        <w:t xml:space="preserve"> </w:t>
      </w:r>
      <w:r w:rsidR="00EF1D6A" w:rsidRPr="003B3216">
        <w:rPr>
          <w:kern w:val="2"/>
        </w:rPr>
        <w:t xml:space="preserve">Įrangos tiekėjas arba gamintojo atstovai, instaliavę ir suderinę įrangą, privalo atlikti </w:t>
      </w:r>
      <w:r w:rsidR="005333DA">
        <w:rPr>
          <w:kern w:val="2"/>
        </w:rPr>
        <w:t>įrangos</w:t>
      </w:r>
      <w:r w:rsidR="00EF1D6A" w:rsidRPr="003B3216">
        <w:rPr>
          <w:kern w:val="2"/>
        </w:rPr>
        <w:t xml:space="preserve"> kokybės kontrolės priėmimo bandymus pagal patvirtintą Lietuvos Respublikos sveikatos apsaugos ministro 2009 m. lapkričio 12 d. įsakymą Nr. V-922 „Dėl Lietuvos higienos normos HN 78:2009 „Kokybės kontrolės reikalavimai ir vertinimo kriterijai medicininėje </w:t>
      </w:r>
      <w:proofErr w:type="spellStart"/>
      <w:r w:rsidR="00EF1D6A" w:rsidRPr="003B3216">
        <w:rPr>
          <w:kern w:val="2"/>
        </w:rPr>
        <w:t>rentgenodiagnostikoje</w:t>
      </w:r>
      <w:proofErr w:type="spellEnd"/>
      <w:r w:rsidR="00EF1D6A" w:rsidRPr="003B3216">
        <w:rPr>
          <w:kern w:val="2"/>
        </w:rPr>
        <w:t>“ patvirtinimo“ ir medicinos priemonių (prietaisų) naudojimo tvarkos aprašo, patvirtinto Lietuvos Respublikos sveikatos apsaugos ministro 2010 m. gegužės 3 d. įsakymu Nr. V-383 „Dėl Medicinos priemonių (prietaisų) naudojimo tvarkos aprašo patvirtinimo“, nustatyta tvarka ir pateikti bandymų protokolus.</w:t>
      </w:r>
    </w:p>
    <w:p w14:paraId="36CE56D4" w14:textId="333B3417" w:rsidR="00E26DB1" w:rsidRPr="0041729A" w:rsidRDefault="0041729A" w:rsidP="00E26DB1">
      <w:pPr>
        <w:pStyle w:val="NoSpacing"/>
        <w:spacing w:line="276" w:lineRule="auto"/>
        <w:jc w:val="both"/>
        <w:rPr>
          <w:kern w:val="2"/>
        </w:rPr>
      </w:pPr>
      <w:r w:rsidRPr="008D532B">
        <w:rPr>
          <w:b/>
          <w:bCs/>
          <w:kern w:val="2"/>
        </w:rPr>
        <w:lastRenderedPageBreak/>
        <w:t>10.</w:t>
      </w:r>
      <w:r>
        <w:rPr>
          <w:kern w:val="2"/>
        </w:rPr>
        <w:t xml:space="preserve"> </w:t>
      </w:r>
      <w:r w:rsidR="00E26DB1" w:rsidRPr="003B3216">
        <w:rPr>
          <w:iCs/>
          <w:kern w:val="2"/>
        </w:rPr>
        <w:t xml:space="preserve">Ne vėliau kaip iki </w:t>
      </w:r>
      <w:r w:rsidR="004E511A">
        <w:rPr>
          <w:iCs/>
          <w:kern w:val="2"/>
        </w:rPr>
        <w:t>įrangos</w:t>
      </w:r>
      <w:r w:rsidR="00E26DB1" w:rsidRPr="003B3216">
        <w:rPr>
          <w:iCs/>
          <w:kern w:val="2"/>
        </w:rPr>
        <w:t xml:space="preserve"> instaliavimo, Teikėjas privalo pateikti Radiacinės saugos centro išduotas licencijas suteikiančias teisę tiekėjui</w:t>
      </w:r>
      <w:r w:rsidR="00E26DB1" w:rsidRPr="003B3216">
        <w:rPr>
          <w:kern w:val="2"/>
        </w:rPr>
        <w:t xml:space="preserve"> arba kitam ūkio subjektui</w:t>
      </w:r>
      <w:r w:rsidR="00E26DB1" w:rsidRPr="003B3216">
        <w:rPr>
          <w:iCs/>
          <w:kern w:val="2"/>
        </w:rPr>
        <w:t xml:space="preserve">: </w:t>
      </w:r>
    </w:p>
    <w:p w14:paraId="24E5D31E" w14:textId="77777777" w:rsidR="00E26DB1" w:rsidRPr="003B3216" w:rsidRDefault="00E26DB1" w:rsidP="00E26DB1">
      <w:pPr>
        <w:pStyle w:val="NoSpacing"/>
        <w:spacing w:line="276" w:lineRule="auto"/>
        <w:jc w:val="both"/>
        <w:rPr>
          <w:iCs/>
          <w:kern w:val="2"/>
        </w:rPr>
      </w:pPr>
      <w:r w:rsidRPr="003B3216">
        <w:rPr>
          <w:iCs/>
          <w:kern w:val="2"/>
        </w:rPr>
        <w:t xml:space="preserve">a) prižiūrėti ir remontuoti jonizuojančios spinduliuotės šaltinius; </w:t>
      </w:r>
    </w:p>
    <w:p w14:paraId="1FE0E00C" w14:textId="77777777" w:rsidR="00E26DB1" w:rsidRPr="003B3216" w:rsidRDefault="00E26DB1" w:rsidP="00E26DB1">
      <w:pPr>
        <w:pStyle w:val="NoSpacing"/>
        <w:spacing w:line="276" w:lineRule="auto"/>
        <w:jc w:val="both"/>
        <w:rPr>
          <w:kern w:val="2"/>
        </w:rPr>
      </w:pPr>
      <w:r w:rsidRPr="003B3216">
        <w:rPr>
          <w:iCs/>
          <w:kern w:val="2"/>
        </w:rPr>
        <w:t>b) montuoti jonizuojančios spinduliuotės šaltinius</w:t>
      </w:r>
      <w:r w:rsidRPr="003B3216">
        <w:rPr>
          <w:kern w:val="2"/>
        </w:rPr>
        <w:t>“.</w:t>
      </w:r>
    </w:p>
    <w:p w14:paraId="10FFDE0A" w14:textId="77777777" w:rsidR="00E26DB1" w:rsidRPr="003B3216" w:rsidRDefault="00E26DB1" w:rsidP="00E26DB1">
      <w:pPr>
        <w:pStyle w:val="NoSpacing"/>
        <w:spacing w:line="276" w:lineRule="auto"/>
        <w:jc w:val="both"/>
        <w:rPr>
          <w:kern w:val="2"/>
        </w:rPr>
      </w:pPr>
    </w:p>
    <w:p w14:paraId="6F0C5C85" w14:textId="77777777" w:rsidR="00E26DB1" w:rsidRPr="003B3216" w:rsidRDefault="00E26DB1" w:rsidP="00E26DB1">
      <w:pPr>
        <w:pStyle w:val="NoSpacing"/>
        <w:spacing w:line="276" w:lineRule="auto"/>
        <w:jc w:val="both"/>
        <w:rPr>
          <w:kern w:val="2"/>
        </w:rPr>
      </w:pPr>
    </w:p>
    <w:sectPr w:rsidR="00E26DB1" w:rsidRPr="003B3216" w:rsidSect="00AD3F00">
      <w:headerReference w:type="default" r:id="rId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95A8" w14:textId="77777777" w:rsidR="00FD645E" w:rsidRPr="003B3216" w:rsidRDefault="00FD645E" w:rsidP="000E29F9">
      <w:r w:rsidRPr="003B3216">
        <w:separator/>
      </w:r>
    </w:p>
  </w:endnote>
  <w:endnote w:type="continuationSeparator" w:id="0">
    <w:p w14:paraId="3E59FEE8" w14:textId="77777777" w:rsidR="00FD645E" w:rsidRPr="003B3216" w:rsidRDefault="00FD645E" w:rsidP="000E29F9">
      <w:r w:rsidRPr="003B32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68885" w14:textId="77777777" w:rsidR="00FD645E" w:rsidRPr="003B3216" w:rsidRDefault="00FD645E" w:rsidP="000E29F9">
      <w:r w:rsidRPr="003B3216">
        <w:separator/>
      </w:r>
    </w:p>
  </w:footnote>
  <w:footnote w:type="continuationSeparator" w:id="0">
    <w:p w14:paraId="49AF38E7" w14:textId="77777777" w:rsidR="00FD645E" w:rsidRPr="003B3216" w:rsidRDefault="00FD645E" w:rsidP="000E29F9">
      <w:r w:rsidRPr="003B32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2EDD" w14:textId="0DF22513" w:rsidR="004F24F8" w:rsidRPr="003B3216" w:rsidRDefault="000E29F9" w:rsidP="004F24F8">
    <w:pPr>
      <w:pStyle w:val="Header"/>
    </w:pPr>
    <w:r w:rsidRPr="003B3216">
      <w:tab/>
    </w:r>
    <w:r w:rsidRPr="003B3216">
      <w:tab/>
    </w:r>
    <w:r w:rsidRPr="003B3216">
      <w:tab/>
    </w:r>
    <w:r w:rsidRPr="003B3216">
      <w:tab/>
    </w:r>
  </w:p>
  <w:p w14:paraId="43D1C168" w14:textId="45DF0E7A" w:rsidR="000E29F9" w:rsidRPr="003B3216" w:rsidRDefault="000E29F9" w:rsidP="000E2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0E54"/>
    <w:multiLevelType w:val="hybridMultilevel"/>
    <w:tmpl w:val="5A50115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9426C"/>
    <w:multiLevelType w:val="hybridMultilevel"/>
    <w:tmpl w:val="CE80B34E"/>
    <w:lvl w:ilvl="0" w:tplc="3C40CEEC">
      <w:start w:val="1"/>
      <w:numFmt w:val="lowerLetter"/>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156C97"/>
    <w:multiLevelType w:val="hybridMultilevel"/>
    <w:tmpl w:val="361ACFE4"/>
    <w:lvl w:ilvl="0" w:tplc="FC9698FE">
      <w:numFmt w:val="bullet"/>
      <w:lvlText w:val="•"/>
      <w:lvlJc w:val="left"/>
      <w:pPr>
        <w:ind w:left="1080" w:hanging="7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636A57"/>
    <w:multiLevelType w:val="multilevel"/>
    <w:tmpl w:val="AC4C8E7E"/>
    <w:lvl w:ilvl="0">
      <w:start w:val="4"/>
      <w:numFmt w:val="decimal"/>
      <w:lvlText w:val="%1."/>
      <w:lvlJc w:val="left"/>
      <w:pPr>
        <w:ind w:left="504" w:hanging="504"/>
      </w:pPr>
    </w:lvl>
    <w:lvl w:ilvl="1">
      <w:start w:val="5"/>
      <w:numFmt w:val="decimal"/>
      <w:lvlText w:val="%1.%2."/>
      <w:lvlJc w:val="left"/>
      <w:pPr>
        <w:ind w:left="897" w:hanging="504"/>
      </w:pPr>
    </w:lvl>
    <w:lvl w:ilvl="2">
      <w:start w:val="1"/>
      <w:numFmt w:val="decimal"/>
      <w:lvlText w:val="%1.%2.%3."/>
      <w:lvlJc w:val="left"/>
      <w:pPr>
        <w:ind w:left="1506" w:hanging="720"/>
      </w:pPr>
    </w:lvl>
    <w:lvl w:ilvl="3">
      <w:start w:val="1"/>
      <w:numFmt w:val="decimal"/>
      <w:lvlText w:val="%1.%2.%3.%4."/>
      <w:lvlJc w:val="left"/>
      <w:pPr>
        <w:ind w:left="1899" w:hanging="720"/>
      </w:pPr>
    </w:lvl>
    <w:lvl w:ilvl="4">
      <w:start w:val="1"/>
      <w:numFmt w:val="decimal"/>
      <w:lvlText w:val="%1.%2.%3.%4.%5."/>
      <w:lvlJc w:val="left"/>
      <w:pPr>
        <w:ind w:left="2652" w:hanging="1080"/>
      </w:pPr>
    </w:lvl>
    <w:lvl w:ilvl="5">
      <w:start w:val="1"/>
      <w:numFmt w:val="decimal"/>
      <w:lvlText w:val="%1.%2.%3.%4.%5.%6."/>
      <w:lvlJc w:val="left"/>
      <w:pPr>
        <w:ind w:left="3045" w:hanging="1080"/>
      </w:pPr>
    </w:lvl>
    <w:lvl w:ilvl="6">
      <w:start w:val="1"/>
      <w:numFmt w:val="decimal"/>
      <w:lvlText w:val="%1.%2.%3.%4.%5.%6.%7."/>
      <w:lvlJc w:val="left"/>
      <w:pPr>
        <w:ind w:left="3798" w:hanging="1440"/>
      </w:pPr>
    </w:lvl>
    <w:lvl w:ilvl="7">
      <w:start w:val="1"/>
      <w:numFmt w:val="decimal"/>
      <w:lvlText w:val="%1.%2.%3.%4.%5.%6.%7.%8."/>
      <w:lvlJc w:val="left"/>
      <w:pPr>
        <w:ind w:left="4191" w:hanging="1440"/>
      </w:pPr>
    </w:lvl>
    <w:lvl w:ilvl="8">
      <w:start w:val="1"/>
      <w:numFmt w:val="decimal"/>
      <w:lvlText w:val="%1.%2.%3.%4.%5.%6.%7.%8.%9."/>
      <w:lvlJc w:val="left"/>
      <w:pPr>
        <w:ind w:left="4944" w:hanging="1800"/>
      </w:pPr>
    </w:lvl>
  </w:abstractNum>
  <w:abstractNum w:abstractNumId="4" w15:restartNumberingAfterBreak="0">
    <w:nsid w:val="40DF7A8A"/>
    <w:multiLevelType w:val="multilevel"/>
    <w:tmpl w:val="EE8273B2"/>
    <w:lvl w:ilvl="0">
      <w:start w:val="1"/>
      <w:numFmt w:val="decimal"/>
      <w:lvlText w:val="%1."/>
      <w:lvlJc w:val="left"/>
      <w:pPr>
        <w:ind w:left="1211" w:hanging="360"/>
      </w:pPr>
      <w:rPr>
        <w:b w:val="0"/>
        <w:bCs w:val="0"/>
        <w:color w:val="auto"/>
      </w:rPr>
    </w:lvl>
    <w:lvl w:ilvl="1">
      <w:start w:val="1"/>
      <w:numFmt w:val="decimal"/>
      <w:isLgl/>
      <w:lvlText w:val="%1.%2."/>
      <w:lvlJc w:val="left"/>
      <w:pPr>
        <w:ind w:left="1188" w:hanging="46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BBF7CB9"/>
    <w:multiLevelType w:val="hybridMultilevel"/>
    <w:tmpl w:val="931ACF7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62735A"/>
    <w:multiLevelType w:val="hybridMultilevel"/>
    <w:tmpl w:val="D88606FC"/>
    <w:lvl w:ilvl="0" w:tplc="59547C4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9612450">
    <w:abstractNumId w:val="2"/>
  </w:num>
  <w:num w:numId="2" w16cid:durableId="130906525">
    <w:abstractNumId w:val="5"/>
  </w:num>
  <w:num w:numId="3" w16cid:durableId="938026701">
    <w:abstractNumId w:val="4"/>
  </w:num>
  <w:num w:numId="4" w16cid:durableId="159543758">
    <w:abstractNumId w:val="0"/>
  </w:num>
  <w:num w:numId="5" w16cid:durableId="827743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6921192">
    <w:abstractNumId w:val="6"/>
  </w:num>
  <w:num w:numId="7" w16cid:durableId="811336087">
    <w:abstractNumId w:val="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2008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68"/>
    <w:rsid w:val="000018A2"/>
    <w:rsid w:val="000070A3"/>
    <w:rsid w:val="00011259"/>
    <w:rsid w:val="00014150"/>
    <w:rsid w:val="00016B7E"/>
    <w:rsid w:val="00020C90"/>
    <w:rsid w:val="00024B90"/>
    <w:rsid w:val="00031BDE"/>
    <w:rsid w:val="00032AA4"/>
    <w:rsid w:val="00034641"/>
    <w:rsid w:val="00044C2C"/>
    <w:rsid w:val="000472E1"/>
    <w:rsid w:val="000512E4"/>
    <w:rsid w:val="00062F92"/>
    <w:rsid w:val="00063E32"/>
    <w:rsid w:val="00072839"/>
    <w:rsid w:val="00082BDD"/>
    <w:rsid w:val="0009258B"/>
    <w:rsid w:val="00092FDC"/>
    <w:rsid w:val="00097F38"/>
    <w:rsid w:val="000B2B3A"/>
    <w:rsid w:val="000B4F5B"/>
    <w:rsid w:val="000B68D3"/>
    <w:rsid w:val="000C1919"/>
    <w:rsid w:val="000C20E6"/>
    <w:rsid w:val="000C49A1"/>
    <w:rsid w:val="000D10AC"/>
    <w:rsid w:val="000D4935"/>
    <w:rsid w:val="000E1479"/>
    <w:rsid w:val="000E29F9"/>
    <w:rsid w:val="000E44B4"/>
    <w:rsid w:val="000E7B82"/>
    <w:rsid w:val="000F1F2D"/>
    <w:rsid w:val="000F5C7F"/>
    <w:rsid w:val="000F7868"/>
    <w:rsid w:val="0010468E"/>
    <w:rsid w:val="001123D2"/>
    <w:rsid w:val="00114640"/>
    <w:rsid w:val="00122933"/>
    <w:rsid w:val="00125725"/>
    <w:rsid w:val="00143463"/>
    <w:rsid w:val="001444FE"/>
    <w:rsid w:val="0015182A"/>
    <w:rsid w:val="00153154"/>
    <w:rsid w:val="00154496"/>
    <w:rsid w:val="00155585"/>
    <w:rsid w:val="0016078B"/>
    <w:rsid w:val="00172B6A"/>
    <w:rsid w:val="00174C4C"/>
    <w:rsid w:val="00194506"/>
    <w:rsid w:val="001A3DCB"/>
    <w:rsid w:val="001A7AB3"/>
    <w:rsid w:val="001B2436"/>
    <w:rsid w:val="001B6D07"/>
    <w:rsid w:val="001B7CAE"/>
    <w:rsid w:val="001C7123"/>
    <w:rsid w:val="001E363B"/>
    <w:rsid w:val="001F3EC9"/>
    <w:rsid w:val="002031A2"/>
    <w:rsid w:val="0020468B"/>
    <w:rsid w:val="00204FE8"/>
    <w:rsid w:val="002059A2"/>
    <w:rsid w:val="00205C5C"/>
    <w:rsid w:val="00213EB7"/>
    <w:rsid w:val="0021650D"/>
    <w:rsid w:val="0022300C"/>
    <w:rsid w:val="00225019"/>
    <w:rsid w:val="0022654D"/>
    <w:rsid w:val="002509D3"/>
    <w:rsid w:val="00250B77"/>
    <w:rsid w:val="00254D26"/>
    <w:rsid w:val="002564E2"/>
    <w:rsid w:val="00270E43"/>
    <w:rsid w:val="00282C6A"/>
    <w:rsid w:val="002910E3"/>
    <w:rsid w:val="0029353B"/>
    <w:rsid w:val="0029468A"/>
    <w:rsid w:val="002A238F"/>
    <w:rsid w:val="002A3C3F"/>
    <w:rsid w:val="002B0EAD"/>
    <w:rsid w:val="002C1259"/>
    <w:rsid w:val="002C59B1"/>
    <w:rsid w:val="002D055A"/>
    <w:rsid w:val="002D1526"/>
    <w:rsid w:val="002D3879"/>
    <w:rsid w:val="002E2895"/>
    <w:rsid w:val="002F6F30"/>
    <w:rsid w:val="00301A27"/>
    <w:rsid w:val="00306C29"/>
    <w:rsid w:val="00311F6B"/>
    <w:rsid w:val="00314357"/>
    <w:rsid w:val="0032433F"/>
    <w:rsid w:val="00325FE9"/>
    <w:rsid w:val="00340345"/>
    <w:rsid w:val="003421F9"/>
    <w:rsid w:val="00342B13"/>
    <w:rsid w:val="00345E92"/>
    <w:rsid w:val="00351941"/>
    <w:rsid w:val="00353D20"/>
    <w:rsid w:val="00357490"/>
    <w:rsid w:val="0038671B"/>
    <w:rsid w:val="003935A0"/>
    <w:rsid w:val="003938AD"/>
    <w:rsid w:val="003A57DD"/>
    <w:rsid w:val="003B2158"/>
    <w:rsid w:val="003B3216"/>
    <w:rsid w:val="003C2105"/>
    <w:rsid w:val="003C7725"/>
    <w:rsid w:val="003D278D"/>
    <w:rsid w:val="003D3774"/>
    <w:rsid w:val="003E11A5"/>
    <w:rsid w:val="003F1457"/>
    <w:rsid w:val="003F431F"/>
    <w:rsid w:val="00404888"/>
    <w:rsid w:val="00405D49"/>
    <w:rsid w:val="00416286"/>
    <w:rsid w:val="0041652F"/>
    <w:rsid w:val="0041729A"/>
    <w:rsid w:val="00427B22"/>
    <w:rsid w:val="0043489E"/>
    <w:rsid w:val="00441ABA"/>
    <w:rsid w:val="00441C4E"/>
    <w:rsid w:val="00442BC6"/>
    <w:rsid w:val="00446C5F"/>
    <w:rsid w:val="004513D2"/>
    <w:rsid w:val="00454EFD"/>
    <w:rsid w:val="00456E4D"/>
    <w:rsid w:val="00461E8A"/>
    <w:rsid w:val="00462E48"/>
    <w:rsid w:val="00463C07"/>
    <w:rsid w:val="0047254D"/>
    <w:rsid w:val="00473293"/>
    <w:rsid w:val="0047494F"/>
    <w:rsid w:val="004A1ED5"/>
    <w:rsid w:val="004A3CC9"/>
    <w:rsid w:val="004A6F8E"/>
    <w:rsid w:val="004B15E2"/>
    <w:rsid w:val="004E511A"/>
    <w:rsid w:val="004E76D2"/>
    <w:rsid w:val="004F04ED"/>
    <w:rsid w:val="004F24F8"/>
    <w:rsid w:val="004F6217"/>
    <w:rsid w:val="004F7267"/>
    <w:rsid w:val="00504A23"/>
    <w:rsid w:val="00504FEA"/>
    <w:rsid w:val="00505B39"/>
    <w:rsid w:val="00505C8A"/>
    <w:rsid w:val="00510F72"/>
    <w:rsid w:val="005135D7"/>
    <w:rsid w:val="005150C6"/>
    <w:rsid w:val="00521053"/>
    <w:rsid w:val="005249AF"/>
    <w:rsid w:val="0052577D"/>
    <w:rsid w:val="00525980"/>
    <w:rsid w:val="00526363"/>
    <w:rsid w:val="005333DA"/>
    <w:rsid w:val="005341E2"/>
    <w:rsid w:val="00546AAA"/>
    <w:rsid w:val="00552C34"/>
    <w:rsid w:val="00553EFE"/>
    <w:rsid w:val="00555BF6"/>
    <w:rsid w:val="00560156"/>
    <w:rsid w:val="0056706D"/>
    <w:rsid w:val="005701CF"/>
    <w:rsid w:val="0057436F"/>
    <w:rsid w:val="0058507F"/>
    <w:rsid w:val="0058626F"/>
    <w:rsid w:val="005B0F18"/>
    <w:rsid w:val="005C7C23"/>
    <w:rsid w:val="005D0510"/>
    <w:rsid w:val="005D142A"/>
    <w:rsid w:val="005E2F15"/>
    <w:rsid w:val="005E657F"/>
    <w:rsid w:val="005F15C5"/>
    <w:rsid w:val="005F4B0E"/>
    <w:rsid w:val="005F5C3F"/>
    <w:rsid w:val="00605969"/>
    <w:rsid w:val="00605B61"/>
    <w:rsid w:val="006073C1"/>
    <w:rsid w:val="00610B48"/>
    <w:rsid w:val="00612062"/>
    <w:rsid w:val="00620422"/>
    <w:rsid w:val="006311B9"/>
    <w:rsid w:val="00633442"/>
    <w:rsid w:val="006405A1"/>
    <w:rsid w:val="00643C7F"/>
    <w:rsid w:val="006451CD"/>
    <w:rsid w:val="006464A1"/>
    <w:rsid w:val="006506A9"/>
    <w:rsid w:val="00650C4E"/>
    <w:rsid w:val="0065285E"/>
    <w:rsid w:val="00665711"/>
    <w:rsid w:val="006750E0"/>
    <w:rsid w:val="00676448"/>
    <w:rsid w:val="00682A36"/>
    <w:rsid w:val="006921E5"/>
    <w:rsid w:val="00697020"/>
    <w:rsid w:val="006B3090"/>
    <w:rsid w:val="006C0446"/>
    <w:rsid w:val="006C11A2"/>
    <w:rsid w:val="006C11C1"/>
    <w:rsid w:val="006C6BB5"/>
    <w:rsid w:val="006D2CCD"/>
    <w:rsid w:val="006E02B2"/>
    <w:rsid w:val="006E601C"/>
    <w:rsid w:val="006E69E8"/>
    <w:rsid w:val="006F36EC"/>
    <w:rsid w:val="006F3981"/>
    <w:rsid w:val="006F6F74"/>
    <w:rsid w:val="00702574"/>
    <w:rsid w:val="00705D22"/>
    <w:rsid w:val="007067AA"/>
    <w:rsid w:val="00712B5E"/>
    <w:rsid w:val="00715514"/>
    <w:rsid w:val="0072133C"/>
    <w:rsid w:val="00722531"/>
    <w:rsid w:val="007235DD"/>
    <w:rsid w:val="007250C7"/>
    <w:rsid w:val="00725F4C"/>
    <w:rsid w:val="00730FD6"/>
    <w:rsid w:val="0074271C"/>
    <w:rsid w:val="00742C6B"/>
    <w:rsid w:val="00745910"/>
    <w:rsid w:val="00746450"/>
    <w:rsid w:val="00753A39"/>
    <w:rsid w:val="00760FE5"/>
    <w:rsid w:val="007625BA"/>
    <w:rsid w:val="007660AB"/>
    <w:rsid w:val="00774733"/>
    <w:rsid w:val="00781C77"/>
    <w:rsid w:val="007934F9"/>
    <w:rsid w:val="00793E03"/>
    <w:rsid w:val="00794ABA"/>
    <w:rsid w:val="00796492"/>
    <w:rsid w:val="00796BCC"/>
    <w:rsid w:val="007A208E"/>
    <w:rsid w:val="007A47FF"/>
    <w:rsid w:val="007A7A37"/>
    <w:rsid w:val="007C1E29"/>
    <w:rsid w:val="007C24CA"/>
    <w:rsid w:val="007C7B38"/>
    <w:rsid w:val="007D25CA"/>
    <w:rsid w:val="007E04E9"/>
    <w:rsid w:val="007E456B"/>
    <w:rsid w:val="00802C27"/>
    <w:rsid w:val="00816581"/>
    <w:rsid w:val="00824DD3"/>
    <w:rsid w:val="0084060D"/>
    <w:rsid w:val="008433CC"/>
    <w:rsid w:val="00852968"/>
    <w:rsid w:val="00853181"/>
    <w:rsid w:val="00856E50"/>
    <w:rsid w:val="00867367"/>
    <w:rsid w:val="00872212"/>
    <w:rsid w:val="00890C30"/>
    <w:rsid w:val="0089483A"/>
    <w:rsid w:val="008960B0"/>
    <w:rsid w:val="00896C84"/>
    <w:rsid w:val="008C0FA9"/>
    <w:rsid w:val="008D1705"/>
    <w:rsid w:val="008D5282"/>
    <w:rsid w:val="008D532B"/>
    <w:rsid w:val="008E60FB"/>
    <w:rsid w:val="008F1702"/>
    <w:rsid w:val="008F2D91"/>
    <w:rsid w:val="008F79AC"/>
    <w:rsid w:val="00900BAA"/>
    <w:rsid w:val="00902095"/>
    <w:rsid w:val="00904D92"/>
    <w:rsid w:val="00930662"/>
    <w:rsid w:val="009470A4"/>
    <w:rsid w:val="00955CCC"/>
    <w:rsid w:val="00956112"/>
    <w:rsid w:val="00956B46"/>
    <w:rsid w:val="00964D58"/>
    <w:rsid w:val="00973C52"/>
    <w:rsid w:val="0097463B"/>
    <w:rsid w:val="00982A1F"/>
    <w:rsid w:val="00982B72"/>
    <w:rsid w:val="0098575B"/>
    <w:rsid w:val="00986828"/>
    <w:rsid w:val="00986BD5"/>
    <w:rsid w:val="00997820"/>
    <w:rsid w:val="009A3623"/>
    <w:rsid w:val="009A4E72"/>
    <w:rsid w:val="009A7364"/>
    <w:rsid w:val="009A7446"/>
    <w:rsid w:val="009B34A2"/>
    <w:rsid w:val="009B566E"/>
    <w:rsid w:val="009B60C4"/>
    <w:rsid w:val="009C0D39"/>
    <w:rsid w:val="009C164F"/>
    <w:rsid w:val="009C35F3"/>
    <w:rsid w:val="009D2BBC"/>
    <w:rsid w:val="009D642A"/>
    <w:rsid w:val="009E5D72"/>
    <w:rsid w:val="009F4E88"/>
    <w:rsid w:val="00A062C4"/>
    <w:rsid w:val="00A0692C"/>
    <w:rsid w:val="00A107AA"/>
    <w:rsid w:val="00A21018"/>
    <w:rsid w:val="00A2547A"/>
    <w:rsid w:val="00A27474"/>
    <w:rsid w:val="00A3680D"/>
    <w:rsid w:val="00A3747D"/>
    <w:rsid w:val="00A509B8"/>
    <w:rsid w:val="00A54D37"/>
    <w:rsid w:val="00A6039D"/>
    <w:rsid w:val="00A61CE9"/>
    <w:rsid w:val="00A639E2"/>
    <w:rsid w:val="00A775CD"/>
    <w:rsid w:val="00A77C4F"/>
    <w:rsid w:val="00A80588"/>
    <w:rsid w:val="00A8660C"/>
    <w:rsid w:val="00A96275"/>
    <w:rsid w:val="00AA0B75"/>
    <w:rsid w:val="00AA4849"/>
    <w:rsid w:val="00AA4A8C"/>
    <w:rsid w:val="00AB0E32"/>
    <w:rsid w:val="00AB4F0F"/>
    <w:rsid w:val="00AC091B"/>
    <w:rsid w:val="00AC4671"/>
    <w:rsid w:val="00AD3F00"/>
    <w:rsid w:val="00AE3578"/>
    <w:rsid w:val="00AF703F"/>
    <w:rsid w:val="00B0063D"/>
    <w:rsid w:val="00B0255A"/>
    <w:rsid w:val="00B13AF9"/>
    <w:rsid w:val="00B222E3"/>
    <w:rsid w:val="00B23072"/>
    <w:rsid w:val="00B26C98"/>
    <w:rsid w:val="00B30986"/>
    <w:rsid w:val="00B42322"/>
    <w:rsid w:val="00B4509F"/>
    <w:rsid w:val="00B51318"/>
    <w:rsid w:val="00B51934"/>
    <w:rsid w:val="00B573EB"/>
    <w:rsid w:val="00B65C98"/>
    <w:rsid w:val="00B7230D"/>
    <w:rsid w:val="00B82997"/>
    <w:rsid w:val="00B86CAE"/>
    <w:rsid w:val="00BA6C48"/>
    <w:rsid w:val="00BA7D26"/>
    <w:rsid w:val="00BB19A3"/>
    <w:rsid w:val="00BB6EE3"/>
    <w:rsid w:val="00BC2918"/>
    <w:rsid w:val="00BE0868"/>
    <w:rsid w:val="00BE746D"/>
    <w:rsid w:val="00BF5824"/>
    <w:rsid w:val="00C02BA2"/>
    <w:rsid w:val="00C04592"/>
    <w:rsid w:val="00C05851"/>
    <w:rsid w:val="00C12633"/>
    <w:rsid w:val="00C26680"/>
    <w:rsid w:val="00C307E0"/>
    <w:rsid w:val="00C335D8"/>
    <w:rsid w:val="00C37005"/>
    <w:rsid w:val="00C413EB"/>
    <w:rsid w:val="00C47291"/>
    <w:rsid w:val="00C503C9"/>
    <w:rsid w:val="00C504C1"/>
    <w:rsid w:val="00C53489"/>
    <w:rsid w:val="00C55024"/>
    <w:rsid w:val="00C554A8"/>
    <w:rsid w:val="00C602F5"/>
    <w:rsid w:val="00C62089"/>
    <w:rsid w:val="00C63558"/>
    <w:rsid w:val="00C652F8"/>
    <w:rsid w:val="00C82D95"/>
    <w:rsid w:val="00C87FEF"/>
    <w:rsid w:val="00C94B51"/>
    <w:rsid w:val="00C94B83"/>
    <w:rsid w:val="00C9574D"/>
    <w:rsid w:val="00CA1748"/>
    <w:rsid w:val="00CA334E"/>
    <w:rsid w:val="00CB4B1A"/>
    <w:rsid w:val="00CB7808"/>
    <w:rsid w:val="00CC1D29"/>
    <w:rsid w:val="00CD0FED"/>
    <w:rsid w:val="00CE15EC"/>
    <w:rsid w:val="00D03A46"/>
    <w:rsid w:val="00D0567D"/>
    <w:rsid w:val="00D0622F"/>
    <w:rsid w:val="00D06EF4"/>
    <w:rsid w:val="00D10AB0"/>
    <w:rsid w:val="00D16373"/>
    <w:rsid w:val="00D550ED"/>
    <w:rsid w:val="00D560E6"/>
    <w:rsid w:val="00D57997"/>
    <w:rsid w:val="00D74156"/>
    <w:rsid w:val="00D74E8D"/>
    <w:rsid w:val="00D766C0"/>
    <w:rsid w:val="00D77DB4"/>
    <w:rsid w:val="00D8686C"/>
    <w:rsid w:val="00D91C61"/>
    <w:rsid w:val="00D929AA"/>
    <w:rsid w:val="00D97129"/>
    <w:rsid w:val="00DA0455"/>
    <w:rsid w:val="00DA71FD"/>
    <w:rsid w:val="00DB6CB7"/>
    <w:rsid w:val="00DC480F"/>
    <w:rsid w:val="00DC6FB3"/>
    <w:rsid w:val="00DD6E5B"/>
    <w:rsid w:val="00DE1D54"/>
    <w:rsid w:val="00DE7A09"/>
    <w:rsid w:val="00DF0B5B"/>
    <w:rsid w:val="00DF2BFC"/>
    <w:rsid w:val="00DF496C"/>
    <w:rsid w:val="00DF66AD"/>
    <w:rsid w:val="00E012E2"/>
    <w:rsid w:val="00E05721"/>
    <w:rsid w:val="00E1186A"/>
    <w:rsid w:val="00E11928"/>
    <w:rsid w:val="00E14F51"/>
    <w:rsid w:val="00E15BB4"/>
    <w:rsid w:val="00E246AD"/>
    <w:rsid w:val="00E247BD"/>
    <w:rsid w:val="00E26DB1"/>
    <w:rsid w:val="00E27200"/>
    <w:rsid w:val="00E41DBA"/>
    <w:rsid w:val="00E421A4"/>
    <w:rsid w:val="00E45261"/>
    <w:rsid w:val="00E458E8"/>
    <w:rsid w:val="00E4732D"/>
    <w:rsid w:val="00E50C54"/>
    <w:rsid w:val="00E53465"/>
    <w:rsid w:val="00E66708"/>
    <w:rsid w:val="00E709AD"/>
    <w:rsid w:val="00E747CA"/>
    <w:rsid w:val="00E77039"/>
    <w:rsid w:val="00E879D4"/>
    <w:rsid w:val="00E91A1A"/>
    <w:rsid w:val="00E95702"/>
    <w:rsid w:val="00EA1E27"/>
    <w:rsid w:val="00EB0164"/>
    <w:rsid w:val="00EC1112"/>
    <w:rsid w:val="00EC2142"/>
    <w:rsid w:val="00ED2412"/>
    <w:rsid w:val="00ED2616"/>
    <w:rsid w:val="00ED3127"/>
    <w:rsid w:val="00EE134E"/>
    <w:rsid w:val="00EE44D8"/>
    <w:rsid w:val="00EE7B3F"/>
    <w:rsid w:val="00EE7EAE"/>
    <w:rsid w:val="00EF1D6A"/>
    <w:rsid w:val="00EF4D78"/>
    <w:rsid w:val="00F05892"/>
    <w:rsid w:val="00F075A1"/>
    <w:rsid w:val="00F2239E"/>
    <w:rsid w:val="00F22CBF"/>
    <w:rsid w:val="00F31055"/>
    <w:rsid w:val="00F378C8"/>
    <w:rsid w:val="00F41B65"/>
    <w:rsid w:val="00F421C2"/>
    <w:rsid w:val="00F4415E"/>
    <w:rsid w:val="00F45B89"/>
    <w:rsid w:val="00F47726"/>
    <w:rsid w:val="00F52D70"/>
    <w:rsid w:val="00F56DA4"/>
    <w:rsid w:val="00F57CDC"/>
    <w:rsid w:val="00F731BE"/>
    <w:rsid w:val="00F75393"/>
    <w:rsid w:val="00F7777A"/>
    <w:rsid w:val="00F81D4D"/>
    <w:rsid w:val="00F836B4"/>
    <w:rsid w:val="00F85947"/>
    <w:rsid w:val="00F916ED"/>
    <w:rsid w:val="00F91F18"/>
    <w:rsid w:val="00F93204"/>
    <w:rsid w:val="00F96089"/>
    <w:rsid w:val="00FA5C24"/>
    <w:rsid w:val="00FB7309"/>
    <w:rsid w:val="00FC10F5"/>
    <w:rsid w:val="00FC2111"/>
    <w:rsid w:val="00FC285F"/>
    <w:rsid w:val="00FC2B85"/>
    <w:rsid w:val="00FC4165"/>
    <w:rsid w:val="00FD508F"/>
    <w:rsid w:val="00FD563D"/>
    <w:rsid w:val="00FD645E"/>
    <w:rsid w:val="00FF58B8"/>
    <w:rsid w:val="00FF7E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8E0A"/>
  <w15:chartTrackingRefBased/>
  <w15:docId w15:val="{1C64F6F1-65E1-4AF4-97CB-DD0A1347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B4B1A"/>
    <w:pPr>
      <w:keepNext/>
      <w:outlineLvl w:val="0"/>
    </w:pPr>
    <w:rPr>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B1A"/>
    <w:rPr>
      <w:rFonts w:ascii="Times New Roman" w:eastAsia="Times New Roman" w:hAnsi="Times New Roman" w:cs="Times New Roman"/>
      <w:b/>
      <w:bCs/>
      <w:sz w:val="20"/>
    </w:rPr>
  </w:style>
  <w:style w:type="paragraph" w:styleId="Header">
    <w:name w:val="header"/>
    <w:basedOn w:val="Normal"/>
    <w:link w:val="HeaderChar"/>
    <w:uiPriority w:val="99"/>
    <w:unhideWhenUsed/>
    <w:rsid w:val="000E29F9"/>
    <w:pPr>
      <w:tabs>
        <w:tab w:val="center" w:pos="4513"/>
        <w:tab w:val="right" w:pos="9026"/>
      </w:tabs>
    </w:pPr>
  </w:style>
  <w:style w:type="character" w:customStyle="1" w:styleId="HeaderChar">
    <w:name w:val="Header Char"/>
    <w:basedOn w:val="DefaultParagraphFont"/>
    <w:link w:val="Header"/>
    <w:uiPriority w:val="99"/>
    <w:rsid w:val="000E29F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29F9"/>
    <w:pPr>
      <w:tabs>
        <w:tab w:val="center" w:pos="4513"/>
        <w:tab w:val="right" w:pos="9026"/>
      </w:tabs>
    </w:pPr>
  </w:style>
  <w:style w:type="character" w:customStyle="1" w:styleId="FooterChar">
    <w:name w:val="Footer Char"/>
    <w:basedOn w:val="DefaultParagraphFont"/>
    <w:link w:val="Footer"/>
    <w:uiPriority w:val="99"/>
    <w:rsid w:val="000E29F9"/>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02095"/>
    <w:rPr>
      <w:color w:val="0563C1" w:themeColor="hyperlink"/>
      <w:u w:val="single"/>
    </w:rPr>
  </w:style>
  <w:style w:type="character" w:styleId="UnresolvedMention">
    <w:name w:val="Unresolved Mention"/>
    <w:basedOn w:val="DefaultParagraphFont"/>
    <w:uiPriority w:val="99"/>
    <w:semiHidden/>
    <w:unhideWhenUsed/>
    <w:rsid w:val="00902095"/>
    <w:rPr>
      <w:color w:val="605E5C"/>
      <w:shd w:val="clear" w:color="auto" w:fill="E1DFDD"/>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p1"/>
    <w:basedOn w:val="Normal"/>
    <w:link w:val="ListParagraphChar"/>
    <w:uiPriority w:val="99"/>
    <w:qFormat/>
    <w:rsid w:val="00C05851"/>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C05851"/>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rsid w:val="00B42322"/>
    <w:rPr>
      <w:sz w:val="20"/>
      <w:szCs w:val="20"/>
    </w:rPr>
  </w:style>
  <w:style w:type="character" w:customStyle="1" w:styleId="CommentTextChar">
    <w:name w:val="Comment Text Char"/>
    <w:basedOn w:val="DefaultParagraphFont"/>
    <w:link w:val="CommentText"/>
    <w:uiPriority w:val="99"/>
    <w:semiHidden/>
    <w:rsid w:val="00B4232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unhideWhenUsed/>
    <w:rsid w:val="00B42322"/>
    <w:rPr>
      <w:b/>
      <w:bCs/>
    </w:rPr>
  </w:style>
  <w:style w:type="character" w:customStyle="1" w:styleId="CommentSubjectChar">
    <w:name w:val="Comment Subject Char"/>
    <w:basedOn w:val="CommentTextChar"/>
    <w:link w:val="CommentSubject"/>
    <w:semiHidden/>
    <w:rsid w:val="00B42322"/>
    <w:rPr>
      <w:rFonts w:ascii="Times New Roman" w:eastAsia="Times New Roman" w:hAnsi="Times New Roman" w:cs="Times New Roman"/>
      <w:b/>
      <w:bCs/>
      <w:sz w:val="20"/>
      <w:szCs w:val="20"/>
      <w:lang w:val="en-US"/>
    </w:rPr>
  </w:style>
  <w:style w:type="paragraph" w:styleId="NoSpacing">
    <w:name w:val="No Spacing"/>
    <w:uiPriority w:val="1"/>
    <w:qFormat/>
    <w:rsid w:val="00E26DB1"/>
    <w:pPr>
      <w:suppressAutoHyphens/>
      <w:autoSpaceDN w:val="0"/>
      <w:spacing w:after="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961">
      <w:bodyDiv w:val="1"/>
      <w:marLeft w:val="0"/>
      <w:marRight w:val="0"/>
      <w:marTop w:val="0"/>
      <w:marBottom w:val="0"/>
      <w:divBdr>
        <w:top w:val="none" w:sz="0" w:space="0" w:color="auto"/>
        <w:left w:val="none" w:sz="0" w:space="0" w:color="auto"/>
        <w:bottom w:val="none" w:sz="0" w:space="0" w:color="auto"/>
        <w:right w:val="none" w:sz="0" w:space="0" w:color="auto"/>
      </w:divBdr>
    </w:div>
    <w:div w:id="162284255">
      <w:bodyDiv w:val="1"/>
      <w:marLeft w:val="0"/>
      <w:marRight w:val="0"/>
      <w:marTop w:val="0"/>
      <w:marBottom w:val="0"/>
      <w:divBdr>
        <w:top w:val="none" w:sz="0" w:space="0" w:color="auto"/>
        <w:left w:val="none" w:sz="0" w:space="0" w:color="auto"/>
        <w:bottom w:val="none" w:sz="0" w:space="0" w:color="auto"/>
        <w:right w:val="none" w:sz="0" w:space="0" w:color="auto"/>
      </w:divBdr>
    </w:div>
    <w:div w:id="239407187">
      <w:bodyDiv w:val="1"/>
      <w:marLeft w:val="0"/>
      <w:marRight w:val="0"/>
      <w:marTop w:val="0"/>
      <w:marBottom w:val="0"/>
      <w:divBdr>
        <w:top w:val="none" w:sz="0" w:space="0" w:color="auto"/>
        <w:left w:val="none" w:sz="0" w:space="0" w:color="auto"/>
        <w:bottom w:val="none" w:sz="0" w:space="0" w:color="auto"/>
        <w:right w:val="none" w:sz="0" w:space="0" w:color="auto"/>
      </w:divBdr>
    </w:div>
    <w:div w:id="272830644">
      <w:bodyDiv w:val="1"/>
      <w:marLeft w:val="0"/>
      <w:marRight w:val="0"/>
      <w:marTop w:val="0"/>
      <w:marBottom w:val="0"/>
      <w:divBdr>
        <w:top w:val="none" w:sz="0" w:space="0" w:color="auto"/>
        <w:left w:val="none" w:sz="0" w:space="0" w:color="auto"/>
        <w:bottom w:val="none" w:sz="0" w:space="0" w:color="auto"/>
        <w:right w:val="none" w:sz="0" w:space="0" w:color="auto"/>
      </w:divBdr>
    </w:div>
    <w:div w:id="421684289">
      <w:bodyDiv w:val="1"/>
      <w:marLeft w:val="0"/>
      <w:marRight w:val="0"/>
      <w:marTop w:val="0"/>
      <w:marBottom w:val="0"/>
      <w:divBdr>
        <w:top w:val="none" w:sz="0" w:space="0" w:color="auto"/>
        <w:left w:val="none" w:sz="0" w:space="0" w:color="auto"/>
        <w:bottom w:val="none" w:sz="0" w:space="0" w:color="auto"/>
        <w:right w:val="none" w:sz="0" w:space="0" w:color="auto"/>
      </w:divBdr>
    </w:div>
    <w:div w:id="426077826">
      <w:bodyDiv w:val="1"/>
      <w:marLeft w:val="0"/>
      <w:marRight w:val="0"/>
      <w:marTop w:val="0"/>
      <w:marBottom w:val="0"/>
      <w:divBdr>
        <w:top w:val="none" w:sz="0" w:space="0" w:color="auto"/>
        <w:left w:val="none" w:sz="0" w:space="0" w:color="auto"/>
        <w:bottom w:val="none" w:sz="0" w:space="0" w:color="auto"/>
        <w:right w:val="none" w:sz="0" w:space="0" w:color="auto"/>
      </w:divBdr>
    </w:div>
    <w:div w:id="626931724">
      <w:bodyDiv w:val="1"/>
      <w:marLeft w:val="0"/>
      <w:marRight w:val="0"/>
      <w:marTop w:val="0"/>
      <w:marBottom w:val="0"/>
      <w:divBdr>
        <w:top w:val="none" w:sz="0" w:space="0" w:color="auto"/>
        <w:left w:val="none" w:sz="0" w:space="0" w:color="auto"/>
        <w:bottom w:val="none" w:sz="0" w:space="0" w:color="auto"/>
        <w:right w:val="none" w:sz="0" w:space="0" w:color="auto"/>
      </w:divBdr>
    </w:div>
    <w:div w:id="640576266">
      <w:bodyDiv w:val="1"/>
      <w:marLeft w:val="0"/>
      <w:marRight w:val="0"/>
      <w:marTop w:val="0"/>
      <w:marBottom w:val="0"/>
      <w:divBdr>
        <w:top w:val="none" w:sz="0" w:space="0" w:color="auto"/>
        <w:left w:val="none" w:sz="0" w:space="0" w:color="auto"/>
        <w:bottom w:val="none" w:sz="0" w:space="0" w:color="auto"/>
        <w:right w:val="none" w:sz="0" w:space="0" w:color="auto"/>
      </w:divBdr>
    </w:div>
    <w:div w:id="653219162">
      <w:bodyDiv w:val="1"/>
      <w:marLeft w:val="0"/>
      <w:marRight w:val="0"/>
      <w:marTop w:val="0"/>
      <w:marBottom w:val="0"/>
      <w:divBdr>
        <w:top w:val="none" w:sz="0" w:space="0" w:color="auto"/>
        <w:left w:val="none" w:sz="0" w:space="0" w:color="auto"/>
        <w:bottom w:val="none" w:sz="0" w:space="0" w:color="auto"/>
        <w:right w:val="none" w:sz="0" w:space="0" w:color="auto"/>
      </w:divBdr>
    </w:div>
    <w:div w:id="775100530">
      <w:bodyDiv w:val="1"/>
      <w:marLeft w:val="0"/>
      <w:marRight w:val="0"/>
      <w:marTop w:val="0"/>
      <w:marBottom w:val="0"/>
      <w:divBdr>
        <w:top w:val="none" w:sz="0" w:space="0" w:color="auto"/>
        <w:left w:val="none" w:sz="0" w:space="0" w:color="auto"/>
        <w:bottom w:val="none" w:sz="0" w:space="0" w:color="auto"/>
        <w:right w:val="none" w:sz="0" w:space="0" w:color="auto"/>
      </w:divBdr>
    </w:div>
    <w:div w:id="778600232">
      <w:bodyDiv w:val="1"/>
      <w:marLeft w:val="0"/>
      <w:marRight w:val="0"/>
      <w:marTop w:val="0"/>
      <w:marBottom w:val="0"/>
      <w:divBdr>
        <w:top w:val="none" w:sz="0" w:space="0" w:color="auto"/>
        <w:left w:val="none" w:sz="0" w:space="0" w:color="auto"/>
        <w:bottom w:val="none" w:sz="0" w:space="0" w:color="auto"/>
        <w:right w:val="none" w:sz="0" w:space="0" w:color="auto"/>
      </w:divBdr>
    </w:div>
    <w:div w:id="945649428">
      <w:bodyDiv w:val="1"/>
      <w:marLeft w:val="0"/>
      <w:marRight w:val="0"/>
      <w:marTop w:val="0"/>
      <w:marBottom w:val="0"/>
      <w:divBdr>
        <w:top w:val="none" w:sz="0" w:space="0" w:color="auto"/>
        <w:left w:val="none" w:sz="0" w:space="0" w:color="auto"/>
        <w:bottom w:val="none" w:sz="0" w:space="0" w:color="auto"/>
        <w:right w:val="none" w:sz="0" w:space="0" w:color="auto"/>
      </w:divBdr>
    </w:div>
    <w:div w:id="1420367722">
      <w:bodyDiv w:val="1"/>
      <w:marLeft w:val="0"/>
      <w:marRight w:val="0"/>
      <w:marTop w:val="0"/>
      <w:marBottom w:val="0"/>
      <w:divBdr>
        <w:top w:val="none" w:sz="0" w:space="0" w:color="auto"/>
        <w:left w:val="none" w:sz="0" w:space="0" w:color="auto"/>
        <w:bottom w:val="none" w:sz="0" w:space="0" w:color="auto"/>
        <w:right w:val="none" w:sz="0" w:space="0" w:color="auto"/>
      </w:divBdr>
    </w:div>
    <w:div w:id="1583297594">
      <w:bodyDiv w:val="1"/>
      <w:marLeft w:val="0"/>
      <w:marRight w:val="0"/>
      <w:marTop w:val="0"/>
      <w:marBottom w:val="0"/>
      <w:divBdr>
        <w:top w:val="none" w:sz="0" w:space="0" w:color="auto"/>
        <w:left w:val="none" w:sz="0" w:space="0" w:color="auto"/>
        <w:bottom w:val="none" w:sz="0" w:space="0" w:color="auto"/>
        <w:right w:val="none" w:sz="0" w:space="0" w:color="auto"/>
      </w:divBdr>
    </w:div>
    <w:div w:id="1588265390">
      <w:bodyDiv w:val="1"/>
      <w:marLeft w:val="0"/>
      <w:marRight w:val="0"/>
      <w:marTop w:val="0"/>
      <w:marBottom w:val="0"/>
      <w:divBdr>
        <w:top w:val="none" w:sz="0" w:space="0" w:color="auto"/>
        <w:left w:val="none" w:sz="0" w:space="0" w:color="auto"/>
        <w:bottom w:val="none" w:sz="0" w:space="0" w:color="auto"/>
        <w:right w:val="none" w:sz="0" w:space="0" w:color="auto"/>
      </w:divBdr>
    </w:div>
    <w:div w:id="1678271393">
      <w:bodyDiv w:val="1"/>
      <w:marLeft w:val="0"/>
      <w:marRight w:val="0"/>
      <w:marTop w:val="0"/>
      <w:marBottom w:val="0"/>
      <w:divBdr>
        <w:top w:val="none" w:sz="0" w:space="0" w:color="auto"/>
        <w:left w:val="none" w:sz="0" w:space="0" w:color="auto"/>
        <w:bottom w:val="none" w:sz="0" w:space="0" w:color="auto"/>
        <w:right w:val="none" w:sz="0" w:space="0" w:color="auto"/>
      </w:divBdr>
    </w:div>
    <w:div w:id="198511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Ignas Šimkevičius</cp:lastModifiedBy>
  <cp:revision>133</cp:revision>
  <dcterms:created xsi:type="dcterms:W3CDTF">2024-04-26T07:17:00Z</dcterms:created>
  <dcterms:modified xsi:type="dcterms:W3CDTF">2025-08-01T13:03:00Z</dcterms:modified>
</cp:coreProperties>
</file>