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D3ACD" w14:textId="77777777" w:rsidR="00F83C70" w:rsidRPr="001B5A73" w:rsidRDefault="00F83C70" w:rsidP="008B508A">
      <w:pPr>
        <w:jc w:val="right"/>
        <w:rPr>
          <w:bCs/>
          <w:color w:val="000000" w:themeColor="text1"/>
          <w:sz w:val="22"/>
          <w:szCs w:val="22"/>
        </w:rPr>
      </w:pPr>
      <w:bookmarkStart w:id="0" w:name="_GoBack"/>
      <w:bookmarkEnd w:id="0"/>
      <w:r w:rsidRPr="001B5A73">
        <w:rPr>
          <w:bCs/>
          <w:color w:val="000000" w:themeColor="text1"/>
          <w:sz w:val="22"/>
          <w:szCs w:val="22"/>
        </w:rPr>
        <w:t xml:space="preserve">Vaistinio preparato Sevoflurano kartu su </w:t>
      </w:r>
    </w:p>
    <w:p w14:paraId="4DAE65E5" w14:textId="77777777" w:rsidR="00F83C70" w:rsidRPr="001B5A73" w:rsidRDefault="00F83C70" w:rsidP="008B508A">
      <w:pPr>
        <w:jc w:val="right"/>
        <w:rPr>
          <w:bCs/>
          <w:color w:val="000000" w:themeColor="text1"/>
          <w:sz w:val="22"/>
          <w:szCs w:val="22"/>
        </w:rPr>
      </w:pPr>
      <w:r w:rsidRPr="001B5A73">
        <w:rPr>
          <w:bCs/>
          <w:color w:val="000000" w:themeColor="text1"/>
          <w:sz w:val="22"/>
          <w:szCs w:val="22"/>
        </w:rPr>
        <w:t>garintuvų įsigijimu panaudos būdu</w:t>
      </w:r>
    </w:p>
    <w:p w14:paraId="0D3090ED" w14:textId="3687DD4E" w:rsidR="008B508A" w:rsidRPr="001B5A73" w:rsidRDefault="00F83C70" w:rsidP="008B508A">
      <w:pPr>
        <w:jc w:val="right"/>
        <w:rPr>
          <w:bCs/>
          <w:color w:val="000000" w:themeColor="text1"/>
          <w:sz w:val="22"/>
          <w:szCs w:val="22"/>
        </w:rPr>
      </w:pPr>
      <w:r w:rsidRPr="001B5A73">
        <w:rPr>
          <w:bCs/>
          <w:color w:val="000000" w:themeColor="text1"/>
          <w:sz w:val="22"/>
          <w:szCs w:val="22"/>
        </w:rPr>
        <w:t>techninės specifikacijos 1 priedas</w:t>
      </w:r>
    </w:p>
    <w:p w14:paraId="354DCD00" w14:textId="77777777" w:rsidR="00D40E5D" w:rsidRPr="001B5A73" w:rsidRDefault="00D40E5D" w:rsidP="008B508A">
      <w:pPr>
        <w:jc w:val="right"/>
        <w:rPr>
          <w:rFonts w:eastAsia="Calibri"/>
          <w:b/>
          <w:color w:val="000000" w:themeColor="text1"/>
          <w:sz w:val="22"/>
          <w:szCs w:val="22"/>
        </w:rPr>
      </w:pPr>
    </w:p>
    <w:p w14:paraId="1B348FBE" w14:textId="32B11C36" w:rsidR="008B508A" w:rsidRPr="001B5A73" w:rsidRDefault="008B508A" w:rsidP="008B508A">
      <w:pPr>
        <w:jc w:val="right"/>
        <w:rPr>
          <w:rFonts w:eastAsia="Calibri"/>
          <w:b/>
          <w:color w:val="000000" w:themeColor="text1"/>
          <w:sz w:val="22"/>
          <w:szCs w:val="22"/>
        </w:rPr>
      </w:pPr>
    </w:p>
    <w:p w14:paraId="6E72201F" w14:textId="77777777" w:rsidR="007306C3" w:rsidRPr="001B5A73" w:rsidRDefault="007306C3" w:rsidP="007306C3">
      <w:pPr>
        <w:rPr>
          <w:b/>
          <w:color w:val="000000" w:themeColor="text1"/>
          <w:sz w:val="22"/>
          <w:szCs w:val="22"/>
        </w:rPr>
      </w:pPr>
    </w:p>
    <w:p w14:paraId="4A7B35FA" w14:textId="168FB627" w:rsidR="008B508A" w:rsidRPr="001B5A73" w:rsidRDefault="00F83C70" w:rsidP="00F83C70">
      <w:pPr>
        <w:jc w:val="center"/>
        <w:rPr>
          <w:b/>
          <w:color w:val="000000" w:themeColor="text1"/>
          <w:sz w:val="22"/>
          <w:szCs w:val="22"/>
        </w:rPr>
      </w:pPr>
      <w:r w:rsidRPr="001B5A73">
        <w:rPr>
          <w:b/>
          <w:color w:val="000000" w:themeColor="text1"/>
          <w:sz w:val="22"/>
          <w:szCs w:val="22"/>
        </w:rPr>
        <w:t xml:space="preserve">Reikalavimai Sevoflurano garintuvų pateikimui </w:t>
      </w:r>
      <w:r w:rsidR="007306C3" w:rsidRPr="001B5A73">
        <w:rPr>
          <w:b/>
          <w:color w:val="000000" w:themeColor="text1"/>
          <w:sz w:val="22"/>
          <w:szCs w:val="22"/>
        </w:rPr>
        <w:t>panaudai</w:t>
      </w:r>
      <w:r w:rsidR="00A64DD1">
        <w:rPr>
          <w:b/>
          <w:color w:val="000000" w:themeColor="text1"/>
          <w:sz w:val="22"/>
          <w:szCs w:val="22"/>
        </w:rPr>
        <w:t xml:space="preserve"> </w:t>
      </w:r>
    </w:p>
    <w:p w14:paraId="73D29C5F" w14:textId="77777777" w:rsidR="008B508A" w:rsidRPr="001B5A73" w:rsidRDefault="008B508A" w:rsidP="008B508A">
      <w:pPr>
        <w:jc w:val="center"/>
        <w:rPr>
          <w:rFonts w:eastAsia="Calibri"/>
          <w:b/>
          <w:color w:val="000000" w:themeColor="text1"/>
          <w:sz w:val="22"/>
          <w:szCs w:val="22"/>
        </w:rPr>
      </w:pPr>
    </w:p>
    <w:tbl>
      <w:tblPr>
        <w:tblW w:w="10418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2507"/>
        <w:gridCol w:w="4819"/>
        <w:gridCol w:w="2410"/>
      </w:tblGrid>
      <w:tr w:rsidR="001B5A73" w:rsidRPr="001B5A73" w14:paraId="350E0F7C" w14:textId="5893DFA1" w:rsidTr="0077546D">
        <w:trPr>
          <w:trHeight w:hRule="exact" w:val="1249"/>
        </w:trPr>
        <w:tc>
          <w:tcPr>
            <w:tcW w:w="682" w:type="dxa"/>
            <w:vAlign w:val="center"/>
          </w:tcPr>
          <w:p w14:paraId="71C5DF92" w14:textId="77777777" w:rsidR="00447875" w:rsidRPr="001B5A73" w:rsidRDefault="00447875" w:rsidP="0014081E">
            <w:pPr>
              <w:tabs>
                <w:tab w:val="left" w:pos="69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bookmarkStart w:id="1" w:name="_Hlk200971147"/>
            <w:r w:rsidRPr="001B5A73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4F1ED601" w14:textId="77777777" w:rsidR="00447875" w:rsidRPr="001B5A73" w:rsidRDefault="00447875" w:rsidP="0014081E">
            <w:pPr>
              <w:tabs>
                <w:tab w:val="left" w:pos="69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1B5A73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507" w:type="dxa"/>
            <w:vAlign w:val="center"/>
          </w:tcPr>
          <w:p w14:paraId="6D04C8D7" w14:textId="298EEAEA" w:rsidR="00447875" w:rsidRPr="001B5A73" w:rsidRDefault="00447875" w:rsidP="0077546D">
            <w:pPr>
              <w:ind w:left="60" w:right="103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5A73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Reikalavimai</w:t>
            </w:r>
          </w:p>
        </w:tc>
        <w:tc>
          <w:tcPr>
            <w:tcW w:w="4819" w:type="dxa"/>
            <w:vAlign w:val="center"/>
          </w:tcPr>
          <w:p w14:paraId="6B99D032" w14:textId="7B09EC9A" w:rsidR="00447875" w:rsidRPr="001B5A73" w:rsidRDefault="00447875" w:rsidP="0077546D">
            <w:pPr>
              <w:ind w:left="106" w:right="99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5A73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2410" w:type="dxa"/>
            <w:vAlign w:val="center"/>
          </w:tcPr>
          <w:p w14:paraId="3BF6F95B" w14:textId="3F2F6EBA" w:rsidR="00447875" w:rsidRPr="001B5A73" w:rsidRDefault="00447875" w:rsidP="0014081E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5A73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Siūlomos parametrų reikšmės</w:t>
            </w:r>
          </w:p>
        </w:tc>
      </w:tr>
      <w:bookmarkEnd w:id="1"/>
      <w:tr w:rsidR="001B5A73" w:rsidRPr="001B5A73" w14:paraId="58EC7549" w14:textId="0CC8F80C" w:rsidTr="0077546D">
        <w:trPr>
          <w:trHeight w:val="1677"/>
        </w:trPr>
        <w:tc>
          <w:tcPr>
            <w:tcW w:w="682" w:type="dxa"/>
          </w:tcPr>
          <w:p w14:paraId="08556E39" w14:textId="77777777" w:rsidR="00447875" w:rsidRPr="001B5A73" w:rsidRDefault="00447875" w:rsidP="008B508A">
            <w:pPr>
              <w:numPr>
                <w:ilvl w:val="0"/>
                <w:numId w:val="1"/>
              </w:numPr>
              <w:tabs>
                <w:tab w:val="left" w:pos="69"/>
              </w:tabs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07" w:type="dxa"/>
          </w:tcPr>
          <w:p w14:paraId="507245DD" w14:textId="6EE98F0B" w:rsidR="00447875" w:rsidRPr="001B5A73" w:rsidRDefault="00447875" w:rsidP="0077546D">
            <w:pPr>
              <w:ind w:left="60" w:right="103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 xml:space="preserve">Orientacinis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panaudai 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pateikiamų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Sevoflurano 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garintuvų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(toliau - garintuvai) </w:t>
            </w:r>
            <w:r w:rsidRPr="001B5A73">
              <w:rPr>
                <w:color w:val="000000" w:themeColor="text1"/>
                <w:sz w:val="22"/>
                <w:szCs w:val="22"/>
              </w:rPr>
              <w:t>skaičius ir paskirtis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pagal anestezijos aparatus</w:t>
            </w:r>
          </w:p>
        </w:tc>
        <w:tc>
          <w:tcPr>
            <w:tcW w:w="4819" w:type="dxa"/>
          </w:tcPr>
          <w:p w14:paraId="063F5C90" w14:textId="77777777" w:rsidR="009A5760" w:rsidRPr="001B5A73" w:rsidRDefault="000C6801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 xml:space="preserve">Garintuvai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>gamintojo Draeger anestezijos aparatams – 30 vnt.</w:t>
            </w:r>
          </w:p>
          <w:p w14:paraId="1D866362" w14:textId="77777777" w:rsidR="009A5760" w:rsidRPr="001B5A73" w:rsidRDefault="009A5760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Garintuvai gamintojo Getinge/Maquet anestezijos aparatams Flow-i – 14 vnt.</w:t>
            </w:r>
          </w:p>
          <w:p w14:paraId="516D82C8" w14:textId="77777777" w:rsidR="009A5760" w:rsidRPr="001B5A73" w:rsidRDefault="009A5760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Garintuvai gamintojo GE Healthcare anestezijos aparatams – 48 vnt.</w:t>
            </w:r>
          </w:p>
          <w:p w14:paraId="30B797DE" w14:textId="77777777" w:rsidR="009A5760" w:rsidRPr="001B5A73" w:rsidRDefault="009A5760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Garintuvai gamintojo Mindray anestezijos aparatams A8 – 4 vnt.</w:t>
            </w:r>
          </w:p>
          <w:p w14:paraId="135A8D87" w14:textId="2D440655" w:rsidR="009A5760" w:rsidRPr="001B5A73" w:rsidRDefault="009A5760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 xml:space="preserve">Garintuvai gamintojo Mindray anestezijos aparatams A9 </w:t>
            </w:r>
            <w:r w:rsidR="00D01749" w:rsidRPr="001B5A73">
              <w:rPr>
                <w:color w:val="000000" w:themeColor="text1"/>
                <w:sz w:val="22"/>
                <w:szCs w:val="22"/>
              </w:rPr>
              <w:t>(perkamiems senos anesteziologinės įrangos pakeitimui</w:t>
            </w:r>
            <w:r w:rsidR="004C7470" w:rsidRPr="001B5A73">
              <w:rPr>
                <w:color w:val="000000" w:themeColor="text1"/>
                <w:sz w:val="22"/>
                <w:szCs w:val="22"/>
              </w:rPr>
              <w:t>)</w:t>
            </w:r>
            <w:r w:rsidR="00D01749"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5A73">
              <w:rPr>
                <w:color w:val="000000" w:themeColor="text1"/>
                <w:sz w:val="22"/>
                <w:szCs w:val="22"/>
              </w:rPr>
              <w:t>– 29 vnt.</w:t>
            </w:r>
          </w:p>
          <w:p w14:paraId="4A0282FF" w14:textId="57C1133E" w:rsidR="00D01749" w:rsidRPr="001B5A73" w:rsidRDefault="00D01749" w:rsidP="00D01749">
            <w:pPr>
              <w:spacing w:line="276" w:lineRule="auto"/>
              <w:ind w:left="172" w:right="99"/>
              <w:rPr>
                <w:color w:val="000000" w:themeColor="text1"/>
                <w:sz w:val="22"/>
                <w:szCs w:val="22"/>
                <w:u w:val="single"/>
              </w:rPr>
            </w:pPr>
            <w:r w:rsidRPr="001B5A73">
              <w:rPr>
                <w:color w:val="000000" w:themeColor="text1"/>
                <w:sz w:val="22"/>
                <w:szCs w:val="22"/>
                <w:u w:val="single"/>
              </w:rPr>
              <w:t>Pastab</w:t>
            </w:r>
            <w:r w:rsidR="00D50D3A" w:rsidRPr="001B5A73">
              <w:rPr>
                <w:color w:val="000000" w:themeColor="text1"/>
                <w:sz w:val="22"/>
                <w:szCs w:val="22"/>
                <w:u w:val="single"/>
              </w:rPr>
              <w:t>os</w:t>
            </w:r>
            <w:r w:rsidRPr="001B5A73">
              <w:rPr>
                <w:color w:val="000000" w:themeColor="text1"/>
                <w:sz w:val="22"/>
                <w:szCs w:val="22"/>
                <w:u w:val="single"/>
              </w:rPr>
              <w:t xml:space="preserve">: </w:t>
            </w:r>
          </w:p>
          <w:p w14:paraId="62365D26" w14:textId="226DD642" w:rsidR="00D01749" w:rsidRPr="001B5A73" w:rsidRDefault="00D01749" w:rsidP="00D01749">
            <w:pPr>
              <w:spacing w:line="276" w:lineRule="auto"/>
              <w:ind w:left="17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LSMU ligoninėje Kauno klinikose iš viso eksploatuojami 96 anestezijos aparatai</w:t>
            </w:r>
            <w:r w:rsidR="004C7470" w:rsidRPr="001B5A73">
              <w:rPr>
                <w:color w:val="000000" w:themeColor="text1"/>
                <w:sz w:val="22"/>
                <w:szCs w:val="22"/>
              </w:rPr>
              <w:t>. Įsigijus 29 naujus anestezijos aparatus Mindray A9, bendras eksploatuojamų aparatų skaičius ženkliai nesikeis, nes dauguma naujų aparatų pakeis</w:t>
            </w:r>
            <w:r w:rsidR="00D50D3A" w:rsidRPr="001B5A73">
              <w:rPr>
                <w:color w:val="000000" w:themeColor="text1"/>
                <w:sz w:val="22"/>
                <w:szCs w:val="22"/>
              </w:rPr>
              <w:t xml:space="preserve"> senus, tolesnei eksploatacijai nebetinkamus aparatus</w:t>
            </w:r>
            <w:r w:rsidR="004C7470" w:rsidRPr="001B5A73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410" w:type="dxa"/>
          </w:tcPr>
          <w:p w14:paraId="14E08BA0" w14:textId="77777777" w:rsidR="00447875" w:rsidRPr="001B5A73" w:rsidRDefault="00447875" w:rsidP="00447875">
            <w:pPr>
              <w:suppressAutoHyphens/>
              <w:autoSpaceDN w:val="0"/>
              <w:spacing w:line="276" w:lineRule="auto"/>
              <w:ind w:left="68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1B5A73" w:rsidRPr="001B5A73" w14:paraId="6C7211E4" w14:textId="05593380" w:rsidTr="0077546D">
        <w:trPr>
          <w:trHeight w:val="558"/>
        </w:trPr>
        <w:tc>
          <w:tcPr>
            <w:tcW w:w="682" w:type="dxa"/>
          </w:tcPr>
          <w:p w14:paraId="4B53B18E" w14:textId="77777777" w:rsidR="00447875" w:rsidRPr="001B5A73" w:rsidRDefault="00447875" w:rsidP="008B508A">
            <w:pPr>
              <w:numPr>
                <w:ilvl w:val="0"/>
                <w:numId w:val="1"/>
              </w:numPr>
              <w:tabs>
                <w:tab w:val="left" w:pos="69"/>
              </w:tabs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07" w:type="dxa"/>
          </w:tcPr>
          <w:p w14:paraId="64CF6E20" w14:textId="2D7576E3" w:rsidR="00447875" w:rsidRPr="001B5A73" w:rsidRDefault="00447875" w:rsidP="0077546D">
            <w:pPr>
              <w:ind w:left="60" w:right="103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Garintuvų  pateikimo bei  techninio aptarnavimo panaudos sutarties galiojimo laikotarpyje sąlygos</w:t>
            </w:r>
          </w:p>
        </w:tc>
        <w:tc>
          <w:tcPr>
            <w:tcW w:w="4819" w:type="dxa"/>
          </w:tcPr>
          <w:p w14:paraId="47D9EDFE" w14:textId="1BCFB42C" w:rsidR="0077546D" w:rsidRPr="001B5A73" w:rsidRDefault="00447875" w:rsidP="0077546D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Tiekėjas privalo panaudai pateikiamus garintuvus savo lėšomis pristatyti anestezijos aparatus naudojantiems LSMU ligoninės Kauno klinikų struktūriniams padaliniams, su padalinių materialiai atsakingais asmenimis pasirašant perduotų garintuvų perdavimo – priėmimo aktus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7546D" w:rsidRPr="001B5A73">
              <w:rPr>
                <w:b/>
                <w:i/>
                <w:color w:val="000000" w:themeColor="text1"/>
                <w:sz w:val="22"/>
                <w:szCs w:val="22"/>
              </w:rPr>
              <w:t>būtinas atitinkamas tiekėjo įsipareigojimas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)</w:t>
            </w:r>
            <w:r w:rsidRPr="001B5A73">
              <w:rPr>
                <w:color w:val="000000" w:themeColor="text1"/>
                <w:sz w:val="22"/>
                <w:szCs w:val="22"/>
              </w:rPr>
              <w:t>;</w:t>
            </w:r>
          </w:p>
          <w:p w14:paraId="7D2008DF" w14:textId="6457BEC5" w:rsidR="00447875" w:rsidRPr="001B5A73" w:rsidRDefault="00447875" w:rsidP="0077546D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Pasikeitus poreikiams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>,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LSMU ligoninei Kauno klinikoms įsigijus naujus anestezijos aparatus, tiekėjas privalo 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 xml:space="preserve">savo lėšomis 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papildomai pateikti naujų 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>anestezijos aparatų eksploatavimui reikalingus garintuvus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7546D" w:rsidRPr="001B5A73">
              <w:rPr>
                <w:b/>
                <w:i/>
                <w:color w:val="000000" w:themeColor="text1"/>
                <w:sz w:val="22"/>
                <w:szCs w:val="22"/>
              </w:rPr>
              <w:t>būtinas atitinkamas tiekėjo įsipareigojimas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)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>;</w:t>
            </w:r>
          </w:p>
          <w:p w14:paraId="153E6DA7" w14:textId="6C128CB8" w:rsidR="00D50D3A" w:rsidRPr="001B5A73" w:rsidRDefault="00D50D3A" w:rsidP="00D50D3A">
            <w:pPr>
              <w:pStyle w:val="ListParagraph"/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  <w:u w:val="single"/>
              </w:rPr>
            </w:pPr>
            <w:r w:rsidRPr="001B5A73">
              <w:rPr>
                <w:color w:val="000000" w:themeColor="text1"/>
                <w:sz w:val="22"/>
                <w:szCs w:val="22"/>
                <w:u w:val="single"/>
              </w:rPr>
              <w:t>Pastaba:</w:t>
            </w:r>
          </w:p>
          <w:p w14:paraId="1EAD69F4" w14:textId="525D94E2" w:rsidR="00D50D3A" w:rsidRPr="001B5A73" w:rsidRDefault="00D50D3A" w:rsidP="00D50D3A">
            <w:pPr>
              <w:pStyle w:val="ListParagraph"/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Anesteziologų darbo vietų plėtra yra minimali, ženkl</w:t>
            </w:r>
            <w:r w:rsidR="00765653" w:rsidRPr="001B5A73">
              <w:rPr>
                <w:color w:val="000000" w:themeColor="text1"/>
                <w:sz w:val="22"/>
                <w:szCs w:val="22"/>
              </w:rPr>
              <w:t>iai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65653" w:rsidRPr="001B5A73">
              <w:rPr>
                <w:color w:val="000000" w:themeColor="text1"/>
                <w:sz w:val="22"/>
                <w:szCs w:val="22"/>
              </w:rPr>
              <w:t xml:space="preserve">padidinti </w:t>
            </w:r>
            <w:r w:rsidRPr="001B5A73">
              <w:rPr>
                <w:color w:val="000000" w:themeColor="text1"/>
                <w:sz w:val="22"/>
                <w:szCs w:val="22"/>
              </w:rPr>
              <w:t>eksploatuojamų anestezijos aparatų kiek</w:t>
            </w:r>
            <w:r w:rsidR="00765653" w:rsidRPr="001B5A73">
              <w:rPr>
                <w:color w:val="000000" w:themeColor="text1"/>
                <w:sz w:val="22"/>
                <w:szCs w:val="22"/>
              </w:rPr>
              <w:t>į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artimiausių kelių metų laikotarpyje neplanuojama.</w:t>
            </w:r>
          </w:p>
          <w:p w14:paraId="5DA71E58" w14:textId="7F26086A" w:rsidR="00447875" w:rsidRPr="001B5A73" w:rsidRDefault="00447875" w:rsidP="0077546D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lastRenderedPageBreak/>
              <w:t xml:space="preserve">Tiekėjas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privalo </w:t>
            </w:r>
            <w:r w:rsidRPr="001B5A73">
              <w:rPr>
                <w:color w:val="000000" w:themeColor="text1"/>
                <w:sz w:val="22"/>
                <w:szCs w:val="22"/>
              </w:rPr>
              <w:t>panaudos sutarties galiojimo laikotarpyje savo lėšomis užtikrin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t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>i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pateikt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>ų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>garintuvų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pilno 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techninio aptarnavimo 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paslaugų </w:t>
            </w:r>
            <w:r w:rsidRPr="001B5A73">
              <w:rPr>
                <w:color w:val="000000" w:themeColor="text1"/>
                <w:sz w:val="22"/>
                <w:szCs w:val="22"/>
              </w:rPr>
              <w:t>(techninės profilaktikos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 bei patikros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gamintojo numatytu periodiškumu </w:t>
            </w:r>
            <w:r w:rsidRPr="001B5A73">
              <w:rPr>
                <w:color w:val="000000" w:themeColor="text1"/>
                <w:sz w:val="22"/>
                <w:szCs w:val="22"/>
              </w:rPr>
              <w:t>ir remonto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 arba pakeitimo gedimų atvejais</w:t>
            </w:r>
            <w:r w:rsidRPr="001B5A73">
              <w:rPr>
                <w:color w:val="000000" w:themeColor="text1"/>
                <w:sz w:val="22"/>
                <w:szCs w:val="22"/>
              </w:rPr>
              <w:t>) teikimą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7546D" w:rsidRPr="001B5A73">
              <w:rPr>
                <w:b/>
                <w:i/>
                <w:color w:val="000000" w:themeColor="text1"/>
                <w:sz w:val="22"/>
                <w:szCs w:val="22"/>
              </w:rPr>
              <w:t>būtinas atitinkamas tiekėjo įsipareigojimas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)</w:t>
            </w:r>
            <w:r w:rsidRPr="001B5A73">
              <w:rPr>
                <w:color w:val="000000" w:themeColor="text1"/>
                <w:sz w:val="22"/>
                <w:szCs w:val="22"/>
              </w:rPr>
              <w:t>;</w:t>
            </w:r>
          </w:p>
          <w:p w14:paraId="04C09DCA" w14:textId="7D23DCAD" w:rsidR="00447875" w:rsidRPr="001B5A73" w:rsidRDefault="00447875" w:rsidP="0077546D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 xml:space="preserve">Reakcijos į iškvietimą 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garintuvo </w:t>
            </w:r>
            <w:r w:rsidRPr="001B5A73">
              <w:rPr>
                <w:color w:val="000000" w:themeColor="text1"/>
                <w:sz w:val="22"/>
                <w:szCs w:val="22"/>
              </w:rPr>
              <w:t>gedimo šalinimui laikas – ne ilgiau kaip 24 val.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1B5A73">
              <w:rPr>
                <w:color w:val="000000" w:themeColor="text1"/>
                <w:sz w:val="22"/>
                <w:szCs w:val="22"/>
              </w:rPr>
              <w:t>neįskaitant šventinių ir ne darbo dienų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7546D" w:rsidRPr="001B5A73">
              <w:rPr>
                <w:b/>
                <w:i/>
                <w:color w:val="000000" w:themeColor="text1"/>
                <w:sz w:val="22"/>
                <w:szCs w:val="22"/>
              </w:rPr>
              <w:t>būtinas atitinkamas tiekėjo įsipareigojimas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2410" w:type="dxa"/>
          </w:tcPr>
          <w:p w14:paraId="4A1955B8" w14:textId="1CFAC8B9" w:rsidR="00447875" w:rsidRPr="001B5A73" w:rsidRDefault="00447875" w:rsidP="00447875">
            <w:pPr>
              <w:suppressAutoHyphens/>
              <w:autoSpaceDN w:val="0"/>
              <w:spacing w:line="276" w:lineRule="auto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E28BFA" w14:textId="1BE3A2E8" w:rsidR="00DA60FE" w:rsidRPr="001B5A73" w:rsidRDefault="00DA60FE" w:rsidP="00EA2351">
      <w:pPr>
        <w:rPr>
          <w:color w:val="000000" w:themeColor="text1"/>
          <w:sz w:val="22"/>
          <w:szCs w:val="22"/>
        </w:rPr>
      </w:pPr>
    </w:p>
    <w:p w14:paraId="13BED2B7" w14:textId="237F303E" w:rsidR="00740E9C" w:rsidRPr="001B5A73" w:rsidRDefault="00740E9C" w:rsidP="00740E9C">
      <w:pPr>
        <w:jc w:val="both"/>
        <w:rPr>
          <w:bCs/>
          <w:color w:val="000000" w:themeColor="text1"/>
          <w:sz w:val="22"/>
          <w:szCs w:val="22"/>
          <w:lang w:eastAsia="lt-LT"/>
        </w:rPr>
      </w:pPr>
    </w:p>
    <w:sectPr w:rsidR="00740E9C" w:rsidRPr="001B5A73" w:rsidSect="00D50D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1418" w:left="1418" w:header="567" w:footer="1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906E7" w14:textId="77777777" w:rsidR="00052EE7" w:rsidRDefault="00052EE7" w:rsidP="00AA7D95">
      <w:r>
        <w:separator/>
      </w:r>
    </w:p>
  </w:endnote>
  <w:endnote w:type="continuationSeparator" w:id="0">
    <w:p w14:paraId="40F5FA95" w14:textId="77777777" w:rsidR="00052EE7" w:rsidRDefault="00052EE7" w:rsidP="00AA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CADF7" w14:textId="77777777" w:rsidR="0077546D" w:rsidRDefault="007754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784667"/>
      <w:docPartObj>
        <w:docPartGallery w:val="Page Numbers (Bottom of Page)"/>
        <w:docPartUnique/>
      </w:docPartObj>
    </w:sdtPr>
    <w:sdtEndPr/>
    <w:sdtContent>
      <w:p w14:paraId="22A63463" w14:textId="4436E198" w:rsidR="00D50D3A" w:rsidRDefault="00D50D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85C">
          <w:t>1</w:t>
        </w:r>
        <w:r>
          <w:fldChar w:fldCharType="end"/>
        </w:r>
      </w:p>
    </w:sdtContent>
  </w:sdt>
  <w:p w14:paraId="0C6463E5" w14:textId="77777777" w:rsidR="00AA7D95" w:rsidRDefault="00AA7D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6D6AD" w14:textId="77777777" w:rsidR="0077546D" w:rsidRDefault="00775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13CCB" w14:textId="77777777" w:rsidR="00052EE7" w:rsidRDefault="00052EE7" w:rsidP="00AA7D95">
      <w:r>
        <w:separator/>
      </w:r>
    </w:p>
  </w:footnote>
  <w:footnote w:type="continuationSeparator" w:id="0">
    <w:p w14:paraId="05110F95" w14:textId="77777777" w:rsidR="00052EE7" w:rsidRDefault="00052EE7" w:rsidP="00AA7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109B4" w14:textId="77777777" w:rsidR="0077546D" w:rsidRDefault="00775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5A055" w14:textId="77777777" w:rsidR="0077546D" w:rsidRDefault="007754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34924" w14:textId="77777777" w:rsidR="0077546D" w:rsidRDefault="007754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FF4"/>
    <w:multiLevelType w:val="multilevel"/>
    <w:tmpl w:val="055E0FF4"/>
    <w:lvl w:ilvl="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" w15:restartNumberingAfterBreak="0">
    <w:nsid w:val="07225892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3E35"/>
    <w:multiLevelType w:val="hybridMultilevel"/>
    <w:tmpl w:val="E59633B2"/>
    <w:lvl w:ilvl="0" w:tplc="0427000F">
      <w:start w:val="1"/>
      <w:numFmt w:val="decimal"/>
      <w:lvlText w:val="%1.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 w:tentative="1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0EF16D35"/>
    <w:multiLevelType w:val="hybridMultilevel"/>
    <w:tmpl w:val="29643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533"/>
    <w:multiLevelType w:val="hybridMultilevel"/>
    <w:tmpl w:val="C5D295B8"/>
    <w:lvl w:ilvl="0" w:tplc="0427000F">
      <w:start w:val="1"/>
      <w:numFmt w:val="decimal"/>
      <w:lvlText w:val="%1.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 w:tentative="1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14F411C2"/>
    <w:multiLevelType w:val="hybridMultilevel"/>
    <w:tmpl w:val="086433FA"/>
    <w:lvl w:ilvl="0" w:tplc="0427000F">
      <w:start w:val="1"/>
      <w:numFmt w:val="decimal"/>
      <w:lvlText w:val="%1."/>
      <w:lvlJc w:val="left"/>
      <w:pPr>
        <w:ind w:left="825" w:hanging="360"/>
      </w:pPr>
    </w:lvl>
    <w:lvl w:ilvl="1" w:tplc="04270019" w:tentative="1">
      <w:start w:val="1"/>
      <w:numFmt w:val="lowerLetter"/>
      <w:lvlText w:val="%2."/>
      <w:lvlJc w:val="left"/>
      <w:pPr>
        <w:ind w:left="1545" w:hanging="360"/>
      </w:pPr>
    </w:lvl>
    <w:lvl w:ilvl="2" w:tplc="0427001B" w:tentative="1">
      <w:start w:val="1"/>
      <w:numFmt w:val="lowerRoman"/>
      <w:lvlText w:val="%3."/>
      <w:lvlJc w:val="right"/>
      <w:pPr>
        <w:ind w:left="2265" w:hanging="180"/>
      </w:pPr>
    </w:lvl>
    <w:lvl w:ilvl="3" w:tplc="0427000F" w:tentative="1">
      <w:start w:val="1"/>
      <w:numFmt w:val="decimal"/>
      <w:lvlText w:val="%4."/>
      <w:lvlJc w:val="left"/>
      <w:pPr>
        <w:ind w:left="2985" w:hanging="360"/>
      </w:pPr>
    </w:lvl>
    <w:lvl w:ilvl="4" w:tplc="04270019" w:tentative="1">
      <w:start w:val="1"/>
      <w:numFmt w:val="lowerLetter"/>
      <w:lvlText w:val="%5."/>
      <w:lvlJc w:val="left"/>
      <w:pPr>
        <w:ind w:left="3705" w:hanging="360"/>
      </w:pPr>
    </w:lvl>
    <w:lvl w:ilvl="5" w:tplc="0427001B" w:tentative="1">
      <w:start w:val="1"/>
      <w:numFmt w:val="lowerRoman"/>
      <w:lvlText w:val="%6."/>
      <w:lvlJc w:val="right"/>
      <w:pPr>
        <w:ind w:left="4425" w:hanging="180"/>
      </w:pPr>
    </w:lvl>
    <w:lvl w:ilvl="6" w:tplc="0427000F" w:tentative="1">
      <w:start w:val="1"/>
      <w:numFmt w:val="decimal"/>
      <w:lvlText w:val="%7."/>
      <w:lvlJc w:val="left"/>
      <w:pPr>
        <w:ind w:left="5145" w:hanging="360"/>
      </w:pPr>
    </w:lvl>
    <w:lvl w:ilvl="7" w:tplc="04270019" w:tentative="1">
      <w:start w:val="1"/>
      <w:numFmt w:val="lowerLetter"/>
      <w:lvlText w:val="%8."/>
      <w:lvlJc w:val="left"/>
      <w:pPr>
        <w:ind w:left="5865" w:hanging="360"/>
      </w:pPr>
    </w:lvl>
    <w:lvl w:ilvl="8" w:tplc="042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7B51FC0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959BB"/>
    <w:multiLevelType w:val="multilevel"/>
    <w:tmpl w:val="5FC0E2E0"/>
    <w:lvl w:ilvl="0">
      <w:start w:val="1"/>
      <w:numFmt w:val="decimal"/>
      <w:lvlText w:val="%1."/>
      <w:lvlJc w:val="left"/>
      <w:pPr>
        <w:tabs>
          <w:tab w:val="num" w:pos="927"/>
        </w:tabs>
        <w:ind w:left="908" w:hanging="34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hint="default"/>
      </w:rPr>
    </w:lvl>
  </w:abstractNum>
  <w:abstractNum w:abstractNumId="8" w15:restartNumberingAfterBreak="0">
    <w:nsid w:val="31E60BDA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35783"/>
    <w:multiLevelType w:val="hybridMultilevel"/>
    <w:tmpl w:val="29643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345CF"/>
    <w:multiLevelType w:val="hybridMultilevel"/>
    <w:tmpl w:val="C5D295B8"/>
    <w:lvl w:ilvl="0" w:tplc="0427000F">
      <w:start w:val="1"/>
      <w:numFmt w:val="decimal"/>
      <w:lvlText w:val="%1.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 w:tentative="1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4ED87983"/>
    <w:multiLevelType w:val="hybridMultilevel"/>
    <w:tmpl w:val="447841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45F76"/>
    <w:multiLevelType w:val="hybridMultilevel"/>
    <w:tmpl w:val="E5322E94"/>
    <w:lvl w:ilvl="0" w:tplc="0427000F">
      <w:start w:val="1"/>
      <w:numFmt w:val="decimal"/>
      <w:lvlText w:val="%1."/>
      <w:lvlJc w:val="left"/>
      <w:pPr>
        <w:ind w:left="542" w:hanging="360"/>
      </w:pPr>
    </w:lvl>
    <w:lvl w:ilvl="1" w:tplc="04270019" w:tentative="1">
      <w:start w:val="1"/>
      <w:numFmt w:val="lowerLetter"/>
      <w:lvlText w:val="%2."/>
      <w:lvlJc w:val="left"/>
      <w:pPr>
        <w:ind w:left="1262" w:hanging="360"/>
      </w:pPr>
    </w:lvl>
    <w:lvl w:ilvl="2" w:tplc="0427001B" w:tentative="1">
      <w:start w:val="1"/>
      <w:numFmt w:val="lowerRoman"/>
      <w:lvlText w:val="%3."/>
      <w:lvlJc w:val="right"/>
      <w:pPr>
        <w:ind w:left="1982" w:hanging="180"/>
      </w:pPr>
    </w:lvl>
    <w:lvl w:ilvl="3" w:tplc="0427000F" w:tentative="1">
      <w:start w:val="1"/>
      <w:numFmt w:val="decimal"/>
      <w:lvlText w:val="%4."/>
      <w:lvlJc w:val="left"/>
      <w:pPr>
        <w:ind w:left="2702" w:hanging="360"/>
      </w:pPr>
    </w:lvl>
    <w:lvl w:ilvl="4" w:tplc="04270019" w:tentative="1">
      <w:start w:val="1"/>
      <w:numFmt w:val="lowerLetter"/>
      <w:lvlText w:val="%5."/>
      <w:lvlJc w:val="left"/>
      <w:pPr>
        <w:ind w:left="3422" w:hanging="360"/>
      </w:pPr>
    </w:lvl>
    <w:lvl w:ilvl="5" w:tplc="0427001B" w:tentative="1">
      <w:start w:val="1"/>
      <w:numFmt w:val="lowerRoman"/>
      <w:lvlText w:val="%6."/>
      <w:lvlJc w:val="right"/>
      <w:pPr>
        <w:ind w:left="4142" w:hanging="180"/>
      </w:pPr>
    </w:lvl>
    <w:lvl w:ilvl="6" w:tplc="0427000F" w:tentative="1">
      <w:start w:val="1"/>
      <w:numFmt w:val="decimal"/>
      <w:lvlText w:val="%7."/>
      <w:lvlJc w:val="left"/>
      <w:pPr>
        <w:ind w:left="4862" w:hanging="360"/>
      </w:pPr>
    </w:lvl>
    <w:lvl w:ilvl="7" w:tplc="04270019" w:tentative="1">
      <w:start w:val="1"/>
      <w:numFmt w:val="lowerLetter"/>
      <w:lvlText w:val="%8."/>
      <w:lvlJc w:val="left"/>
      <w:pPr>
        <w:ind w:left="5582" w:hanging="360"/>
      </w:pPr>
    </w:lvl>
    <w:lvl w:ilvl="8" w:tplc="0427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5E873656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0AB1"/>
    <w:multiLevelType w:val="hybridMultilevel"/>
    <w:tmpl w:val="195AF632"/>
    <w:lvl w:ilvl="0" w:tplc="0427000F">
      <w:start w:val="1"/>
      <w:numFmt w:val="decimal"/>
      <w:lvlText w:val="%1.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79200445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000CF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16"/>
  </w:num>
  <w:num w:numId="10">
    <w:abstractNumId w:val="13"/>
  </w:num>
  <w:num w:numId="11">
    <w:abstractNumId w:val="8"/>
  </w:num>
  <w:num w:numId="12">
    <w:abstractNumId w:val="6"/>
  </w:num>
  <w:num w:numId="13">
    <w:abstractNumId w:val="15"/>
  </w:num>
  <w:num w:numId="14">
    <w:abstractNumId w:val="2"/>
  </w:num>
  <w:num w:numId="15">
    <w:abstractNumId w:val="1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8A"/>
    <w:rsid w:val="00010F07"/>
    <w:rsid w:val="00052EE7"/>
    <w:rsid w:val="00081CB2"/>
    <w:rsid w:val="000960F8"/>
    <w:rsid w:val="00096B79"/>
    <w:rsid w:val="000B1987"/>
    <w:rsid w:val="000C6801"/>
    <w:rsid w:val="001471A0"/>
    <w:rsid w:val="00171415"/>
    <w:rsid w:val="0017330C"/>
    <w:rsid w:val="001B5A73"/>
    <w:rsid w:val="002B76A4"/>
    <w:rsid w:val="0039585C"/>
    <w:rsid w:val="003C01A4"/>
    <w:rsid w:val="003E45EC"/>
    <w:rsid w:val="00447875"/>
    <w:rsid w:val="004B3D7F"/>
    <w:rsid w:val="004C7470"/>
    <w:rsid w:val="005440DA"/>
    <w:rsid w:val="00575328"/>
    <w:rsid w:val="006471B5"/>
    <w:rsid w:val="00662722"/>
    <w:rsid w:val="00662FC1"/>
    <w:rsid w:val="00665062"/>
    <w:rsid w:val="006965FE"/>
    <w:rsid w:val="006C0727"/>
    <w:rsid w:val="006C56EA"/>
    <w:rsid w:val="00701A3A"/>
    <w:rsid w:val="00705592"/>
    <w:rsid w:val="007306C3"/>
    <w:rsid w:val="00740E9C"/>
    <w:rsid w:val="0076149C"/>
    <w:rsid w:val="00761BFD"/>
    <w:rsid w:val="00765653"/>
    <w:rsid w:val="0077546D"/>
    <w:rsid w:val="007D665D"/>
    <w:rsid w:val="00842174"/>
    <w:rsid w:val="00850675"/>
    <w:rsid w:val="00872577"/>
    <w:rsid w:val="00890C80"/>
    <w:rsid w:val="008B508A"/>
    <w:rsid w:val="008D71FF"/>
    <w:rsid w:val="00910059"/>
    <w:rsid w:val="009A5760"/>
    <w:rsid w:val="009B2F2E"/>
    <w:rsid w:val="009B5AC6"/>
    <w:rsid w:val="009E6226"/>
    <w:rsid w:val="00A27BD6"/>
    <w:rsid w:val="00A35963"/>
    <w:rsid w:val="00A35B98"/>
    <w:rsid w:val="00A43DDE"/>
    <w:rsid w:val="00A64DD1"/>
    <w:rsid w:val="00A73A72"/>
    <w:rsid w:val="00AA7D95"/>
    <w:rsid w:val="00AB04B7"/>
    <w:rsid w:val="00B0082C"/>
    <w:rsid w:val="00B936B5"/>
    <w:rsid w:val="00BD36A6"/>
    <w:rsid w:val="00BD6F00"/>
    <w:rsid w:val="00BE5FAA"/>
    <w:rsid w:val="00C21DD6"/>
    <w:rsid w:val="00D01749"/>
    <w:rsid w:val="00D04489"/>
    <w:rsid w:val="00D40E5D"/>
    <w:rsid w:val="00D50D3A"/>
    <w:rsid w:val="00D9163D"/>
    <w:rsid w:val="00DA60FE"/>
    <w:rsid w:val="00E11A22"/>
    <w:rsid w:val="00E231AF"/>
    <w:rsid w:val="00E37A3E"/>
    <w:rsid w:val="00E57EB5"/>
    <w:rsid w:val="00EA2351"/>
    <w:rsid w:val="00EB185C"/>
    <w:rsid w:val="00EB28CF"/>
    <w:rsid w:val="00EF6E92"/>
    <w:rsid w:val="00F02212"/>
    <w:rsid w:val="00F806B8"/>
    <w:rsid w:val="00F83C70"/>
    <w:rsid w:val="00F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9529"/>
  <w15:chartTrackingRefBased/>
  <w15:docId w15:val="{E6E22C82-EE53-4636-9EB5-A7BFE80B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0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7D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D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D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D95"/>
    <w:rPr>
      <w:rFonts w:ascii="Times New Roman" w:eastAsia="Times New Roman" w:hAnsi="Times New Roman" w:cs="Times New Roman"/>
      <w:sz w:val="24"/>
      <w:szCs w:val="24"/>
    </w:rPr>
  </w:style>
  <w:style w:type="paragraph" w:customStyle="1" w:styleId="Lentelsturinys">
    <w:name w:val="Lentelės turinys"/>
    <w:basedOn w:val="Normal"/>
    <w:uiPriority w:val="99"/>
    <w:rsid w:val="00740E9C"/>
    <w:pPr>
      <w:widowControl w:val="0"/>
      <w:suppressLineNumbers/>
      <w:suppressAutoHyphens/>
    </w:pPr>
    <w:rPr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40E9C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F83F3-A47F-4D69-985C-9420B4CDF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B9022-474A-4045-BEA1-26E7BF748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A958D-13D0-46B8-8640-3492BFBB79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2</cp:revision>
  <dcterms:created xsi:type="dcterms:W3CDTF">2025-08-01T16:21:00Z</dcterms:created>
  <dcterms:modified xsi:type="dcterms:W3CDTF">2025-08-01T16:21:00Z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