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BD0E7" w14:textId="77777777" w:rsidR="003A5677" w:rsidRDefault="003A5677"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2ED0C3C5"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54BDB0E9" w14:textId="60372CF7" w:rsidR="00977B91" w:rsidRPr="008F5902" w:rsidRDefault="00CC4DBE" w:rsidP="008F5902">
      <w:pPr>
        <w:ind w:firstLine="567"/>
        <w:jc w:val="both"/>
        <w:rPr>
          <w:sz w:val="24"/>
          <w:szCs w:val="24"/>
          <w:lang w:val="lt-LT"/>
        </w:rPr>
      </w:pPr>
      <w:r w:rsidRPr="00AA0F27">
        <w:rPr>
          <w:sz w:val="24"/>
          <w:szCs w:val="24"/>
          <w:lang w:val="lt-LT"/>
        </w:rPr>
        <w:t xml:space="preserve">Lietuvos kariuomenės Logistikos valdybos Įgulų aptarnavimo tarnyba, kodas 300066843, atstovaujama </w:t>
      </w:r>
      <w:r w:rsidR="00DA7C5A">
        <w:rPr>
          <w:sz w:val="24"/>
          <w:szCs w:val="24"/>
          <w:lang w:val="lt-LT"/>
        </w:rPr>
        <w:t>vado mjr. Rimo Macutkevičiaus</w:t>
      </w:r>
      <w:r w:rsidR="00DA7C5A" w:rsidRPr="00931D1A">
        <w:rPr>
          <w:sz w:val="24"/>
          <w:szCs w:val="24"/>
          <w:lang w:val="lt-LT"/>
        </w:rPr>
        <w:t xml:space="preserve">, veikiančio pagal Įgulų aptarnavimo tarnybos nuostatus, patvirtintus Krašto apsaugos ministro 2014 m. gegužės 30 d. įsakymu Nr. V-470 </w:t>
      </w:r>
      <w:r w:rsidR="0097361F" w:rsidRPr="008F5902">
        <w:rPr>
          <w:sz w:val="24"/>
          <w:szCs w:val="24"/>
          <w:lang w:val="lt-LT"/>
        </w:rPr>
        <w:t>(toliau – Užsakovas), ir</w:t>
      </w:r>
      <w:r w:rsidR="00DA7C5A">
        <w:rPr>
          <w:sz w:val="24"/>
          <w:szCs w:val="24"/>
          <w:lang w:val="lt-LT"/>
        </w:rPr>
        <w:t xml:space="preserve"> </w:t>
      </w:r>
      <w:r w:rsidR="008F5902" w:rsidRPr="008F5902">
        <w:rPr>
          <w:i/>
          <w:kern w:val="28"/>
          <w:sz w:val="24"/>
          <w:szCs w:val="24"/>
          <w:lang w:val="lt-LT"/>
        </w:rPr>
        <w:t>[įrašyti sutarties šalies pavadinimą, teisinę formą]</w:t>
      </w:r>
      <w:r w:rsidR="008F5902" w:rsidRPr="008F5902">
        <w:rPr>
          <w:kern w:val="28"/>
          <w:sz w:val="24"/>
          <w:szCs w:val="24"/>
          <w:lang w:val="lt-LT"/>
        </w:rPr>
        <w:t xml:space="preserve">, juridinio asmens kodas </w:t>
      </w:r>
      <w:r w:rsidR="008F5902" w:rsidRPr="008F5902">
        <w:rPr>
          <w:i/>
          <w:kern w:val="28"/>
          <w:sz w:val="24"/>
          <w:szCs w:val="24"/>
          <w:lang w:val="lt-LT"/>
        </w:rPr>
        <w:t>[įrašyti]</w:t>
      </w:r>
      <w:r w:rsidR="0097361F" w:rsidRPr="008F5902">
        <w:rPr>
          <w:sz w:val="24"/>
          <w:szCs w:val="24"/>
          <w:lang w:val="lt-LT"/>
        </w:rPr>
        <w:t xml:space="preserve">, atstovaujama </w:t>
      </w:r>
      <w:r w:rsidR="008F5902" w:rsidRPr="008F5902">
        <w:rPr>
          <w:i/>
          <w:kern w:val="28"/>
          <w:sz w:val="24"/>
          <w:szCs w:val="24"/>
          <w:lang w:val="lt-LT"/>
        </w:rPr>
        <w:t>[įrašyti pareigas, vardą, pavardę]</w:t>
      </w:r>
      <w:r w:rsidR="008F5902" w:rsidRPr="008F5902">
        <w:rPr>
          <w:kern w:val="28"/>
          <w:sz w:val="24"/>
          <w:szCs w:val="24"/>
          <w:lang w:val="lt-LT"/>
        </w:rPr>
        <w:t xml:space="preserve">, veikiančio pagal </w:t>
      </w:r>
      <w:r w:rsidR="008F5902"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76DEF47A" w:rsidR="0097361F" w:rsidRPr="00001CDC" w:rsidRDefault="0097361F" w:rsidP="00EE6842">
            <w:pPr>
              <w:jc w:val="both"/>
              <w:rPr>
                <w:sz w:val="24"/>
                <w:szCs w:val="24"/>
                <w:lang w:val="lt-LT" w:eastAsia="en-US"/>
              </w:rPr>
            </w:pPr>
            <w:r w:rsidRPr="002036FB">
              <w:rPr>
                <w:sz w:val="24"/>
                <w:szCs w:val="24"/>
                <w:lang w:val="lt-LT" w:eastAsia="en-US"/>
              </w:rPr>
              <w:t xml:space="preserve">1.1. </w:t>
            </w:r>
            <w:r w:rsidRPr="00290A32">
              <w:rPr>
                <w:sz w:val="24"/>
                <w:szCs w:val="24"/>
                <w:lang w:val="lt-LT" w:eastAsia="en-US"/>
              </w:rPr>
              <w:t xml:space="preserve">Rangovas įsipareigoja savo jėgomis, medžiagomis, rizika ir atsakomybe pagal teisės aktuose, Sutartyje ir jos prieduose nustatytus reikalavimus atlikti </w:t>
            </w:r>
            <w:r w:rsidR="003475FA">
              <w:rPr>
                <w:sz w:val="24"/>
                <w:szCs w:val="24"/>
              </w:rPr>
              <w:t xml:space="preserve">LVV </w:t>
            </w:r>
            <w:proofErr w:type="spellStart"/>
            <w:r w:rsidR="003475FA">
              <w:rPr>
                <w:sz w:val="24"/>
                <w:szCs w:val="24"/>
              </w:rPr>
              <w:t>lauko</w:t>
            </w:r>
            <w:proofErr w:type="spellEnd"/>
            <w:r w:rsidR="003475FA">
              <w:rPr>
                <w:sz w:val="24"/>
                <w:szCs w:val="24"/>
              </w:rPr>
              <w:t xml:space="preserve"> </w:t>
            </w:r>
            <w:proofErr w:type="spellStart"/>
            <w:r w:rsidR="003475FA">
              <w:rPr>
                <w:sz w:val="24"/>
                <w:szCs w:val="24"/>
              </w:rPr>
              <w:t>teritorijos</w:t>
            </w:r>
            <w:proofErr w:type="spellEnd"/>
            <w:r w:rsidR="003475FA">
              <w:rPr>
                <w:sz w:val="24"/>
                <w:szCs w:val="24"/>
              </w:rPr>
              <w:t xml:space="preserve"> (</w:t>
            </w:r>
            <w:proofErr w:type="spellStart"/>
            <w:r w:rsidR="003475FA">
              <w:rPr>
                <w:sz w:val="24"/>
                <w:szCs w:val="24"/>
              </w:rPr>
              <w:t>Savanorių</w:t>
            </w:r>
            <w:proofErr w:type="spellEnd"/>
            <w:r w:rsidR="003475FA">
              <w:rPr>
                <w:sz w:val="24"/>
                <w:szCs w:val="24"/>
              </w:rPr>
              <w:t xml:space="preserve"> pr. 8, Vilnius) </w:t>
            </w:r>
            <w:proofErr w:type="spellStart"/>
            <w:r w:rsidR="003475FA">
              <w:rPr>
                <w:sz w:val="24"/>
                <w:szCs w:val="24"/>
              </w:rPr>
              <w:t>mūrinės</w:t>
            </w:r>
            <w:proofErr w:type="spellEnd"/>
            <w:r w:rsidR="003475FA">
              <w:rPr>
                <w:sz w:val="24"/>
                <w:szCs w:val="24"/>
              </w:rPr>
              <w:t xml:space="preserve"> </w:t>
            </w:r>
            <w:proofErr w:type="spellStart"/>
            <w:r w:rsidR="003475FA">
              <w:rPr>
                <w:sz w:val="24"/>
                <w:szCs w:val="24"/>
              </w:rPr>
              <w:t>tvoros</w:t>
            </w:r>
            <w:proofErr w:type="spellEnd"/>
            <w:r w:rsidR="009E3172" w:rsidRPr="00290A32">
              <w:rPr>
                <w:sz w:val="24"/>
                <w:szCs w:val="24"/>
                <w:lang w:val="lt-LT"/>
              </w:rPr>
              <w:t xml:space="preserve"> remonto darbus (toliau – darbai)</w:t>
            </w:r>
            <w:r w:rsidR="00C33D44" w:rsidRPr="00290A32">
              <w:rPr>
                <w:sz w:val="24"/>
                <w:szCs w:val="24"/>
                <w:lang w:val="lt-LT" w:eastAsia="en-US"/>
              </w:rPr>
              <w:t xml:space="preserve"> </w:t>
            </w:r>
            <w:r w:rsidR="00C33D44">
              <w:rPr>
                <w:sz w:val="24"/>
                <w:szCs w:val="24"/>
                <w:lang w:val="lt-LT" w:eastAsia="en-US"/>
              </w:rPr>
              <w:t>pagal 202</w:t>
            </w:r>
            <w:r w:rsidR="00CC4DBE">
              <w:rPr>
                <w:sz w:val="24"/>
                <w:szCs w:val="24"/>
                <w:lang w:val="lt-LT" w:eastAsia="en-US"/>
              </w:rPr>
              <w:t>5</w:t>
            </w:r>
            <w:r w:rsidR="00C33D44">
              <w:rPr>
                <w:sz w:val="24"/>
                <w:szCs w:val="24"/>
                <w:lang w:val="lt-LT" w:eastAsia="en-US"/>
              </w:rPr>
              <w:t>-</w:t>
            </w:r>
            <w:r w:rsidR="003475FA">
              <w:rPr>
                <w:sz w:val="24"/>
                <w:szCs w:val="24"/>
                <w:lang w:val="lt-LT" w:eastAsia="en-US"/>
              </w:rPr>
              <w:t>07-04</w:t>
            </w:r>
            <w:r w:rsidR="00BA69F4">
              <w:rPr>
                <w:sz w:val="24"/>
                <w:szCs w:val="24"/>
                <w:lang w:val="lt-LT" w:eastAsia="en-US"/>
              </w:rPr>
              <w:t xml:space="preserve"> </w:t>
            </w:r>
            <w:proofErr w:type="gramStart"/>
            <w:r w:rsidR="00BA69F4">
              <w:rPr>
                <w:sz w:val="24"/>
                <w:szCs w:val="24"/>
                <w:lang w:val="lt-LT" w:eastAsia="en-US"/>
              </w:rPr>
              <w:t>patvirtint</w:t>
            </w:r>
            <w:r w:rsidR="002F0ADF">
              <w:rPr>
                <w:sz w:val="24"/>
                <w:szCs w:val="24"/>
                <w:lang w:val="lt-LT" w:eastAsia="en-US"/>
              </w:rPr>
              <w:t>ą</w:t>
            </w:r>
            <w:r w:rsidRPr="00001CDC">
              <w:rPr>
                <w:sz w:val="24"/>
                <w:szCs w:val="24"/>
                <w:lang w:val="lt-LT" w:eastAsia="en-US"/>
              </w:rPr>
              <w:t xml:space="preserve"> </w:t>
            </w:r>
            <w:r w:rsidR="00EE6842">
              <w:rPr>
                <w:sz w:val="24"/>
                <w:szCs w:val="24"/>
                <w:lang w:val="lt-LT" w:eastAsia="en-US"/>
              </w:rPr>
              <w:t xml:space="preserve"> p</w:t>
            </w:r>
            <w:r w:rsidRPr="00001CDC">
              <w:rPr>
                <w:sz w:val="24"/>
                <w:szCs w:val="24"/>
                <w:lang w:val="lt-LT" w:eastAsia="en-US"/>
              </w:rPr>
              <w:t>aprastojo</w:t>
            </w:r>
            <w:proofErr w:type="gramEnd"/>
            <w:r w:rsidR="00FE30C0">
              <w:rPr>
                <w:sz w:val="24"/>
                <w:szCs w:val="24"/>
                <w:lang w:val="lt-LT" w:eastAsia="en-US"/>
              </w:rPr>
              <w:t xml:space="preserve"> remonto darbų kiekio</w:t>
            </w:r>
            <w:r w:rsidR="00BA69F4">
              <w:rPr>
                <w:sz w:val="24"/>
                <w:szCs w:val="24"/>
                <w:lang w:val="lt-LT" w:eastAsia="en-US"/>
              </w:rPr>
              <w:t xml:space="preserve"> žiniaraš</w:t>
            </w:r>
            <w:r w:rsidR="002F0ADF">
              <w:rPr>
                <w:sz w:val="24"/>
                <w:szCs w:val="24"/>
                <w:lang w:val="lt-LT" w:eastAsia="en-US"/>
              </w:rPr>
              <w:t>tį</w:t>
            </w:r>
            <w:r w:rsidRPr="00001CDC">
              <w:rPr>
                <w:sz w:val="24"/>
                <w:szCs w:val="24"/>
                <w:lang w:val="lt-LT" w:eastAsia="en-US"/>
              </w:rPr>
              <w:t xml:space="preserve"> </w:t>
            </w:r>
            <w:r w:rsidR="00EF7245" w:rsidRPr="00001CDC">
              <w:rPr>
                <w:sz w:val="24"/>
                <w:szCs w:val="24"/>
                <w:lang w:val="lt-LT" w:eastAsia="en-US"/>
              </w:rPr>
              <w:t xml:space="preserve">Nr. </w:t>
            </w:r>
            <w:r w:rsidR="00BA69F4">
              <w:rPr>
                <w:sz w:val="24"/>
                <w:szCs w:val="24"/>
                <w:lang w:val="lt-LT" w:eastAsia="en-US"/>
              </w:rPr>
              <w:t>ST-</w:t>
            </w:r>
            <w:r w:rsidR="003475FA">
              <w:rPr>
                <w:sz w:val="24"/>
                <w:szCs w:val="24"/>
                <w:lang w:val="lt-LT" w:eastAsia="en-US"/>
              </w:rPr>
              <w:t>116</w:t>
            </w:r>
            <w:r w:rsidR="00977B91" w:rsidRPr="00001CDC">
              <w:rPr>
                <w:sz w:val="24"/>
                <w:szCs w:val="24"/>
                <w:lang w:val="lt-LT" w:eastAsia="en-US"/>
              </w:rPr>
              <w:t xml:space="preserve"> (toliau – </w:t>
            </w:r>
            <w:r w:rsidR="003475FA">
              <w:rPr>
                <w:sz w:val="24"/>
                <w:szCs w:val="24"/>
                <w:lang w:val="lt-LT" w:eastAsia="en-US"/>
              </w:rPr>
              <w:t>1</w:t>
            </w:r>
            <w:r w:rsidR="002F5DB9">
              <w:rPr>
                <w:sz w:val="24"/>
                <w:szCs w:val="24"/>
                <w:lang w:val="lt-LT" w:eastAsia="en-US"/>
              </w:rPr>
              <w:t xml:space="preserve"> priedas</w:t>
            </w:r>
            <w:r w:rsidR="00977B91" w:rsidRPr="00001CDC">
              <w:rPr>
                <w:sz w:val="24"/>
                <w:szCs w:val="24"/>
                <w:lang w:val="lt-LT" w:eastAsia="en-US"/>
              </w:rPr>
              <w:t>)</w:t>
            </w:r>
            <w:r w:rsidR="003475FA">
              <w:rPr>
                <w:sz w:val="24"/>
                <w:szCs w:val="24"/>
                <w:lang w:val="lt-LT" w:eastAsia="en-US"/>
              </w:rPr>
              <w:t xml:space="preserve"> ir 2025-07-08 patvirtintą paprastojo remonto darbų kiekio žiniaraštį Nr. ST-119 (toliau – 2 priedas)</w:t>
            </w:r>
            <w:r w:rsidRPr="00001CDC">
              <w:rPr>
                <w:sz w:val="24"/>
                <w:szCs w:val="24"/>
                <w:lang w:val="lt-LT" w:eastAsia="en-US"/>
              </w:rPr>
              <w:t>, o Užsakovas įsipareigoja priimti tinkamai atliktus darbus bei už juos sumokėti Rangovui Sutartyje ir jos prieduose nustatyta tvarka ir sąlygomis.</w:t>
            </w:r>
          </w:p>
          <w:p w14:paraId="03BA1254" w14:textId="2F2B38A7" w:rsidR="0097361F" w:rsidRPr="00D77FC5" w:rsidRDefault="0097361F" w:rsidP="00290A32">
            <w:pPr>
              <w:jc w:val="both"/>
              <w:rPr>
                <w:sz w:val="16"/>
                <w:szCs w:val="16"/>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63F65032"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yra ........... Eur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Eur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2829300B" w:rsidR="00CF58E9" w:rsidRPr="00EF7245" w:rsidRDefault="00EF7245" w:rsidP="00290A32">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4D6140">
              <w:rPr>
                <w:sz w:val="24"/>
                <w:szCs w:val="24"/>
                <w:lang w:val="lt-LT"/>
              </w:rPr>
              <w:t xml:space="preserve"> papunktyje.</w:t>
            </w:r>
          </w:p>
        </w:tc>
      </w:tr>
      <w:tr w:rsidR="0097361F" w:rsidRPr="00EE6842"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lastRenderedPageBreak/>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2B28464D" w14:textId="4F24D383" w:rsidR="0097361F" w:rsidRPr="00D77FC5" w:rsidRDefault="0097361F" w:rsidP="00290A32">
            <w:pPr>
              <w:jc w:val="both"/>
              <w:rPr>
                <w:sz w:val="16"/>
                <w:szCs w:val="16"/>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6B8EEBAE" w:rsidR="0097361F" w:rsidRPr="00280E02" w:rsidRDefault="0097361F" w:rsidP="008D65BC">
            <w:pPr>
              <w:jc w:val="both"/>
              <w:rPr>
                <w:sz w:val="24"/>
                <w:szCs w:val="24"/>
                <w:lang w:val="lt-LT"/>
              </w:rPr>
            </w:pPr>
            <w:r w:rsidRPr="002036FB">
              <w:rPr>
                <w:sz w:val="24"/>
                <w:szCs w:val="24"/>
                <w:lang w:val="lt-LT"/>
              </w:rPr>
              <w:t>4.1. Darbų atlikimo vieta –</w:t>
            </w:r>
            <w:r w:rsidR="00CC4DBE">
              <w:rPr>
                <w:sz w:val="24"/>
                <w:szCs w:val="24"/>
                <w:lang w:val="lt-LT"/>
              </w:rPr>
              <w:t xml:space="preserve"> </w:t>
            </w:r>
            <w:r w:rsidR="00BD655F">
              <w:rPr>
                <w:sz w:val="24"/>
                <w:szCs w:val="24"/>
                <w:lang w:val="lt-LT"/>
              </w:rPr>
              <w:t>Savanorių pr. 8, Vilnius</w:t>
            </w:r>
            <w:r w:rsidR="00045573">
              <w:rPr>
                <w:sz w:val="24"/>
                <w:szCs w:val="24"/>
                <w:lang w:val="lt-LT"/>
              </w:rPr>
              <w:t>.</w:t>
            </w:r>
            <w:r w:rsidRPr="00280E02">
              <w:rPr>
                <w:sz w:val="24"/>
                <w:szCs w:val="24"/>
                <w:lang w:val="lt-LT"/>
              </w:rPr>
              <w:t xml:space="preserve"> </w:t>
            </w:r>
          </w:p>
          <w:p w14:paraId="7DFBFDD7" w14:textId="7C762FB8" w:rsidR="00045573" w:rsidRPr="00453AA7" w:rsidRDefault="0097361F" w:rsidP="00787A5C">
            <w:pPr>
              <w:jc w:val="both"/>
              <w:rPr>
                <w:rFonts w:eastAsia="Calibri"/>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BD655F">
              <w:rPr>
                <w:sz w:val="24"/>
                <w:szCs w:val="24"/>
                <w:lang w:val="lt-LT"/>
              </w:rPr>
              <w:t>4</w:t>
            </w:r>
            <w:r w:rsidRPr="00280E02">
              <w:rPr>
                <w:sz w:val="24"/>
                <w:szCs w:val="24"/>
                <w:lang w:val="lt-LT"/>
              </w:rPr>
              <w:t xml:space="preserve"> </w:t>
            </w:r>
            <w:r w:rsidR="0083789D">
              <w:rPr>
                <w:sz w:val="24"/>
                <w:szCs w:val="24"/>
                <w:lang w:val="lt-LT"/>
              </w:rPr>
              <w:t xml:space="preserve">(keturi) </w:t>
            </w:r>
            <w:r w:rsidRPr="00280E02">
              <w:rPr>
                <w:sz w:val="24"/>
                <w:szCs w:val="24"/>
                <w:lang w:val="lt-LT"/>
              </w:rPr>
              <w:t>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nuo</w:t>
            </w:r>
            <w:r w:rsidR="00A9657C">
              <w:rPr>
                <w:sz w:val="24"/>
                <w:szCs w:val="24"/>
                <w:lang w:val="lt-LT"/>
              </w:rPr>
              <w:t xml:space="preserve"> sutarties pasirašymo</w:t>
            </w:r>
            <w:r w:rsidR="00BF3D07">
              <w:rPr>
                <w:sz w:val="24"/>
                <w:szCs w:val="24"/>
                <w:lang w:val="lt-LT"/>
              </w:rPr>
              <w:t xml:space="preserve"> (I etapo darbų atlikimo terminas – 2 mėn.</w:t>
            </w:r>
            <w:r w:rsidR="004C464F">
              <w:rPr>
                <w:sz w:val="24"/>
                <w:szCs w:val="24"/>
                <w:lang w:val="lt-LT"/>
              </w:rPr>
              <w:t xml:space="preserve"> nuo sutarties įsigaliojimo</w:t>
            </w:r>
            <w:r w:rsidR="00BF3D07">
              <w:rPr>
                <w:sz w:val="24"/>
                <w:szCs w:val="24"/>
                <w:lang w:val="lt-LT"/>
              </w:rPr>
              <w:t>, II etapo darbų atlikimo terminas</w:t>
            </w:r>
            <w:r w:rsidR="00BD655F">
              <w:rPr>
                <w:sz w:val="24"/>
                <w:szCs w:val="24"/>
                <w:lang w:val="lt-LT"/>
              </w:rPr>
              <w:t xml:space="preserve"> – 2 mėn</w:t>
            </w:r>
            <w:r w:rsidR="00BD655F" w:rsidRPr="002D7151">
              <w:rPr>
                <w:sz w:val="24"/>
                <w:szCs w:val="24"/>
                <w:lang w:val="lt-LT"/>
              </w:rPr>
              <w:t>.</w:t>
            </w:r>
            <w:r w:rsidR="004C464F" w:rsidRPr="002D7151">
              <w:rPr>
                <w:sz w:val="24"/>
                <w:szCs w:val="24"/>
                <w:lang w:val="lt-LT"/>
              </w:rPr>
              <w:t xml:space="preserve"> atlikus</w:t>
            </w:r>
            <w:r w:rsidR="004C464F">
              <w:rPr>
                <w:sz w:val="24"/>
                <w:szCs w:val="24"/>
                <w:lang w:val="lt-LT"/>
              </w:rPr>
              <w:t xml:space="preserve"> </w:t>
            </w:r>
            <w:r w:rsidR="002D7151">
              <w:rPr>
                <w:sz w:val="24"/>
                <w:szCs w:val="24"/>
                <w:lang w:val="lt-LT"/>
              </w:rPr>
              <w:t>I etapo darbus</w:t>
            </w:r>
            <w:r w:rsidR="00453AA7" w:rsidRPr="00453AA7">
              <w:rPr>
                <w:rFonts w:eastAsia="Calibri"/>
                <w:sz w:val="24"/>
                <w:szCs w:val="24"/>
                <w:lang w:val="lt-LT"/>
              </w:rPr>
              <w:t xml:space="preserve">, bet ne vėliau kaip 4 </w:t>
            </w:r>
            <w:r w:rsidR="00453AA7" w:rsidRPr="00453AA7">
              <w:rPr>
                <w:rFonts w:eastAsia="Calibri"/>
                <w:sz w:val="24"/>
                <w:szCs w:val="24"/>
                <w:lang w:val="lt-LT"/>
              </w:rPr>
              <w:t>mėn. nuo sutarties įsigaliojimo</w:t>
            </w:r>
            <w:r w:rsidR="00BD655F" w:rsidRPr="00453AA7">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ūkio subjektai, kurių pajėgumais remiamasi, rangovo statyboje naudojamų statybos produktų (įskaitant jų sudedamąsias dalis) gamintojas ar juos kontroliuojantys asmenys nėra registruoti</w:t>
            </w:r>
            <w:bookmarkStart w:id="0" w:name="_GoBack"/>
            <w:bookmarkEnd w:id="0"/>
            <w:r w:rsidRPr="00DF29AA">
              <w:rPr>
                <w:sz w:val="24"/>
                <w:szCs w:val="24"/>
                <w:lang w:val="lt-LT"/>
              </w:rPr>
              <w:t xml:space="preserve">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5314C6">
        <w:trPr>
          <w:trHeight w:val="3534"/>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Pr="00BD655F"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 xml:space="preserve">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w:t>
            </w:r>
            <w:r w:rsidRPr="00BD655F">
              <w:rPr>
                <w:sz w:val="24"/>
                <w:szCs w:val="24"/>
                <w:lang w:val="lt-LT"/>
              </w:rPr>
              <w:t>yra esminė sutarties sąlyga.</w:t>
            </w:r>
          </w:p>
          <w:p w14:paraId="3AEEFE64" w14:textId="77777777" w:rsidR="00773B8C" w:rsidRPr="00BD655F"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sidRPr="00BD655F">
              <w:rPr>
                <w:sz w:val="24"/>
                <w:szCs w:val="24"/>
              </w:rPr>
              <w:t xml:space="preserve">Rangovas įsipareigoja </w:t>
            </w:r>
            <w:r w:rsidRPr="00BD655F">
              <w:rPr>
                <w:sz w:val="24"/>
                <w:szCs w:val="24"/>
                <w:lang w:eastAsia="lt-LT"/>
              </w:rPr>
              <w:t>po Sutarties pasirašymo per 3 darbo dienas pateikti Užsakovui lokalines sąmatas vienetiniais įkainiais ir Kalendorinį darbų vykdymo grafiką.</w:t>
            </w:r>
          </w:p>
          <w:p w14:paraId="64EF07C1" w14:textId="1DC9FE5E" w:rsidR="00DF29AA" w:rsidRPr="00BD655F" w:rsidRDefault="00DF29AA" w:rsidP="00DF29AA">
            <w:pPr>
              <w:jc w:val="both"/>
              <w:rPr>
                <w:sz w:val="24"/>
                <w:szCs w:val="24"/>
                <w:lang w:val="lt-LT"/>
              </w:rPr>
            </w:pPr>
            <w:r w:rsidRPr="00BD655F">
              <w:rPr>
                <w:sz w:val="24"/>
                <w:szCs w:val="24"/>
                <w:lang w:val="lt-LT"/>
              </w:rPr>
              <w:t>5.</w:t>
            </w:r>
            <w:r w:rsidR="00F60F81" w:rsidRPr="00BD655F">
              <w:rPr>
                <w:sz w:val="24"/>
                <w:szCs w:val="24"/>
                <w:lang w:val="lt-LT"/>
              </w:rPr>
              <w:t>3</w:t>
            </w:r>
            <w:r w:rsidRPr="00BD655F">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BD655F" w:rsidRDefault="00DF29AA" w:rsidP="00DF29AA">
            <w:pPr>
              <w:jc w:val="both"/>
              <w:rPr>
                <w:sz w:val="24"/>
                <w:szCs w:val="24"/>
                <w:lang w:val="lt-LT"/>
              </w:rPr>
            </w:pPr>
            <w:r w:rsidRPr="00BD655F">
              <w:rPr>
                <w:sz w:val="24"/>
                <w:szCs w:val="24"/>
                <w:lang w:val="lt-LT"/>
              </w:rPr>
              <w:t>5.</w:t>
            </w:r>
            <w:r w:rsidR="00F60F81" w:rsidRPr="00BD655F">
              <w:rPr>
                <w:sz w:val="24"/>
                <w:szCs w:val="24"/>
                <w:lang w:val="lt-LT"/>
              </w:rPr>
              <w:t>4</w:t>
            </w:r>
            <w:r w:rsidRPr="00BD655F">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BD655F" w:rsidRDefault="00DF29AA" w:rsidP="00DF29AA">
            <w:pPr>
              <w:jc w:val="both"/>
              <w:rPr>
                <w:sz w:val="24"/>
                <w:szCs w:val="24"/>
                <w:lang w:val="lt-LT"/>
              </w:rPr>
            </w:pPr>
            <w:r w:rsidRPr="00BD655F">
              <w:rPr>
                <w:sz w:val="24"/>
                <w:szCs w:val="24"/>
                <w:lang w:val="lt-LT"/>
              </w:rPr>
              <w:t>5.</w:t>
            </w:r>
            <w:r w:rsidR="00F60F81" w:rsidRPr="00BD655F">
              <w:rPr>
                <w:sz w:val="24"/>
                <w:szCs w:val="24"/>
                <w:lang w:val="lt-LT"/>
              </w:rPr>
              <w:t>5</w:t>
            </w:r>
            <w:r w:rsidRPr="00BD655F">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BD655F" w:rsidRDefault="00DF29AA" w:rsidP="00DF29AA">
            <w:pPr>
              <w:jc w:val="both"/>
              <w:rPr>
                <w:sz w:val="24"/>
                <w:szCs w:val="24"/>
                <w:lang w:val="lt-LT"/>
              </w:rPr>
            </w:pPr>
            <w:r w:rsidRPr="00BD655F">
              <w:rPr>
                <w:sz w:val="24"/>
                <w:szCs w:val="24"/>
                <w:lang w:val="lt-LT"/>
              </w:rPr>
              <w:t>5.</w:t>
            </w:r>
            <w:r w:rsidR="00F60F81" w:rsidRPr="00BD655F">
              <w:rPr>
                <w:sz w:val="24"/>
                <w:szCs w:val="24"/>
                <w:lang w:val="lt-LT"/>
              </w:rPr>
              <w:t>6.</w:t>
            </w:r>
            <w:r w:rsidRPr="00BD655F">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BD655F">
              <w:rPr>
                <w:sz w:val="24"/>
                <w:szCs w:val="24"/>
                <w:lang w:val="lt-LT"/>
              </w:rPr>
              <w:lastRenderedPageBreak/>
              <w:t>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BD655F">
              <w:rPr>
                <w:sz w:val="24"/>
                <w:szCs w:val="24"/>
                <w:lang w:val="lt-LT"/>
              </w:rPr>
              <w:t>5.</w:t>
            </w:r>
            <w:r w:rsidR="00F60F81" w:rsidRPr="00BD655F">
              <w:rPr>
                <w:sz w:val="24"/>
                <w:szCs w:val="24"/>
                <w:lang w:val="lt-LT"/>
              </w:rPr>
              <w:t>7</w:t>
            </w:r>
            <w:r w:rsidRPr="00BD655F">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w:t>
            </w:r>
            <w:r w:rsidRPr="00DF29AA">
              <w:rPr>
                <w:sz w:val="24"/>
                <w:szCs w:val="24"/>
                <w:lang w:val="lt-LT"/>
              </w:rPr>
              <w:t xml:space="preserve">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044809B8" w:rsidR="00CF58E9" w:rsidRPr="00D93CA2" w:rsidRDefault="00DB29B4" w:rsidP="004C464F">
            <w:pPr>
              <w:jc w:val="both"/>
              <w:rPr>
                <w:sz w:val="24"/>
                <w:szCs w:val="24"/>
                <w:lang w:val="lt-LT"/>
              </w:rPr>
            </w:pPr>
            <w:r w:rsidRPr="00D93CA2">
              <w:rPr>
                <w:sz w:val="24"/>
                <w:szCs w:val="24"/>
                <w:lang w:val="lt-LT"/>
              </w:rPr>
              <w:t xml:space="preserve">5.8. </w:t>
            </w:r>
            <w:r w:rsidR="004C464F" w:rsidRPr="004C464F">
              <w:rPr>
                <w:rFonts w:eastAsia="Calibri"/>
                <w:sz w:val="24"/>
                <w:szCs w:val="24"/>
                <w:lang w:val="lt-LT"/>
              </w:rPr>
              <w:t>Pirkimas vykdomas vadovaujantis Lietuvos Respublikos aplinkos ministro 2011 m. birželio 28 d. įsakymu Nr. D1-508 „Dėl aplinkos apsaugos kriterijų taikymo, vykdant žaliuosius pirkimus, tvarkos aprašo patvirtinimo“ 4.4.4.  papunkčiu.</w:t>
            </w:r>
            <w:r w:rsidR="004C464F" w:rsidRPr="004C464F">
              <w:rPr>
                <w:rFonts w:eastAsia="Calibri"/>
                <w:sz w:val="22"/>
                <w:szCs w:val="22"/>
                <w:lang w:val="lt-LT"/>
              </w:rPr>
              <w:t xml:space="preserve"> </w:t>
            </w:r>
            <w:r w:rsidR="004C464F">
              <w:rPr>
                <w:sz w:val="24"/>
                <w:szCs w:val="24"/>
                <w:lang w:val="lt-LT"/>
              </w:rPr>
              <w:t xml:space="preserve"> </w:t>
            </w:r>
            <w:r w:rsidRPr="00D93CA2">
              <w:rPr>
                <w:sz w:val="24"/>
                <w:szCs w:val="24"/>
                <w:lang w:val="lt-LT"/>
              </w:rPr>
              <w:t>Rangovas įsipareigoja</w:t>
            </w:r>
            <w:r w:rsidR="005314C6" w:rsidRPr="00D93CA2">
              <w:rPr>
                <w:sz w:val="24"/>
                <w:szCs w:val="24"/>
                <w:lang w:val="lt-LT"/>
              </w:rPr>
              <w:t xml:space="preserve"> statybvietėje susidarančias statybines atliekas rūšiuoti ir laikyti tam skirtoje žemės sklypo vietoje krūvose ar kont</w:t>
            </w:r>
            <w:r w:rsidR="00D93CA2">
              <w:rPr>
                <w:sz w:val="24"/>
                <w:szCs w:val="24"/>
                <w:lang w:val="lt-LT"/>
              </w:rPr>
              <w:t>eineriuose. Išrūšiuotas</w:t>
            </w:r>
            <w:r w:rsidR="00D93CA2" w:rsidRPr="00D93CA2">
              <w:rPr>
                <w:sz w:val="24"/>
                <w:szCs w:val="24"/>
                <w:lang w:val="lt-LT"/>
              </w:rPr>
              <w:t xml:space="preserve"> atliekas Rangovas įsipareigoja perduoti įmonėms, turinčioms </w:t>
            </w:r>
            <w:r w:rsidR="005314C6" w:rsidRPr="00D93CA2">
              <w:rPr>
                <w:sz w:val="24"/>
                <w:szCs w:val="24"/>
                <w:lang w:val="lt-LT"/>
              </w:rPr>
              <w:t xml:space="preserve"> teisę</w:t>
            </w:r>
            <w:r w:rsidR="00D93CA2" w:rsidRPr="00D93CA2">
              <w:rPr>
                <w:sz w:val="24"/>
                <w:szCs w:val="24"/>
                <w:lang w:val="lt-LT"/>
              </w:rPr>
              <w:t xml:space="preserve"> tvarkyti tokias atliekas</w:t>
            </w:r>
            <w:r w:rsidR="00D93CA2">
              <w:rPr>
                <w:sz w:val="24"/>
                <w:szCs w:val="24"/>
                <w:lang w:val="lt-LT"/>
              </w:rPr>
              <w:t xml:space="preserve"> ir pateikti U</w:t>
            </w:r>
            <w:r w:rsidR="00D93CA2">
              <w:rPr>
                <w:color w:val="000000"/>
                <w:sz w:val="24"/>
                <w:szCs w:val="24"/>
                <w:lang w:val="lt-LT"/>
              </w:rPr>
              <w:t xml:space="preserve">žsakovui atliekų pridavimą įrodančius dokumentus. </w:t>
            </w:r>
            <w:r w:rsidR="00D93CA2" w:rsidRPr="00DF29AA">
              <w:rPr>
                <w:color w:val="000000"/>
                <w:sz w:val="24"/>
                <w:szCs w:val="24"/>
                <w:lang w:val="lt-LT"/>
              </w:rPr>
              <w:t xml:space="preserve">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77D00E63" w14:textId="5C5A4BC3" w:rsidR="0097361F" w:rsidRPr="00D77FC5" w:rsidRDefault="0097361F" w:rsidP="005C190A">
            <w:pPr>
              <w:jc w:val="both"/>
              <w:rPr>
                <w:sz w:val="16"/>
                <w:szCs w:val="16"/>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1446D704" w14:textId="0F194C5D" w:rsidR="0097361F" w:rsidRPr="00D77FC5" w:rsidRDefault="0097361F" w:rsidP="005C190A">
            <w:pPr>
              <w:jc w:val="both"/>
              <w:rPr>
                <w:sz w:val="16"/>
                <w:szCs w:val="16"/>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65957460"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 xml:space="preserve">Sutartis </w:t>
            </w:r>
            <w:r w:rsidR="00000192" w:rsidRPr="004C464F">
              <w:rPr>
                <w:bCs/>
                <w:sz w:val="24"/>
                <w:szCs w:val="24"/>
                <w:lang w:val="lt-LT"/>
              </w:rPr>
              <w:t>įsigalioja Šalims pasirašius ją</w:t>
            </w:r>
            <w:r w:rsidR="004C464F" w:rsidRPr="004C464F">
              <w:rPr>
                <w:bCs/>
                <w:sz w:val="24"/>
                <w:szCs w:val="24"/>
                <w:lang w:val="lt-LT"/>
              </w:rPr>
              <w:t xml:space="preserve"> </w:t>
            </w:r>
            <w:r w:rsidR="00000192" w:rsidRPr="004C464F">
              <w:rPr>
                <w:bCs/>
                <w:sz w:val="24"/>
                <w:szCs w:val="24"/>
                <w:lang w:val="lt-LT"/>
              </w:rPr>
              <w:t>ir</w:t>
            </w:r>
            <w:r w:rsidR="00000192" w:rsidRPr="00000192">
              <w:rPr>
                <w:bCs/>
                <w:sz w:val="24"/>
                <w:szCs w:val="24"/>
                <w:lang w:val="lt-LT"/>
              </w:rPr>
              <w:t xml:space="preserve"> galioja iki visų Sutartyje numatytų įsipareigojimų įvykdymo, bet ne ilgi</w:t>
            </w:r>
            <w:r w:rsidR="00F3621C">
              <w:rPr>
                <w:bCs/>
                <w:sz w:val="24"/>
                <w:szCs w:val="24"/>
                <w:lang w:val="lt-LT"/>
              </w:rPr>
              <w:t xml:space="preserve">au kaip </w:t>
            </w:r>
            <w:r w:rsidR="0083789D">
              <w:rPr>
                <w:bCs/>
                <w:sz w:val="24"/>
                <w:szCs w:val="24"/>
                <w:lang w:val="lt-LT"/>
              </w:rPr>
              <w:t>5 (penkis)</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3E9B106A"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.5. </w:t>
            </w:r>
            <w:r w:rsidR="00E26A9D" w:rsidRPr="00995991">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58933B10" w:rsidR="0097361F" w:rsidRPr="00D10CF2" w:rsidRDefault="003A6E12" w:rsidP="005C190A">
            <w:pPr>
              <w:shd w:val="clear" w:color="auto" w:fill="FFFFFF" w:themeFill="background1"/>
              <w:jc w:val="both"/>
              <w:rPr>
                <w:bCs/>
                <w:sz w:val="16"/>
                <w:szCs w:val="16"/>
                <w:lang w:val="lt-LT"/>
              </w:rPr>
            </w:pPr>
            <w:r>
              <w:rPr>
                <w:sz w:val="24"/>
                <w:szCs w:val="24"/>
                <w:lang w:val="lt-LT"/>
              </w:rPr>
              <w:t xml:space="preserve">8.3. Sutarties pratęsimas nenumatytas. </w:t>
            </w: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3A34E884" w14:textId="2CE92817" w:rsidR="004C464F" w:rsidRPr="00EB32F4" w:rsidRDefault="0097361F" w:rsidP="004C464F">
            <w:pPr>
              <w:jc w:val="both"/>
              <w:rPr>
                <w:sz w:val="16"/>
                <w:szCs w:val="16"/>
                <w:lang w:val="lt-LT"/>
              </w:rPr>
            </w:pPr>
            <w:r w:rsidRPr="00183BDF">
              <w:rPr>
                <w:sz w:val="24"/>
                <w:szCs w:val="24"/>
                <w:lang w:val="lt-LT"/>
              </w:rPr>
              <w:t xml:space="preserve">9.1. </w:t>
            </w:r>
            <w:r w:rsidR="004C464F" w:rsidRPr="00183BDF">
              <w:rPr>
                <w:sz w:val="24"/>
                <w:szCs w:val="24"/>
                <w:lang w:val="lt-LT"/>
              </w:rPr>
              <w:t>Sutarties įvykdymo užtikrinimas – banko ar draudimo bendrovės garantijos raštas nereikalaujamas.</w:t>
            </w:r>
          </w:p>
          <w:p w14:paraId="469421EF" w14:textId="70AF511C" w:rsidR="005C190A" w:rsidRPr="00EB32F4" w:rsidRDefault="005C190A" w:rsidP="004C464F">
            <w:pPr>
              <w:jc w:val="both"/>
              <w:rPr>
                <w:sz w:val="16"/>
                <w:szCs w:val="16"/>
                <w:lang w:val="lt-LT"/>
              </w:rPr>
            </w:pPr>
          </w:p>
        </w:tc>
      </w:tr>
      <w:tr w:rsidR="0097361F" w:rsidRPr="00EE6842"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71DE490B" w:rsidR="00977B91" w:rsidRDefault="00977B91" w:rsidP="00977B91">
            <w:pPr>
              <w:jc w:val="both"/>
              <w:rPr>
                <w:i/>
                <w:sz w:val="24"/>
                <w:szCs w:val="24"/>
                <w:lang w:val="lt-LT"/>
              </w:rPr>
            </w:pPr>
            <w:r w:rsidRPr="008E78BF">
              <w:rPr>
                <w:sz w:val="24"/>
                <w:szCs w:val="24"/>
                <w:lang w:val="lt-LT"/>
              </w:rPr>
              <w:t>10.4. Užsakovo atsakingas a</w:t>
            </w:r>
            <w:r w:rsidR="00B46BE6" w:rsidRPr="008E78BF">
              <w:rPr>
                <w:sz w:val="24"/>
                <w:szCs w:val="24"/>
                <w:lang w:val="lt-LT"/>
              </w:rPr>
              <w:t>smuo už Sutarties koordinavimą –</w:t>
            </w:r>
          </w:p>
          <w:p w14:paraId="1020970A" w14:textId="55888835" w:rsidR="00B46BE6" w:rsidRDefault="00977B91" w:rsidP="00977B91">
            <w:pPr>
              <w:jc w:val="both"/>
              <w:rPr>
                <w:sz w:val="24"/>
                <w:szCs w:val="24"/>
                <w:lang w:val="lt-LT"/>
              </w:rPr>
            </w:pPr>
            <w:r w:rsidRPr="008E78BF">
              <w:rPr>
                <w:sz w:val="24"/>
                <w:szCs w:val="24"/>
                <w:lang w:val="lt-LT"/>
              </w:rPr>
              <w:t>Užsakovo atstovas, atsakingas už Sutarties vykdymą</w:t>
            </w:r>
            <w:r w:rsidR="00682643">
              <w:rPr>
                <w:sz w:val="24"/>
                <w:szCs w:val="24"/>
                <w:lang w:val="lt-LT"/>
              </w:rPr>
              <w:t xml:space="preserve"> </w:t>
            </w:r>
            <w:r w:rsidR="00B46BE6" w:rsidRPr="008E78BF">
              <w:rPr>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aplinkybių egzistavimo įrodymus</w:t>
            </w:r>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2C4E1746" w:rsidR="0097361F"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5C190A">
              <w:rPr>
                <w:b/>
                <w:sz w:val="24"/>
                <w:szCs w:val="24"/>
                <w:lang w:val="lt-LT"/>
              </w:rPr>
              <w:t>priedai</w:t>
            </w:r>
            <w:r w:rsidR="0097361F" w:rsidRPr="00AB35C8">
              <w:rPr>
                <w:b/>
                <w:sz w:val="24"/>
                <w:szCs w:val="24"/>
                <w:lang w:val="lt-LT"/>
              </w:rPr>
              <w:t xml:space="preserve"> </w:t>
            </w:r>
          </w:p>
          <w:p w14:paraId="6522872A" w14:textId="6C53EB31" w:rsidR="00BD655F" w:rsidRDefault="00BD655F" w:rsidP="008D65BC">
            <w:pPr>
              <w:ind w:left="34"/>
              <w:rPr>
                <w:sz w:val="24"/>
                <w:szCs w:val="24"/>
                <w:lang w:val="lt-LT" w:eastAsia="en-US"/>
              </w:rPr>
            </w:pPr>
            <w:r>
              <w:rPr>
                <w:sz w:val="24"/>
                <w:szCs w:val="24"/>
                <w:lang w:val="lt-LT"/>
              </w:rPr>
              <w:t>12.1.</w:t>
            </w:r>
            <w:r w:rsidRPr="00BD655F">
              <w:rPr>
                <w:sz w:val="24"/>
                <w:szCs w:val="24"/>
                <w:lang w:val="lt-LT"/>
              </w:rPr>
              <w:t xml:space="preserve"> 1 priedas </w:t>
            </w:r>
            <w:r w:rsidRPr="00BD655F">
              <w:rPr>
                <w:sz w:val="24"/>
                <w:szCs w:val="24"/>
                <w:lang w:val="lt-LT" w:eastAsia="en-US"/>
              </w:rPr>
              <w:t>„</w:t>
            </w:r>
            <w:r>
              <w:rPr>
                <w:sz w:val="24"/>
                <w:szCs w:val="24"/>
                <w:lang w:val="lt-LT" w:eastAsia="en-US"/>
              </w:rPr>
              <w:t>P</w:t>
            </w:r>
            <w:r w:rsidRPr="00AB35C8">
              <w:rPr>
                <w:sz w:val="24"/>
                <w:szCs w:val="24"/>
                <w:lang w:val="lt-LT" w:eastAsia="en-US"/>
              </w:rPr>
              <w:t>aprastojo remonto darbų kieki</w:t>
            </w:r>
            <w:r>
              <w:rPr>
                <w:sz w:val="24"/>
                <w:szCs w:val="24"/>
                <w:lang w:val="lt-LT" w:eastAsia="en-US"/>
              </w:rPr>
              <w:t>o</w:t>
            </w:r>
            <w:r w:rsidRPr="00AB35C8">
              <w:rPr>
                <w:sz w:val="24"/>
                <w:szCs w:val="24"/>
                <w:lang w:val="lt-LT" w:eastAsia="en-US"/>
              </w:rPr>
              <w:t xml:space="preserve"> žiniaraštis</w:t>
            </w:r>
            <w:r>
              <w:rPr>
                <w:sz w:val="24"/>
                <w:szCs w:val="24"/>
                <w:lang w:val="lt-LT" w:eastAsia="en-US"/>
              </w:rPr>
              <w:t xml:space="preserve"> Nr. ST-116“, 16</w:t>
            </w:r>
            <w:r w:rsidRPr="00C0554C">
              <w:rPr>
                <w:color w:val="FF0000"/>
                <w:sz w:val="24"/>
                <w:szCs w:val="24"/>
                <w:lang w:val="lt-LT" w:eastAsia="en-US"/>
              </w:rPr>
              <w:t xml:space="preserve"> </w:t>
            </w:r>
            <w:r w:rsidRPr="00502ED6">
              <w:rPr>
                <w:sz w:val="24"/>
                <w:szCs w:val="24"/>
                <w:lang w:val="lt-LT" w:eastAsia="en-US"/>
              </w:rPr>
              <w:t>lap</w:t>
            </w:r>
            <w:r>
              <w:rPr>
                <w:sz w:val="24"/>
                <w:szCs w:val="24"/>
                <w:lang w:val="lt-LT" w:eastAsia="en-US"/>
              </w:rPr>
              <w:t>ų</w:t>
            </w:r>
            <w:r w:rsidRPr="00502ED6">
              <w:rPr>
                <w:sz w:val="24"/>
                <w:szCs w:val="24"/>
                <w:lang w:val="lt-LT" w:eastAsia="en-US"/>
              </w:rPr>
              <w:t>.</w:t>
            </w:r>
          </w:p>
          <w:p w14:paraId="1D30D123" w14:textId="4B934DC0" w:rsidR="00BD655F" w:rsidRPr="00BD655F" w:rsidRDefault="00BD655F" w:rsidP="00BD655F">
            <w:pPr>
              <w:ind w:left="34"/>
              <w:rPr>
                <w:sz w:val="24"/>
                <w:szCs w:val="24"/>
                <w:lang w:val="lt-LT" w:eastAsia="en-US"/>
              </w:rPr>
            </w:pPr>
            <w:r>
              <w:rPr>
                <w:sz w:val="24"/>
                <w:szCs w:val="24"/>
                <w:lang w:val="lt-LT" w:eastAsia="en-US"/>
              </w:rPr>
              <w:t xml:space="preserve">12.2. 2 priedas </w:t>
            </w:r>
            <w:r w:rsidRPr="00BD655F">
              <w:rPr>
                <w:sz w:val="24"/>
                <w:szCs w:val="24"/>
                <w:lang w:val="lt-LT" w:eastAsia="en-US"/>
              </w:rPr>
              <w:t>„</w:t>
            </w:r>
            <w:r>
              <w:rPr>
                <w:sz w:val="24"/>
                <w:szCs w:val="24"/>
                <w:lang w:val="lt-LT" w:eastAsia="en-US"/>
              </w:rPr>
              <w:t>P</w:t>
            </w:r>
            <w:r w:rsidRPr="00AB35C8">
              <w:rPr>
                <w:sz w:val="24"/>
                <w:szCs w:val="24"/>
                <w:lang w:val="lt-LT" w:eastAsia="en-US"/>
              </w:rPr>
              <w:t>aprastojo remonto darbų kieki</w:t>
            </w:r>
            <w:r>
              <w:rPr>
                <w:sz w:val="24"/>
                <w:szCs w:val="24"/>
                <w:lang w:val="lt-LT" w:eastAsia="en-US"/>
              </w:rPr>
              <w:t>o</w:t>
            </w:r>
            <w:r w:rsidRPr="00AB35C8">
              <w:rPr>
                <w:sz w:val="24"/>
                <w:szCs w:val="24"/>
                <w:lang w:val="lt-LT" w:eastAsia="en-US"/>
              </w:rPr>
              <w:t xml:space="preserve"> žiniaraštis</w:t>
            </w:r>
            <w:r>
              <w:rPr>
                <w:sz w:val="24"/>
                <w:szCs w:val="24"/>
                <w:lang w:val="lt-LT" w:eastAsia="en-US"/>
              </w:rPr>
              <w:t xml:space="preserve"> Nr. ST-119“, 11</w:t>
            </w:r>
            <w:r w:rsidRPr="00C0554C">
              <w:rPr>
                <w:color w:val="FF0000"/>
                <w:sz w:val="24"/>
                <w:szCs w:val="24"/>
                <w:lang w:val="lt-LT" w:eastAsia="en-US"/>
              </w:rPr>
              <w:t xml:space="preserve"> </w:t>
            </w:r>
            <w:r w:rsidRPr="00502ED6">
              <w:rPr>
                <w:sz w:val="24"/>
                <w:szCs w:val="24"/>
                <w:lang w:val="lt-LT" w:eastAsia="en-US"/>
              </w:rPr>
              <w:t>lap</w:t>
            </w:r>
            <w:r>
              <w:rPr>
                <w:sz w:val="24"/>
                <w:szCs w:val="24"/>
                <w:lang w:val="lt-LT" w:eastAsia="en-US"/>
              </w:rPr>
              <w:t>ų</w:t>
            </w:r>
            <w:r w:rsidRPr="00502ED6">
              <w:rPr>
                <w:sz w:val="24"/>
                <w:szCs w:val="24"/>
                <w:lang w:val="lt-LT" w:eastAsia="en-US"/>
              </w:rPr>
              <w:t>.</w:t>
            </w:r>
          </w:p>
          <w:p w14:paraId="70562A83" w14:textId="561C1FC7" w:rsidR="008E78BF" w:rsidRPr="00AB35C8" w:rsidRDefault="00BD655F" w:rsidP="008E78BF">
            <w:pPr>
              <w:tabs>
                <w:tab w:val="left" w:pos="1134"/>
              </w:tabs>
              <w:suppressAutoHyphens/>
              <w:rPr>
                <w:sz w:val="24"/>
                <w:szCs w:val="24"/>
                <w:lang w:val="lt-LT"/>
              </w:rPr>
            </w:pPr>
            <w:r>
              <w:rPr>
                <w:kern w:val="1"/>
                <w:sz w:val="24"/>
                <w:szCs w:val="24"/>
                <w:lang w:val="lt-LT"/>
              </w:rPr>
              <w:t>12. 3</w:t>
            </w:r>
            <w:r w:rsidR="008E78BF" w:rsidRPr="00C00A19">
              <w:rPr>
                <w:kern w:val="1"/>
                <w:sz w:val="24"/>
                <w:szCs w:val="24"/>
                <w:lang w:val="lt-LT"/>
              </w:rPr>
              <w:t xml:space="preserve">. </w:t>
            </w:r>
            <w:r>
              <w:rPr>
                <w:sz w:val="24"/>
                <w:szCs w:val="24"/>
                <w:lang w:val="lt-LT"/>
              </w:rPr>
              <w:t xml:space="preserve">3 </w:t>
            </w:r>
            <w:r w:rsidR="001967CB" w:rsidRPr="00C00A19">
              <w:rPr>
                <w:sz w:val="24"/>
                <w:szCs w:val="24"/>
                <w:lang w:val="lt-LT"/>
              </w:rPr>
              <w:t>priedas ,,</w:t>
            </w:r>
            <w:r w:rsidR="00BA69F4" w:rsidRPr="00C00A19">
              <w:rPr>
                <w:sz w:val="24"/>
                <w:szCs w:val="24"/>
                <w:lang w:val="lt-LT"/>
              </w:rPr>
              <w:t>V</w:t>
            </w:r>
            <w:r w:rsidR="008E78BF" w:rsidRPr="00C00A19">
              <w:rPr>
                <w:sz w:val="24"/>
                <w:szCs w:val="24"/>
                <w:lang w:val="lt-LT"/>
              </w:rPr>
              <w:t>iešojo pirkimo metu pateiktas Rangovo pasiūlymas</w:t>
            </w:r>
            <w:r w:rsidR="00B07339" w:rsidRPr="00C00A19">
              <w:rPr>
                <w:sz w:val="24"/>
                <w:szCs w:val="24"/>
                <w:lang w:val="lt-LT"/>
              </w:rPr>
              <w:t>“</w:t>
            </w:r>
            <w:r w:rsidR="006A2955">
              <w:rPr>
                <w:sz w:val="24"/>
                <w:szCs w:val="24"/>
                <w:lang w:val="lt-LT"/>
              </w:rPr>
              <w:t>, ...lapų</w:t>
            </w:r>
            <w:r w:rsidR="008E78BF" w:rsidRPr="00C00A19">
              <w:rPr>
                <w:sz w:val="24"/>
                <w:szCs w:val="24"/>
                <w:lang w:val="lt-LT"/>
              </w:rPr>
              <w:t>;</w:t>
            </w:r>
          </w:p>
          <w:p w14:paraId="012B9C32" w14:textId="37DE9064" w:rsidR="0097361F" w:rsidRPr="00F3299F" w:rsidRDefault="0097361F" w:rsidP="00BD655F">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2D48B2" w:rsidRDefault="0097361F" w:rsidP="008D65BC">
            <w:pPr>
              <w:rPr>
                <w:rFonts w:eastAsia="Calibri"/>
                <w:b/>
                <w:sz w:val="24"/>
                <w:szCs w:val="24"/>
                <w:lang w:val="lt-LT"/>
              </w:rPr>
            </w:pPr>
            <w:r w:rsidRPr="002D48B2">
              <w:rPr>
                <w:rFonts w:eastAsia="Calibri"/>
                <w:b/>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4805FA2" w:rsidR="0097361F" w:rsidRPr="0054395C" w:rsidRDefault="002D48B2" w:rsidP="008D65BC">
            <w:pPr>
              <w:rPr>
                <w:b/>
                <w:sz w:val="24"/>
                <w:szCs w:val="24"/>
                <w:lang w:val="lt-LT"/>
              </w:rPr>
            </w:pPr>
            <w:r>
              <w:rPr>
                <w:b/>
                <w:sz w:val="24"/>
                <w:szCs w:val="24"/>
                <w:lang w:val="lt-LT"/>
              </w:rPr>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lastRenderedPageBreak/>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F9C3734"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5C190A">
        <w:rPr>
          <w:rFonts w:ascii="Times New Roman" w:hAnsi="Times New Roman"/>
          <w:sz w:val="24"/>
          <w:szCs w:val="24"/>
          <w:lang w:val="lt-LT"/>
        </w:rPr>
        <w:tab/>
      </w:r>
      <w:r w:rsidR="005C190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57A43DD8"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r>
      <w:r w:rsidR="005C190A">
        <w:rPr>
          <w:sz w:val="24"/>
          <w:szCs w:val="24"/>
        </w:rPr>
        <w:tab/>
      </w:r>
      <w:r w:rsidR="005C190A">
        <w:rPr>
          <w:sz w:val="24"/>
          <w:szCs w:val="24"/>
        </w:rPr>
        <w:tab/>
      </w:r>
      <w:r w:rsidR="005C190A">
        <w:rPr>
          <w:sz w:val="24"/>
          <w:szCs w:val="24"/>
        </w:rPr>
        <w:tab/>
      </w:r>
      <w:r>
        <w:rPr>
          <w:sz w:val="24"/>
          <w:szCs w:val="24"/>
        </w:rPr>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7942"/>
    <w:rsid w:val="00034023"/>
    <w:rsid w:val="00040A8A"/>
    <w:rsid w:val="00041BC2"/>
    <w:rsid w:val="00045573"/>
    <w:rsid w:val="000546BE"/>
    <w:rsid w:val="00072D2E"/>
    <w:rsid w:val="000A55E8"/>
    <w:rsid w:val="000A563E"/>
    <w:rsid w:val="00141BFF"/>
    <w:rsid w:val="001547E3"/>
    <w:rsid w:val="00162365"/>
    <w:rsid w:val="0016413E"/>
    <w:rsid w:val="00176B57"/>
    <w:rsid w:val="001967CB"/>
    <w:rsid w:val="00196EB4"/>
    <w:rsid w:val="001A1443"/>
    <w:rsid w:val="002125FE"/>
    <w:rsid w:val="002149FE"/>
    <w:rsid w:val="00223645"/>
    <w:rsid w:val="00280E02"/>
    <w:rsid w:val="00284D5A"/>
    <w:rsid w:val="00290A32"/>
    <w:rsid w:val="002D48B2"/>
    <w:rsid w:val="002D7151"/>
    <w:rsid w:val="002F0ADF"/>
    <w:rsid w:val="002F5DB9"/>
    <w:rsid w:val="003209BE"/>
    <w:rsid w:val="003216C0"/>
    <w:rsid w:val="003475FA"/>
    <w:rsid w:val="003557C1"/>
    <w:rsid w:val="003A5677"/>
    <w:rsid w:val="003A6E12"/>
    <w:rsid w:val="003D180F"/>
    <w:rsid w:val="003F183D"/>
    <w:rsid w:val="00441148"/>
    <w:rsid w:val="00453AA7"/>
    <w:rsid w:val="004542DE"/>
    <w:rsid w:val="004715E6"/>
    <w:rsid w:val="00491971"/>
    <w:rsid w:val="004C2ABC"/>
    <w:rsid w:val="004C464F"/>
    <w:rsid w:val="004C4E39"/>
    <w:rsid w:val="004D6140"/>
    <w:rsid w:val="00502ED6"/>
    <w:rsid w:val="0052550E"/>
    <w:rsid w:val="005314C6"/>
    <w:rsid w:val="00540F98"/>
    <w:rsid w:val="005A6F5F"/>
    <w:rsid w:val="005C190A"/>
    <w:rsid w:val="005D7FE8"/>
    <w:rsid w:val="005F1957"/>
    <w:rsid w:val="00607DC0"/>
    <w:rsid w:val="00682643"/>
    <w:rsid w:val="00694EC8"/>
    <w:rsid w:val="006A2955"/>
    <w:rsid w:val="006B6FDA"/>
    <w:rsid w:val="006E7F15"/>
    <w:rsid w:val="00705026"/>
    <w:rsid w:val="0071476F"/>
    <w:rsid w:val="00751534"/>
    <w:rsid w:val="00757044"/>
    <w:rsid w:val="0076293E"/>
    <w:rsid w:val="00773B8C"/>
    <w:rsid w:val="00777B06"/>
    <w:rsid w:val="00787A5C"/>
    <w:rsid w:val="007C21DE"/>
    <w:rsid w:val="007F2768"/>
    <w:rsid w:val="00813D60"/>
    <w:rsid w:val="0083789D"/>
    <w:rsid w:val="00846819"/>
    <w:rsid w:val="00897802"/>
    <w:rsid w:val="008E78BF"/>
    <w:rsid w:val="008F3957"/>
    <w:rsid w:val="008F5902"/>
    <w:rsid w:val="0091005D"/>
    <w:rsid w:val="00950495"/>
    <w:rsid w:val="00957CCF"/>
    <w:rsid w:val="0097361F"/>
    <w:rsid w:val="00977B91"/>
    <w:rsid w:val="0098222B"/>
    <w:rsid w:val="00982DED"/>
    <w:rsid w:val="00995991"/>
    <w:rsid w:val="009E3172"/>
    <w:rsid w:val="00A82689"/>
    <w:rsid w:val="00A92385"/>
    <w:rsid w:val="00A963BD"/>
    <w:rsid w:val="00A9657C"/>
    <w:rsid w:val="00A968AC"/>
    <w:rsid w:val="00AB35C8"/>
    <w:rsid w:val="00B05D7B"/>
    <w:rsid w:val="00B07339"/>
    <w:rsid w:val="00B1258B"/>
    <w:rsid w:val="00B23E93"/>
    <w:rsid w:val="00B3208B"/>
    <w:rsid w:val="00B4307F"/>
    <w:rsid w:val="00B46BE6"/>
    <w:rsid w:val="00B6410D"/>
    <w:rsid w:val="00B761C6"/>
    <w:rsid w:val="00B81B56"/>
    <w:rsid w:val="00BA69F4"/>
    <w:rsid w:val="00BC6BDF"/>
    <w:rsid w:val="00BD655F"/>
    <w:rsid w:val="00BF3D07"/>
    <w:rsid w:val="00BF58AB"/>
    <w:rsid w:val="00C00A19"/>
    <w:rsid w:val="00C0554C"/>
    <w:rsid w:val="00C33D44"/>
    <w:rsid w:val="00C620DC"/>
    <w:rsid w:val="00C678CC"/>
    <w:rsid w:val="00C77D65"/>
    <w:rsid w:val="00C946B5"/>
    <w:rsid w:val="00CB6EA0"/>
    <w:rsid w:val="00CC17B9"/>
    <w:rsid w:val="00CC4DBE"/>
    <w:rsid w:val="00CF58E9"/>
    <w:rsid w:val="00D36F40"/>
    <w:rsid w:val="00D53AD0"/>
    <w:rsid w:val="00D622E4"/>
    <w:rsid w:val="00D93CA2"/>
    <w:rsid w:val="00DA7C5A"/>
    <w:rsid w:val="00DB29B4"/>
    <w:rsid w:val="00DC6E78"/>
    <w:rsid w:val="00DE77D8"/>
    <w:rsid w:val="00DF29AA"/>
    <w:rsid w:val="00E01AC8"/>
    <w:rsid w:val="00E14BDF"/>
    <w:rsid w:val="00E17569"/>
    <w:rsid w:val="00E20254"/>
    <w:rsid w:val="00E26A9D"/>
    <w:rsid w:val="00E96B65"/>
    <w:rsid w:val="00EC5457"/>
    <w:rsid w:val="00ED7DB5"/>
    <w:rsid w:val="00EE6842"/>
    <w:rsid w:val="00EF7245"/>
    <w:rsid w:val="00F01F08"/>
    <w:rsid w:val="00F3621C"/>
    <w:rsid w:val="00F537CD"/>
    <w:rsid w:val="00F60F81"/>
    <w:rsid w:val="00F831D4"/>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CEF7-F989-4B3A-A439-9BAB54CF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44681</Words>
  <Characters>25469</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Greta Butkuviene</cp:lastModifiedBy>
  <cp:revision>39</cp:revision>
  <dcterms:created xsi:type="dcterms:W3CDTF">2025-03-03T07:04:00Z</dcterms:created>
  <dcterms:modified xsi:type="dcterms:W3CDTF">2025-08-01T06:54:00Z</dcterms:modified>
</cp:coreProperties>
</file>