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000" w:firstRow="0" w:lastRow="0" w:firstColumn="0" w:lastColumn="0" w:noHBand="0" w:noVBand="0"/>
      </w:tblPr>
      <w:tblGrid>
        <w:gridCol w:w="9628"/>
      </w:tblGrid>
      <w:tr w:rsidR="00735D34" w:rsidRPr="00AA7F8E" w14:paraId="16E191C6" w14:textId="77777777" w:rsidTr="00321874">
        <w:tc>
          <w:tcPr>
            <w:tcW w:w="5000" w:type="pct"/>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3900376" w14:textId="5B70F714" w:rsidR="00735D34" w:rsidRPr="00AA7F8E" w:rsidRDefault="001E7A02" w:rsidP="00AA7F8E">
            <w:pPr>
              <w:spacing w:after="0" w:line="240" w:lineRule="auto"/>
              <w:jc w:val="center"/>
              <w:rPr>
                <w:sz w:val="22"/>
              </w:rPr>
            </w:pPr>
            <w:r w:rsidRPr="00AA7F8E">
              <w:rPr>
                <w:rFonts w:ascii="Calibri Light" w:hAnsi="Calibri Light" w:cs="Calibri Light"/>
                <w:b/>
                <w:color w:val="FFFFFF"/>
                <w:sz w:val="22"/>
              </w:rPr>
              <w:t xml:space="preserve">IŠTEKLIŲ AGENTŪRA </w:t>
            </w:r>
            <w:r w:rsidR="00735D34" w:rsidRPr="00AA7F8E">
              <w:rPr>
                <w:rFonts w:ascii="Calibri Light" w:hAnsi="Calibri Light" w:cs="Calibri Light"/>
                <w:b/>
                <w:color w:val="FFFFFF"/>
                <w:sz w:val="22"/>
              </w:rPr>
              <w:t xml:space="preserve"> &gt; PIRKIMO DOKUMENTAI &gt; TECHNINĖ SPECIFIKACIJA</w:t>
            </w:r>
          </w:p>
        </w:tc>
      </w:tr>
    </w:tbl>
    <w:p w14:paraId="66A20C7A" w14:textId="77777777" w:rsidR="00735D34" w:rsidRPr="00BE4C39" w:rsidRDefault="00735D34" w:rsidP="00735D34">
      <w:pPr>
        <w:spacing w:after="0" w:line="120" w:lineRule="auto"/>
        <w:jc w:val="center"/>
        <w:rPr>
          <w:rFonts w:ascii="Calibri Light" w:hAnsi="Calibri Light" w:cs="Calibri Light"/>
          <w:szCs w:val="24"/>
        </w:rPr>
      </w:pPr>
    </w:p>
    <w:tbl>
      <w:tblPr>
        <w:tblW w:w="5000" w:type="pct"/>
        <w:tblCellMar>
          <w:left w:w="10" w:type="dxa"/>
          <w:right w:w="10" w:type="dxa"/>
        </w:tblCellMar>
        <w:tblLook w:val="0000" w:firstRow="0" w:lastRow="0" w:firstColumn="0" w:lastColumn="0" w:noHBand="0" w:noVBand="0"/>
      </w:tblPr>
      <w:tblGrid>
        <w:gridCol w:w="9628"/>
      </w:tblGrid>
      <w:tr w:rsidR="00735D34" w:rsidRPr="00BE4C39" w14:paraId="46177C6C" w14:textId="77777777" w:rsidTr="00321874">
        <w:trPr>
          <w:trHeight w:val="118"/>
        </w:trPr>
        <w:tc>
          <w:tcPr>
            <w:tcW w:w="5000" w:type="pct"/>
            <w:tcBorders>
              <w:top w:val="single" w:sz="4" w:space="0" w:color="000000"/>
              <w:left w:val="single" w:sz="4" w:space="0" w:color="000000"/>
              <w:bottom w:val="single" w:sz="4" w:space="0" w:color="000000"/>
              <w:right w:val="single" w:sz="4" w:space="0" w:color="000000"/>
            </w:tcBorders>
            <w:shd w:val="clear" w:color="auto" w:fill="FFFFCC"/>
            <w:tcMar>
              <w:top w:w="0" w:type="dxa"/>
              <w:left w:w="108" w:type="dxa"/>
              <w:bottom w:w="0" w:type="dxa"/>
              <w:right w:w="108" w:type="dxa"/>
            </w:tcMar>
          </w:tcPr>
          <w:p w14:paraId="71C5A352" w14:textId="74D53011" w:rsidR="00735D34" w:rsidRPr="00BE4C39" w:rsidRDefault="00000000" w:rsidP="00F072B9">
            <w:pPr>
              <w:pStyle w:val="TEKSTAS"/>
              <w:numPr>
                <w:ilvl w:val="0"/>
                <w:numId w:val="0"/>
              </w:numPr>
              <w:ind w:left="360" w:hanging="360"/>
              <w:jc w:val="center"/>
              <w:rPr>
                <w:rFonts w:ascii="Calibri Light" w:hAnsi="Calibri Light"/>
              </w:rPr>
            </w:pPr>
            <w:sdt>
              <w:sdtPr>
                <w:rPr>
                  <w:rFonts w:ascii="Calibri Light" w:hAnsi="Calibri Light" w:cs="Calibri Light"/>
                  <w:b/>
                  <w:sz w:val="22"/>
                </w:rPr>
                <w:id w:val="-1348779129"/>
                <w:placeholder>
                  <w:docPart w:val="15C7A8614ABC443BABB1C9FF0C4382F7"/>
                </w:placeholder>
              </w:sdtPr>
              <w:sdtContent>
                <w:sdt>
                  <w:sdtPr>
                    <w:rPr>
                      <w:rFonts w:ascii="Calibri Light" w:hAnsi="Calibri Light" w:cs="Calibri Light"/>
                      <w:b/>
                      <w:bCs/>
                      <w:sz w:val="22"/>
                    </w:rPr>
                    <w:alias w:val="Įrašomas pirkimo pavadinimas ir Nr."/>
                    <w:tag w:val="Įrašomas pirkimo pavadinimas ir Nr."/>
                    <w:id w:val="-1311480434"/>
                    <w:placeholder>
                      <w:docPart w:val="15C7A8614ABC443BABB1C9FF0C4382F7"/>
                    </w:placeholder>
                    <w:text/>
                  </w:sdtPr>
                  <w:sdtContent>
                    <w:r w:rsidR="00AA7F8E" w:rsidRPr="00AA7F8E">
                      <w:rPr>
                        <w:rFonts w:ascii="Calibri Light" w:hAnsi="Calibri Light" w:cs="Calibri Light"/>
                        <w:b/>
                        <w:bCs/>
                        <w:sz w:val="22"/>
                      </w:rPr>
                      <w:t xml:space="preserve"> Patikimumo užtikrinimo paslaugų teikimo veiklos atitikties Reglamento (ES) Nr. 910/2014 reikalavimams auditas (PPR-617)</w:t>
                    </w:r>
                  </w:sdtContent>
                </w:sdt>
              </w:sdtContent>
            </w:sdt>
          </w:p>
        </w:tc>
      </w:tr>
    </w:tbl>
    <w:p w14:paraId="693B8896" w14:textId="17372DB7" w:rsidR="00321874" w:rsidRPr="00BA7846" w:rsidRDefault="00BA7846" w:rsidP="00735D34">
      <w:pPr>
        <w:spacing w:before="60" w:after="60" w:line="240" w:lineRule="auto"/>
        <w:jc w:val="both"/>
        <w:rPr>
          <w:rFonts w:ascii="Calibri Light" w:hAnsi="Calibri Light" w:cs="Calibri Light"/>
          <w:b/>
          <w:i/>
          <w:sz w:val="20"/>
          <w:szCs w:val="20"/>
        </w:rPr>
      </w:pPr>
      <w:r w:rsidRPr="00BA7846">
        <w:rPr>
          <w:rFonts w:ascii="Calibri Light" w:hAnsi="Calibri Light" w:cs="Calibri Light"/>
          <w:b/>
          <w:i/>
          <w:sz w:val="20"/>
          <w:szCs w:val="20"/>
        </w:rPr>
        <w:t xml:space="preserve"> </w:t>
      </w:r>
    </w:p>
    <w:p w14:paraId="349963CA" w14:textId="1AF705C4" w:rsidR="00AA7F8E" w:rsidRPr="00AA7F8E" w:rsidRDefault="00AA7F8E" w:rsidP="00BA7846">
      <w:pPr>
        <w:tabs>
          <w:tab w:val="left" w:pos="1335"/>
          <w:tab w:val="center" w:pos="5174"/>
        </w:tabs>
        <w:spacing w:before="60" w:after="60" w:line="240" w:lineRule="auto"/>
        <w:jc w:val="both"/>
        <w:rPr>
          <w:rFonts w:asciiTheme="majorHAnsi" w:hAnsiTheme="majorHAnsi" w:cstheme="majorHAnsi"/>
          <w:b/>
          <w:sz w:val="22"/>
        </w:rPr>
      </w:pPr>
      <w:r w:rsidRPr="00BA7846">
        <w:rPr>
          <w:rFonts w:ascii="Calibri Light" w:hAnsi="Calibri Light" w:cs="Calibri Light"/>
          <w:b/>
          <w:i/>
          <w:sz w:val="20"/>
          <w:szCs w:val="20"/>
        </w:rPr>
        <w:t xml:space="preserve"> </w:t>
      </w:r>
      <w:r w:rsidRPr="00BA7846">
        <w:rPr>
          <w:rFonts w:asciiTheme="majorHAnsi" w:hAnsiTheme="majorHAnsi" w:cstheme="majorHAnsi"/>
          <w:b/>
          <w:sz w:val="22"/>
        </w:rPr>
        <w:t xml:space="preserve">Pirkimo objektas. </w:t>
      </w:r>
      <w:r w:rsidRPr="00BA7846">
        <w:rPr>
          <w:rFonts w:asciiTheme="majorHAnsi" w:hAnsiTheme="majorHAnsi" w:cstheme="majorHAnsi"/>
          <w:sz w:val="22"/>
        </w:rPr>
        <w:t xml:space="preserve">Patikimumo užtikrinimo paslaugų teikimo veiklos atitikties Europos Parlamento ir Tarybos </w:t>
      </w:r>
      <w:r w:rsidRPr="00AA7F8E">
        <w:rPr>
          <w:rFonts w:asciiTheme="majorHAnsi" w:hAnsiTheme="majorHAnsi" w:cstheme="majorHAnsi"/>
          <w:sz w:val="22"/>
        </w:rPr>
        <w:t>reglamento (ES) Nr. 910/2014 dėl elektroninės atpažinties ir elektroninių operacijų patikimumo užtikrinimo paslaugų vidaus rinkoje, kuriuo panaikinama Direktyva 1999/93/EB ir tą reglamentą iš dalies keičiančio Europos Parlamento ir Tarybos reglamento (ES) 2024/1183, reikalavimams vertinimas (toliau – atitikties vertinimas).</w:t>
      </w:r>
    </w:p>
    <w:p w14:paraId="6BE799DE" w14:textId="77777777" w:rsidR="00F47407" w:rsidRPr="00D86417"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
          <w:sz w:val="22"/>
        </w:rPr>
      </w:pPr>
      <w:r w:rsidRPr="00AA7F8E">
        <w:rPr>
          <w:rFonts w:asciiTheme="majorHAnsi" w:hAnsiTheme="majorHAnsi" w:cstheme="majorHAnsi"/>
          <w:b/>
          <w:sz w:val="22"/>
        </w:rPr>
        <w:t xml:space="preserve">Pirkimo objekto apimtis. </w:t>
      </w:r>
      <w:r w:rsidRPr="00AA7F8E">
        <w:rPr>
          <w:rFonts w:asciiTheme="majorHAnsi" w:hAnsiTheme="majorHAnsi" w:cstheme="majorHAnsi"/>
          <w:bCs/>
          <w:sz w:val="22"/>
        </w:rPr>
        <w:t>Paslaugų teikėjas turi atlikti</w:t>
      </w:r>
      <w:r w:rsidR="00F47407">
        <w:rPr>
          <w:rFonts w:asciiTheme="majorHAnsi" w:hAnsiTheme="majorHAnsi" w:cstheme="majorHAnsi"/>
          <w:bCs/>
          <w:sz w:val="22"/>
        </w:rPr>
        <w:t>:</w:t>
      </w:r>
    </w:p>
    <w:p w14:paraId="7BAF71A7" w14:textId="78BEE0CB" w:rsidR="00F47407" w:rsidRDefault="00F47407" w:rsidP="00F47407">
      <w:pPr>
        <w:tabs>
          <w:tab w:val="left" w:pos="284"/>
        </w:tabs>
        <w:suppressAutoHyphens w:val="0"/>
        <w:autoSpaceDN/>
        <w:spacing w:after="0" w:line="240" w:lineRule="auto"/>
        <w:jc w:val="both"/>
        <w:textAlignment w:val="auto"/>
        <w:rPr>
          <w:rFonts w:asciiTheme="majorHAnsi" w:hAnsiTheme="majorHAnsi" w:cstheme="majorHAnsi"/>
          <w:sz w:val="22"/>
        </w:rPr>
      </w:pPr>
      <w:r w:rsidRPr="00D86417">
        <w:rPr>
          <w:rFonts w:asciiTheme="majorHAnsi" w:hAnsiTheme="majorHAnsi" w:cstheme="majorHAnsi"/>
          <w:sz w:val="22"/>
        </w:rPr>
        <w:t>2</w:t>
      </w:r>
      <w:r w:rsidRPr="00D86417">
        <w:rPr>
          <w:rFonts w:asciiTheme="majorHAnsi" w:hAnsiTheme="majorHAnsi" w:cstheme="majorHAnsi"/>
          <w:bCs/>
          <w:sz w:val="22"/>
        </w:rPr>
        <w:t>.</w:t>
      </w:r>
      <w:r>
        <w:rPr>
          <w:rFonts w:asciiTheme="majorHAnsi" w:hAnsiTheme="majorHAnsi" w:cstheme="majorHAnsi"/>
          <w:bCs/>
          <w:sz w:val="22"/>
        </w:rPr>
        <w:t>1.</w:t>
      </w:r>
      <w:r>
        <w:rPr>
          <w:rFonts w:asciiTheme="majorHAnsi" w:hAnsiTheme="majorHAnsi" w:cstheme="majorHAnsi"/>
          <w:bCs/>
          <w:sz w:val="22"/>
        </w:rPr>
        <w:tab/>
      </w:r>
      <w:r w:rsidR="00AA7F8E" w:rsidRPr="00AA7F8E">
        <w:rPr>
          <w:rFonts w:asciiTheme="majorHAnsi" w:hAnsiTheme="majorHAnsi" w:cstheme="majorHAnsi"/>
          <w:bCs/>
          <w:sz w:val="22"/>
        </w:rPr>
        <w:t xml:space="preserve">atitikties vertinimą ir pateikti atitikties vertinimo ataskaitą </w:t>
      </w:r>
      <w:r w:rsidR="00AA7F8E" w:rsidRPr="00AA7F8E">
        <w:rPr>
          <w:rFonts w:asciiTheme="majorHAnsi" w:hAnsiTheme="majorHAnsi" w:cstheme="majorHAnsi"/>
          <w:sz w:val="22"/>
        </w:rPr>
        <w:t>Migracijos departamentui prie Lietuvos Respublikos vidaus reikalų ministerijos (toliau – Migracijos departamentas) ne vėliau kaip iki 2025 m. rugsėjo 12 d. Atitikties vertinimo atlikimo ir atitikties vertinimo ataskaitos pateikimo terminas gali būti pratęstas ne ilgesniam kaip 1 mėn. laikotarpiui tik dėl tokių nenumatytų aplinkybių, kurių atsiradimo paslaugų tiekėjas objektyviai negalėjo numatyti iki šio pirkimo pasiūlymo pateikimo ir kurių nei tiekėjas, nei Migracijos departamentas negali kontroliuoti.</w:t>
      </w:r>
    </w:p>
    <w:p w14:paraId="7B95FFD1" w14:textId="328146DC" w:rsidR="00AA7F8E" w:rsidRPr="00AA7F8E" w:rsidRDefault="00F47407" w:rsidP="00D86417">
      <w:pPr>
        <w:tabs>
          <w:tab w:val="left" w:pos="284"/>
        </w:tabs>
        <w:suppressAutoHyphens w:val="0"/>
        <w:autoSpaceDN/>
        <w:spacing w:after="0" w:line="240" w:lineRule="auto"/>
        <w:jc w:val="both"/>
        <w:textAlignment w:val="auto"/>
        <w:rPr>
          <w:rFonts w:asciiTheme="majorHAnsi" w:hAnsiTheme="majorHAnsi" w:cstheme="majorHAnsi"/>
          <w:b/>
          <w:sz w:val="22"/>
        </w:rPr>
      </w:pPr>
      <w:r>
        <w:rPr>
          <w:rFonts w:asciiTheme="majorHAnsi" w:hAnsiTheme="majorHAnsi" w:cstheme="majorHAnsi"/>
          <w:sz w:val="22"/>
        </w:rPr>
        <w:t>2.2.</w:t>
      </w:r>
      <w:r>
        <w:rPr>
          <w:rFonts w:asciiTheme="majorHAnsi" w:hAnsiTheme="majorHAnsi" w:cstheme="majorHAnsi"/>
          <w:sz w:val="22"/>
        </w:rPr>
        <w:tab/>
      </w:r>
      <w:r w:rsidRPr="00F47407">
        <w:rPr>
          <w:rFonts w:asciiTheme="majorHAnsi" w:hAnsiTheme="majorHAnsi" w:cstheme="majorHAnsi"/>
          <w:sz w:val="22"/>
        </w:rPr>
        <w:t>Priežiūros auditą</w:t>
      </w:r>
      <w:r w:rsidR="00A62FD4">
        <w:rPr>
          <w:rFonts w:asciiTheme="majorHAnsi" w:hAnsiTheme="majorHAnsi" w:cstheme="majorHAnsi"/>
          <w:sz w:val="22"/>
        </w:rPr>
        <w:t xml:space="preserve"> </w:t>
      </w:r>
      <w:r w:rsidRPr="00F47407">
        <w:rPr>
          <w:rFonts w:asciiTheme="majorHAnsi" w:hAnsiTheme="majorHAnsi" w:cstheme="majorHAnsi"/>
          <w:sz w:val="22"/>
        </w:rPr>
        <w:t xml:space="preserve"> –</w:t>
      </w:r>
      <w:r w:rsidR="00A62FD4">
        <w:rPr>
          <w:rFonts w:asciiTheme="majorHAnsi" w:hAnsiTheme="majorHAnsi" w:cstheme="majorHAnsi"/>
          <w:sz w:val="22"/>
        </w:rPr>
        <w:t xml:space="preserve"> pakartotinį atitikties</w:t>
      </w:r>
      <w:r w:rsidRPr="00F47407">
        <w:rPr>
          <w:rFonts w:asciiTheme="majorHAnsi" w:hAnsiTheme="majorHAnsi" w:cstheme="majorHAnsi"/>
          <w:sz w:val="22"/>
        </w:rPr>
        <w:t xml:space="preserve"> vertinimą</w:t>
      </w:r>
      <w:r w:rsidR="00A62FD4">
        <w:rPr>
          <w:rFonts w:asciiTheme="majorHAnsi" w:hAnsiTheme="majorHAnsi" w:cstheme="majorHAnsi"/>
          <w:sz w:val="22"/>
        </w:rPr>
        <w:t>, atliekamą</w:t>
      </w:r>
      <w:r>
        <w:rPr>
          <w:rFonts w:asciiTheme="majorHAnsi" w:hAnsiTheme="majorHAnsi" w:cstheme="majorHAnsi"/>
          <w:sz w:val="22"/>
        </w:rPr>
        <w:t xml:space="preserve"> po vienerių metų</w:t>
      </w:r>
      <w:r w:rsidR="00A62FD4">
        <w:rPr>
          <w:rFonts w:asciiTheme="majorHAnsi" w:hAnsiTheme="majorHAnsi" w:cstheme="majorHAnsi"/>
          <w:sz w:val="22"/>
        </w:rPr>
        <w:t xml:space="preserve"> nuo pirmojo vertinimo</w:t>
      </w:r>
      <w:r w:rsidR="006958A0">
        <w:rPr>
          <w:rFonts w:asciiTheme="majorHAnsi" w:hAnsiTheme="majorHAnsi" w:cstheme="majorHAnsi"/>
          <w:sz w:val="22"/>
        </w:rPr>
        <w:t xml:space="preserve"> </w:t>
      </w:r>
      <w:r w:rsidR="00473717" w:rsidRPr="00BA7846">
        <w:rPr>
          <w:rFonts w:asciiTheme="majorHAnsi" w:hAnsiTheme="majorHAnsi" w:cstheme="majorHAnsi"/>
          <w:sz w:val="22"/>
        </w:rPr>
        <w:t>a</w:t>
      </w:r>
      <w:r w:rsidR="006958A0" w:rsidRPr="00BA7846">
        <w:rPr>
          <w:rFonts w:asciiTheme="majorHAnsi" w:hAnsiTheme="majorHAnsi" w:cstheme="majorHAnsi"/>
          <w:sz w:val="22"/>
        </w:rPr>
        <w:t>tlikimo</w:t>
      </w:r>
      <w:r w:rsidR="00473717" w:rsidRPr="00BA7846">
        <w:rPr>
          <w:rFonts w:asciiTheme="majorHAnsi" w:hAnsiTheme="majorHAnsi" w:cstheme="majorHAnsi"/>
          <w:sz w:val="22"/>
        </w:rPr>
        <w:t>, per du mėnesius</w:t>
      </w:r>
      <w:r w:rsidR="00425E1B" w:rsidRPr="00BA7846">
        <w:rPr>
          <w:rFonts w:asciiTheme="majorHAnsi" w:hAnsiTheme="majorHAnsi" w:cstheme="majorHAnsi"/>
          <w:sz w:val="22"/>
        </w:rPr>
        <w:t xml:space="preserve">, </w:t>
      </w:r>
      <w:r w:rsidR="00425E1B" w:rsidRPr="00BA7846">
        <w:rPr>
          <w:rFonts w:asciiTheme="majorHAnsi" w:hAnsiTheme="majorHAnsi" w:cstheme="majorHAnsi"/>
          <w:bCs/>
          <w:sz w:val="22"/>
        </w:rPr>
        <w:t xml:space="preserve"> </w:t>
      </w:r>
      <w:r w:rsidR="001C68E3" w:rsidRPr="00BA7846">
        <w:rPr>
          <w:rFonts w:asciiTheme="majorHAnsi" w:hAnsiTheme="majorHAnsi" w:cstheme="majorHAnsi"/>
          <w:bCs/>
          <w:sz w:val="22"/>
        </w:rPr>
        <w:t xml:space="preserve">per tą patį laikotarpį </w:t>
      </w:r>
      <w:r w:rsidR="00425E1B" w:rsidRPr="00BA7846">
        <w:rPr>
          <w:rFonts w:asciiTheme="majorHAnsi" w:hAnsiTheme="majorHAnsi" w:cstheme="majorHAnsi"/>
          <w:bCs/>
          <w:sz w:val="22"/>
        </w:rPr>
        <w:t xml:space="preserve">pateikti </w:t>
      </w:r>
      <w:r w:rsidR="00BA7846" w:rsidRPr="00BA7846">
        <w:rPr>
          <w:rFonts w:asciiTheme="majorHAnsi" w:hAnsiTheme="majorHAnsi" w:cstheme="majorHAnsi"/>
          <w:bCs/>
          <w:sz w:val="22"/>
        </w:rPr>
        <w:t xml:space="preserve">ir </w:t>
      </w:r>
      <w:r w:rsidR="00425E1B" w:rsidRPr="00BA7846">
        <w:rPr>
          <w:rFonts w:asciiTheme="majorHAnsi" w:hAnsiTheme="majorHAnsi" w:cstheme="majorHAnsi"/>
          <w:bCs/>
          <w:sz w:val="22"/>
        </w:rPr>
        <w:t>atitikties</w:t>
      </w:r>
      <w:r w:rsidR="00BA7846" w:rsidRPr="00BA7846">
        <w:rPr>
          <w:rFonts w:asciiTheme="majorHAnsi" w:hAnsiTheme="majorHAnsi" w:cstheme="majorHAnsi"/>
          <w:bCs/>
          <w:sz w:val="22"/>
        </w:rPr>
        <w:t xml:space="preserve"> </w:t>
      </w:r>
      <w:r w:rsidR="00425E1B" w:rsidRPr="00BA7846">
        <w:rPr>
          <w:rFonts w:asciiTheme="majorHAnsi" w:hAnsiTheme="majorHAnsi" w:cstheme="majorHAnsi"/>
          <w:bCs/>
          <w:sz w:val="22"/>
        </w:rPr>
        <w:t>vertinimo ataskaitą</w:t>
      </w:r>
      <w:r w:rsidR="00473717" w:rsidRPr="00BA7846">
        <w:rPr>
          <w:rFonts w:asciiTheme="majorHAnsi" w:hAnsiTheme="majorHAnsi" w:cstheme="majorHAnsi"/>
          <w:sz w:val="22"/>
        </w:rPr>
        <w:t>. Pakartotinio atitikties vertinimo atlikimo ir atitikties vertinimo ataskaitos pateikimo terminas gali būti pratęstas ne ilgesniam kaip 1 mėn. laikotarpiui tik dėl tokių nenumatytų aplinkybių, kurių atsiradimo paslaugų tiekėjas objektyviai negalėjo</w:t>
      </w:r>
      <w:r w:rsidR="00473717" w:rsidRPr="00AA7F8E">
        <w:rPr>
          <w:rFonts w:asciiTheme="majorHAnsi" w:hAnsiTheme="majorHAnsi" w:cstheme="majorHAnsi"/>
          <w:sz w:val="22"/>
        </w:rPr>
        <w:t xml:space="preserve"> numatyti iki šio pirkimo pasiūlymo pateikimo ir kurių nei tiekėjas, nei Migracijos departamentas negali kontroliuoti</w:t>
      </w:r>
    </w:p>
    <w:p w14:paraId="4483E10C" w14:textId="77777777" w:rsidR="00AA7F8E" w:rsidRPr="00AA7F8E"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
          <w:sz w:val="22"/>
        </w:rPr>
      </w:pPr>
      <w:r w:rsidRPr="00AA7F8E">
        <w:rPr>
          <w:rFonts w:asciiTheme="majorHAnsi" w:hAnsiTheme="majorHAnsi" w:cstheme="majorHAnsi"/>
          <w:b/>
          <w:sz w:val="22"/>
        </w:rPr>
        <w:t>Paslaugų teikimo vieta.</w:t>
      </w:r>
      <w:r w:rsidRPr="00AA7F8E">
        <w:rPr>
          <w:rFonts w:asciiTheme="majorHAnsi" w:hAnsiTheme="majorHAnsi" w:cstheme="majorHAnsi"/>
          <w:sz w:val="22"/>
        </w:rPr>
        <w:t xml:space="preserve"> Migracijos departamento Išrašymo skyrius, Žirmūnų g. 1 D, Vilnius. </w:t>
      </w:r>
    </w:p>
    <w:p w14:paraId="125D6766" w14:textId="77777777" w:rsidR="00AA7F8E" w:rsidRPr="00AA7F8E" w:rsidRDefault="00AA7F8E" w:rsidP="00AA7F8E">
      <w:pPr>
        <w:numPr>
          <w:ilvl w:val="0"/>
          <w:numId w:val="2"/>
        </w:numPr>
        <w:tabs>
          <w:tab w:val="left" w:pos="284"/>
        </w:tabs>
        <w:suppressAutoHyphens w:val="0"/>
        <w:autoSpaceDN/>
        <w:spacing w:after="0" w:line="240" w:lineRule="auto"/>
        <w:ind w:left="0" w:firstLine="0"/>
        <w:jc w:val="both"/>
        <w:textAlignment w:val="auto"/>
        <w:rPr>
          <w:rFonts w:asciiTheme="majorHAnsi" w:hAnsiTheme="majorHAnsi" w:cstheme="majorHAnsi"/>
          <w:b/>
          <w:sz w:val="22"/>
        </w:rPr>
      </w:pPr>
      <w:r w:rsidRPr="00AA7F8E">
        <w:rPr>
          <w:rFonts w:asciiTheme="majorHAnsi" w:hAnsiTheme="majorHAnsi" w:cstheme="majorHAnsi"/>
          <w:b/>
          <w:sz w:val="22"/>
        </w:rPr>
        <w:t>Perkamų paslaugų specifika.</w:t>
      </w:r>
    </w:p>
    <w:p w14:paraId="245465F5" w14:textId="77777777" w:rsidR="00AA7F8E" w:rsidRPr="00AA7F8E" w:rsidRDefault="00AA7F8E" w:rsidP="00AA7F8E">
      <w:pPr>
        <w:numPr>
          <w:ilvl w:val="1"/>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b/>
          <w:sz w:val="22"/>
        </w:rPr>
      </w:pPr>
      <w:bookmarkStart w:id="0" w:name="_Hlk200356674"/>
      <w:r w:rsidRPr="00AA7F8E">
        <w:rPr>
          <w:rFonts w:asciiTheme="majorHAnsi" w:hAnsiTheme="majorHAnsi" w:cstheme="majorHAnsi"/>
          <w:sz w:val="22"/>
        </w:rPr>
        <w:t xml:space="preserve">Migracijos departamentas </w:t>
      </w:r>
      <w:bookmarkStart w:id="1" w:name="_Hlk200356686"/>
      <w:bookmarkEnd w:id="0"/>
      <w:r w:rsidRPr="00AA7F8E">
        <w:rPr>
          <w:rFonts w:asciiTheme="majorHAnsi" w:hAnsiTheme="majorHAnsi" w:cstheme="majorHAnsi"/>
          <w:sz w:val="22"/>
        </w:rPr>
        <w:t>siekia įgyti kvalifikuoto patikimumo užtikrinimo paslaugų teikėjo statusą</w:t>
      </w:r>
      <w:bookmarkEnd w:id="1"/>
      <w:r w:rsidRPr="00AA7F8E">
        <w:rPr>
          <w:rFonts w:asciiTheme="majorHAnsi" w:hAnsiTheme="majorHAnsi" w:cstheme="majorHAnsi"/>
          <w:sz w:val="22"/>
        </w:rPr>
        <w:t>, sudarant ir tvarkant kvalifikuotus elektroninio parašo sertifikatus, kaip tai nustato Reglamentas (ES) Nr. 910/2014 ir Reglamentas (ES) 2024/1183. Migracijos departamentas, kaip patikimumo užtikrinimo paslaugų teikėjas, siekia išduoti kvalifikuotus elektroninio parašo sertifikatus keturioms tikslinėms grupėms: Lietuvos Respublikos piliečiams, Lietuvos Respublikos valstybės tarnautojams, Lietuvos Respublikos vidaus tarnybos sistemos pareigūnams ir Lietuvos Respublikos elektroniniams rezidentams.</w:t>
      </w:r>
    </w:p>
    <w:p w14:paraId="54D840CB" w14:textId="77777777" w:rsidR="00AA7F8E" w:rsidRPr="00AA7F8E" w:rsidRDefault="00AA7F8E" w:rsidP="00AA7F8E">
      <w:pPr>
        <w:numPr>
          <w:ilvl w:val="1"/>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b/>
          <w:sz w:val="22"/>
        </w:rPr>
      </w:pPr>
      <w:r w:rsidRPr="00AA7F8E">
        <w:rPr>
          <w:rFonts w:asciiTheme="majorHAnsi" w:hAnsiTheme="majorHAnsi" w:cstheme="majorHAnsi"/>
          <w:sz w:val="22"/>
        </w:rPr>
        <w:t>Migracijos departamentas</w:t>
      </w:r>
      <w:bookmarkStart w:id="2" w:name="_Hlk200356726"/>
      <w:r w:rsidRPr="00AA7F8E">
        <w:rPr>
          <w:rFonts w:asciiTheme="majorHAnsi" w:hAnsiTheme="majorHAnsi" w:cstheme="majorHAnsi"/>
          <w:sz w:val="22"/>
        </w:rPr>
        <w:t xml:space="preserve">, siekdamas įgyti </w:t>
      </w:r>
      <w:bookmarkEnd w:id="2"/>
      <w:r w:rsidRPr="00AA7F8E">
        <w:rPr>
          <w:rFonts w:asciiTheme="majorHAnsi" w:hAnsiTheme="majorHAnsi" w:cstheme="majorHAnsi"/>
          <w:sz w:val="22"/>
        </w:rPr>
        <w:t xml:space="preserve">kvalifikuoto patikimumo užtikrinimo paslaugų teikėjo statusą ir vadovaudamasis Reglamento (ES) Nr. 910/2014 20 straipsnio 1 dalies reikalavimais, privalo iki 2025 m. </w:t>
      </w:r>
      <w:bookmarkStart w:id="3" w:name="_Hlk200356743"/>
      <w:r w:rsidRPr="00AA7F8E">
        <w:rPr>
          <w:rFonts w:asciiTheme="majorHAnsi" w:hAnsiTheme="majorHAnsi" w:cstheme="majorHAnsi"/>
          <w:sz w:val="22"/>
        </w:rPr>
        <w:t xml:space="preserve">rugsėjo 12 d. </w:t>
      </w:r>
      <w:bookmarkEnd w:id="3"/>
      <w:r w:rsidRPr="00AA7F8E">
        <w:rPr>
          <w:rFonts w:asciiTheme="majorHAnsi" w:hAnsiTheme="majorHAnsi" w:cstheme="majorHAnsi"/>
          <w:sz w:val="22"/>
        </w:rPr>
        <w:t>gauti akredituotos atitikties vertinimo įstaigos išduotą Migracijos departamento vykdomos patikimumo užtikrinimo paslaugų teikimo veiklos atitikties vertinimo ataskaitą, kurią privalės pateikti nacionalinei priežiūros įstaigai – Lietuvos Respublikos ryšių reguliavimo tarnybai.</w:t>
      </w:r>
    </w:p>
    <w:p w14:paraId="073A8EF4" w14:textId="77777777" w:rsidR="00AA7F8E" w:rsidRPr="00AA7F8E" w:rsidRDefault="00AA7F8E" w:rsidP="00AA7F8E">
      <w:pPr>
        <w:numPr>
          <w:ilvl w:val="0"/>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AA7F8E">
        <w:rPr>
          <w:rFonts w:asciiTheme="majorHAnsi" w:hAnsiTheme="majorHAnsi" w:cstheme="majorHAnsi"/>
          <w:sz w:val="22"/>
        </w:rPr>
        <w:t>Atlikti atitikties vertinimą ir parengti atitikties vertinimo ataskaitą gali tik tuo tikslu akredituotos atitikties vertinimo įstaigos, kaip jas apibrėžia Reglamento (ES) Nr. 910/2014 3 straipsnio 18 dalis.</w:t>
      </w:r>
    </w:p>
    <w:p w14:paraId="6C8AECFF" w14:textId="77777777" w:rsidR="00AA7F8E" w:rsidRPr="00AA7F8E" w:rsidRDefault="00AA7F8E" w:rsidP="00AA7F8E">
      <w:pPr>
        <w:numPr>
          <w:ilvl w:val="0"/>
          <w:numId w:val="2"/>
        </w:numPr>
        <w:tabs>
          <w:tab w:val="left" w:pos="284"/>
          <w:tab w:val="left" w:pos="426"/>
          <w:tab w:val="left" w:pos="851"/>
        </w:tabs>
        <w:suppressAutoHyphens w:val="0"/>
        <w:autoSpaceDN/>
        <w:spacing w:after="0" w:line="240" w:lineRule="auto"/>
        <w:ind w:left="0" w:firstLine="0"/>
        <w:jc w:val="both"/>
        <w:textAlignment w:val="auto"/>
        <w:rPr>
          <w:rFonts w:asciiTheme="majorHAnsi" w:hAnsiTheme="majorHAnsi" w:cstheme="majorHAnsi"/>
          <w:sz w:val="22"/>
        </w:rPr>
      </w:pPr>
      <w:r w:rsidRPr="00AA7F8E">
        <w:rPr>
          <w:rFonts w:asciiTheme="majorHAnsi" w:hAnsiTheme="majorHAnsi" w:cstheme="majorHAnsi"/>
          <w:sz w:val="22"/>
        </w:rPr>
        <w:t>Atitikties vertinimo ataskaita turi atitikti nacionalinės priežiūros įstaigos – Lietuvos Respublikos ryšių reguliavimo tarnybos – direktoriaus 2018 m. birželio 21 d. įsakymu Nr. 1V-588 patvirtinto Kvalifikuotų patikimumo užtikrinimo paslaugų teikėjų ir kvalifikuotų patikimumo užtikrinimo paslaugų statuso suteikimo ir jų įrašymo į nacionalinį patikimą sąrašą bei kvalifikuotų patikimumo užtikrinimo paslaugų teikėjų veiklos ataskaitų teikimo tvarkos aprašo 2 priede nustatytus reikalavimus, nebent iki atitikties vertinimo pabaigos pagal Reglamento (ES) Nr. 910/2014 20 straipsnio 4 dalies a) punktą atitikties vertinimo ataskaitai būtų nustatyti ir įsigaliotų vienodi visoje ES taikytini reikalavimai. Jei nacionalinės priežiūros įstaiga nuspręs, kad tai yra būtina, Atitikties vertinimo įstaiga privalės ataskaitą pildyti ir tikslinti savo lėšomis.</w:t>
      </w:r>
    </w:p>
    <w:p w14:paraId="27375585" w14:textId="71844505" w:rsidR="00074319" w:rsidRPr="00074319" w:rsidRDefault="00074319" w:rsidP="00074319">
      <w:pPr>
        <w:tabs>
          <w:tab w:val="left" w:pos="426"/>
          <w:tab w:val="left" w:pos="1276"/>
        </w:tabs>
        <w:spacing w:after="0" w:line="240" w:lineRule="auto"/>
        <w:jc w:val="both"/>
        <w:rPr>
          <w:rFonts w:ascii="Calibri Light" w:hAnsi="Calibri Light" w:cs="Calibri Light"/>
          <w:b/>
          <w:bCs/>
          <w:sz w:val="22"/>
        </w:rPr>
      </w:pPr>
      <w:r w:rsidRPr="00074319">
        <w:rPr>
          <w:rFonts w:ascii="Calibri Light" w:hAnsi="Calibri Light" w:cs="Calibri Light"/>
          <w:b/>
          <w:bCs/>
          <w:sz w:val="22"/>
        </w:rPr>
        <w:t xml:space="preserve">7. Aplinkos apsaugos kriterijai, kurie taikomi paslaugoms:  </w:t>
      </w:r>
    </w:p>
    <w:p w14:paraId="10D89BAC" w14:textId="3840C171" w:rsidR="00074319" w:rsidRDefault="00074319" w:rsidP="00074319">
      <w:pPr>
        <w:tabs>
          <w:tab w:val="left" w:pos="426"/>
          <w:tab w:val="left" w:pos="1276"/>
        </w:tabs>
        <w:spacing w:after="0" w:line="240" w:lineRule="auto"/>
        <w:jc w:val="both"/>
        <w:rPr>
          <w:rFonts w:ascii="Calibri Light" w:hAnsi="Calibri Light" w:cs="Calibri Light"/>
          <w:sz w:val="22"/>
        </w:rPr>
      </w:pPr>
      <w:r>
        <w:rPr>
          <w:rFonts w:ascii="Calibri Light" w:hAnsi="Calibri Light" w:cs="Calibri Light"/>
          <w:sz w:val="22"/>
        </w:rPr>
        <w:t>7</w:t>
      </w:r>
      <w:r w:rsidRPr="00B84DFC">
        <w:rPr>
          <w:rFonts w:ascii="Calibri Light" w:hAnsi="Calibri Light" w:cs="Calibri Light"/>
          <w:sz w:val="22"/>
        </w:rPr>
        <w:t>.1.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vykdomas žaliasis pirkimas, nes šiuo pirkimu perkamos nematerialaus pobūdžio (intelektinės) paslaugos, nesusijusios su materialaus objekto sukūrimu, kurių teikimo metu nėra numatomas reikšmingas neigiamas poveikis aplinkai, nesukuriamas taršos šaltinis ir negeneruojamos atliekos.</w:t>
      </w:r>
    </w:p>
    <w:p w14:paraId="4A4B0C5C" w14:textId="7A3D2DC3" w:rsidR="00683C0C" w:rsidRPr="00735D34" w:rsidRDefault="00AA7F8E" w:rsidP="00BA7846">
      <w:pPr>
        <w:jc w:val="center"/>
      </w:pPr>
      <w:r>
        <w:rPr>
          <w:rFonts w:asciiTheme="majorHAnsi" w:hAnsiTheme="majorHAnsi" w:cstheme="majorHAnsi"/>
          <w:sz w:val="22"/>
        </w:rPr>
        <w:t>_________________________</w:t>
      </w:r>
    </w:p>
    <w:sectPr w:rsidR="00683C0C" w:rsidRPr="00735D34" w:rsidSect="00AA7F8E">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EA04814"/>
    <w:multiLevelType w:val="multilevel"/>
    <w:tmpl w:val="9B52016A"/>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02042404">
    <w:abstractNumId w:val="0"/>
  </w:num>
  <w:num w:numId="2" w16cid:durableId="1613125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YxMjE3NzM1AzKMLZR0lIJTi4sz8/NACgxrAZV9BTAsAAAA"/>
  </w:docVars>
  <w:rsids>
    <w:rsidRoot w:val="009F69B1"/>
    <w:rsid w:val="00002A8D"/>
    <w:rsid w:val="00037267"/>
    <w:rsid w:val="00074319"/>
    <w:rsid w:val="000D236C"/>
    <w:rsid w:val="000D77EF"/>
    <w:rsid w:val="000E1C43"/>
    <w:rsid w:val="00111AC3"/>
    <w:rsid w:val="0013765D"/>
    <w:rsid w:val="001C68E3"/>
    <w:rsid w:val="001D3FDB"/>
    <w:rsid w:val="001D7FEB"/>
    <w:rsid w:val="001E7A02"/>
    <w:rsid w:val="00283434"/>
    <w:rsid w:val="0029411E"/>
    <w:rsid w:val="002A3D28"/>
    <w:rsid w:val="00321874"/>
    <w:rsid w:val="00326B6E"/>
    <w:rsid w:val="003C3231"/>
    <w:rsid w:val="00425E1B"/>
    <w:rsid w:val="004440E7"/>
    <w:rsid w:val="00452D65"/>
    <w:rsid w:val="00473717"/>
    <w:rsid w:val="004A53C7"/>
    <w:rsid w:val="00515BED"/>
    <w:rsid w:val="00561355"/>
    <w:rsid w:val="0057069C"/>
    <w:rsid w:val="00576D6B"/>
    <w:rsid w:val="0057797F"/>
    <w:rsid w:val="005B5E3F"/>
    <w:rsid w:val="00683C0C"/>
    <w:rsid w:val="006958A0"/>
    <w:rsid w:val="006B27D2"/>
    <w:rsid w:val="00735D34"/>
    <w:rsid w:val="00783866"/>
    <w:rsid w:val="007F1BD6"/>
    <w:rsid w:val="00825FAC"/>
    <w:rsid w:val="008769C8"/>
    <w:rsid w:val="008D3B2D"/>
    <w:rsid w:val="008E5E51"/>
    <w:rsid w:val="008F7D30"/>
    <w:rsid w:val="00995FF6"/>
    <w:rsid w:val="009B5738"/>
    <w:rsid w:val="009F69B1"/>
    <w:rsid w:val="00A32239"/>
    <w:rsid w:val="00A62FD4"/>
    <w:rsid w:val="00A87E28"/>
    <w:rsid w:val="00AA7F8E"/>
    <w:rsid w:val="00AC1971"/>
    <w:rsid w:val="00AD2A62"/>
    <w:rsid w:val="00B73BBA"/>
    <w:rsid w:val="00BA7846"/>
    <w:rsid w:val="00D12884"/>
    <w:rsid w:val="00D40DF5"/>
    <w:rsid w:val="00D626DB"/>
    <w:rsid w:val="00D86417"/>
    <w:rsid w:val="00DC38BE"/>
    <w:rsid w:val="00E06221"/>
    <w:rsid w:val="00E53C87"/>
    <w:rsid w:val="00E66666"/>
    <w:rsid w:val="00E7788A"/>
    <w:rsid w:val="00E93591"/>
    <w:rsid w:val="00F47407"/>
    <w:rsid w:val="00FC5E67"/>
    <w:rsid w:val="00FE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0526B"/>
  <w15:chartTrackingRefBased/>
  <w15:docId w15:val="{DAC520E0-82BB-4E54-BACD-1AE1E712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35D34"/>
    <w:pPr>
      <w:suppressAutoHyphens/>
      <w:autoSpaceDN w:val="0"/>
      <w:spacing w:after="200" w:line="276" w:lineRule="auto"/>
      <w:textAlignment w:val="baseline"/>
    </w:pPr>
    <w:rPr>
      <w:rFonts w:ascii="Times New Roman" w:eastAsia="Calibri" w:hAnsi="Times New Roman" w:cs="Times New Roman"/>
      <w:sz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link w:val="TEKSTASChar"/>
    <w:qFormat/>
    <w:rsid w:val="00735D34"/>
    <w:pPr>
      <w:numPr>
        <w:numId w:val="1"/>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735D34"/>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683C0C"/>
    <w:rPr>
      <w:sz w:val="16"/>
      <w:szCs w:val="16"/>
    </w:rPr>
  </w:style>
  <w:style w:type="paragraph" w:styleId="Komentarotekstas">
    <w:name w:val="annotation text"/>
    <w:basedOn w:val="prastasis"/>
    <w:link w:val="KomentarotekstasDiagrama"/>
    <w:uiPriority w:val="99"/>
    <w:unhideWhenUsed/>
    <w:rsid w:val="00683C0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83C0C"/>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683C0C"/>
    <w:rPr>
      <w:b/>
      <w:bCs/>
    </w:rPr>
  </w:style>
  <w:style w:type="character" w:customStyle="1" w:styleId="KomentarotemaDiagrama">
    <w:name w:val="Komentaro tema Diagrama"/>
    <w:basedOn w:val="KomentarotekstasDiagrama"/>
    <w:link w:val="Komentarotema"/>
    <w:uiPriority w:val="99"/>
    <w:semiHidden/>
    <w:rsid w:val="00683C0C"/>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683C0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83C0C"/>
    <w:rPr>
      <w:rFonts w:ascii="Segoe UI" w:eastAsia="Calibri" w:hAnsi="Segoe UI" w:cs="Segoe UI"/>
      <w:sz w:val="18"/>
      <w:szCs w:val="18"/>
      <w:lang w:val="lt-LT"/>
    </w:rPr>
  </w:style>
  <w:style w:type="paragraph" w:styleId="Pataisymai">
    <w:name w:val="Revision"/>
    <w:hidden/>
    <w:uiPriority w:val="99"/>
    <w:semiHidden/>
    <w:rsid w:val="00E7788A"/>
    <w:pPr>
      <w:spacing w:after="0" w:line="240" w:lineRule="auto"/>
    </w:pPr>
    <w:rPr>
      <w:rFonts w:ascii="Times New Roman" w:eastAsia="Calibri" w:hAnsi="Times New Roman" w:cs="Times New Roman"/>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C7A8614ABC443BABB1C9FF0C4382F7"/>
        <w:category>
          <w:name w:val="General"/>
          <w:gallery w:val="placeholder"/>
        </w:category>
        <w:types>
          <w:type w:val="bbPlcHdr"/>
        </w:types>
        <w:behaviors>
          <w:behavior w:val="content"/>
        </w:behaviors>
        <w:guid w:val="{7C36762F-A116-4D79-A5A3-4773B2DA3DA7}"/>
      </w:docPartPr>
      <w:docPartBody>
        <w:p w:rsidR="00764A39" w:rsidRDefault="00BD1B19" w:rsidP="00BD1B19">
          <w:pPr>
            <w:pStyle w:val="15C7A8614ABC443BABB1C9FF0C4382F7"/>
          </w:pPr>
          <w:r w:rsidRPr="00D160D6">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altName w:val="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B19"/>
    <w:rsid w:val="00002A8D"/>
    <w:rsid w:val="00037267"/>
    <w:rsid w:val="00064217"/>
    <w:rsid w:val="0013765D"/>
    <w:rsid w:val="00186B1D"/>
    <w:rsid w:val="001B41E4"/>
    <w:rsid w:val="001D7FEB"/>
    <w:rsid w:val="0020343C"/>
    <w:rsid w:val="00281F27"/>
    <w:rsid w:val="00283434"/>
    <w:rsid w:val="002A3D28"/>
    <w:rsid w:val="003F3900"/>
    <w:rsid w:val="00434E8B"/>
    <w:rsid w:val="004A53C7"/>
    <w:rsid w:val="00515BED"/>
    <w:rsid w:val="00523EFD"/>
    <w:rsid w:val="00576D6B"/>
    <w:rsid w:val="0057797F"/>
    <w:rsid w:val="00743892"/>
    <w:rsid w:val="00764A39"/>
    <w:rsid w:val="007F1BD6"/>
    <w:rsid w:val="008D3B2D"/>
    <w:rsid w:val="009C6CA6"/>
    <w:rsid w:val="00A47951"/>
    <w:rsid w:val="00A87E28"/>
    <w:rsid w:val="00AC789D"/>
    <w:rsid w:val="00B22B9A"/>
    <w:rsid w:val="00B73BBA"/>
    <w:rsid w:val="00BD1B19"/>
    <w:rsid w:val="00C5199B"/>
    <w:rsid w:val="00D7642B"/>
    <w:rsid w:val="00DE4D7B"/>
    <w:rsid w:val="00E06221"/>
    <w:rsid w:val="00E25E51"/>
    <w:rsid w:val="00E33EEE"/>
    <w:rsid w:val="00E93591"/>
    <w:rsid w:val="00EA743B"/>
    <w:rsid w:val="00F017E5"/>
    <w:rsid w:val="00F3362D"/>
    <w:rsid w:val="00FE66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BD1B19"/>
    <w:rPr>
      <w:color w:val="808080"/>
    </w:rPr>
  </w:style>
  <w:style w:type="paragraph" w:customStyle="1" w:styleId="15C7A8614ABC443BABB1C9FF0C4382F7">
    <w:name w:val="15C7A8614ABC443BABB1C9FF0C4382F7"/>
    <w:rsid w:val="00BD1B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3052</Words>
  <Characters>1740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Klusevicius</dc:creator>
  <cp:keywords/>
  <dc:description/>
  <cp:lastModifiedBy>Česlava Grinienė</cp:lastModifiedBy>
  <cp:revision>3</cp:revision>
  <dcterms:created xsi:type="dcterms:W3CDTF">2025-07-30T07:40:00Z</dcterms:created>
  <dcterms:modified xsi:type="dcterms:W3CDTF">2025-07-30T07:54:00Z</dcterms:modified>
</cp:coreProperties>
</file>