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0" w:type="dxa"/>
          <w:right w:w="10" w:type="dxa"/>
        </w:tblCellMar>
        <w:tblLook w:val="0000" w:firstRow="0" w:lastRow="0" w:firstColumn="0" w:lastColumn="0" w:noHBand="0" w:noVBand="0"/>
      </w:tblPr>
      <w:tblGrid>
        <w:gridCol w:w="9628"/>
      </w:tblGrid>
      <w:tr w:rsidR="00735D34" w:rsidRPr="00D812CD" w14:paraId="16E191C6" w14:textId="77777777" w:rsidTr="00B81652">
        <w:tc>
          <w:tcPr>
            <w:tcW w:w="5000" w:type="pct"/>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13900376" w14:textId="5B70F714" w:rsidR="00735D34" w:rsidRPr="00D812CD" w:rsidRDefault="001E7A02" w:rsidP="00AA7F8E">
            <w:pPr>
              <w:spacing w:after="0" w:line="240" w:lineRule="auto"/>
              <w:jc w:val="center"/>
              <w:rPr>
                <w:sz w:val="22"/>
                <w:lang w:val="en-GB"/>
              </w:rPr>
            </w:pPr>
            <w:r w:rsidRPr="00D812CD">
              <w:rPr>
                <w:rFonts w:ascii="Calibri Light" w:eastAsia="Calibri Light" w:hAnsi="Calibri Light" w:cs="Calibri Light"/>
                <w:b/>
                <w:color w:val="FFFFFF"/>
                <w:sz w:val="22"/>
                <w:lang w:val="en-GB" w:bidi="en-US"/>
              </w:rPr>
              <w:t>RESOURCE AGENCY  &gt; PROCUREMENT DOCUMENTS &gt; TECHNICAL SPECIFICATION</w:t>
            </w:r>
          </w:p>
        </w:tc>
      </w:tr>
    </w:tbl>
    <w:p w14:paraId="66A20C7A" w14:textId="77777777" w:rsidR="00735D34" w:rsidRPr="00D812CD" w:rsidRDefault="00735D34" w:rsidP="00735D34">
      <w:pPr>
        <w:spacing w:after="0" w:line="120" w:lineRule="auto"/>
        <w:jc w:val="center"/>
        <w:rPr>
          <w:rFonts w:ascii="Calibri Light" w:hAnsi="Calibri Light" w:cs="Calibri Light"/>
          <w:szCs w:val="24"/>
          <w:lang w:val="en-GB"/>
        </w:rPr>
      </w:pPr>
    </w:p>
    <w:tbl>
      <w:tblPr>
        <w:tblW w:w="5000" w:type="pct"/>
        <w:tblCellMar>
          <w:left w:w="10" w:type="dxa"/>
          <w:right w:w="10" w:type="dxa"/>
        </w:tblCellMar>
        <w:tblLook w:val="0000" w:firstRow="0" w:lastRow="0" w:firstColumn="0" w:lastColumn="0" w:noHBand="0" w:noVBand="0"/>
      </w:tblPr>
      <w:tblGrid>
        <w:gridCol w:w="9628"/>
      </w:tblGrid>
      <w:tr w:rsidR="00735D34" w:rsidRPr="00D812CD" w14:paraId="46177C6C" w14:textId="77777777" w:rsidTr="00321874">
        <w:trPr>
          <w:trHeight w:val="118"/>
        </w:trPr>
        <w:tc>
          <w:tcPr>
            <w:tcW w:w="5000" w:type="pct"/>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71C5A352" w14:textId="74D53011" w:rsidR="00735D34" w:rsidRPr="00D812CD" w:rsidRDefault="00000000" w:rsidP="00F072B9">
            <w:pPr>
              <w:pStyle w:val="TEKSTAS"/>
              <w:numPr>
                <w:ilvl w:val="0"/>
                <w:numId w:val="0"/>
              </w:numPr>
              <w:ind w:left="360" w:hanging="360"/>
              <w:jc w:val="center"/>
              <w:rPr>
                <w:rFonts w:ascii="Calibri Light" w:hAnsi="Calibri Light"/>
                <w:lang w:val="en-GB"/>
              </w:rPr>
            </w:pPr>
            <w:sdt>
              <w:sdtPr>
                <w:rPr>
                  <w:rFonts w:ascii="Calibri Light" w:hAnsi="Calibri Light" w:cs="Calibri Light"/>
                  <w:b/>
                  <w:sz w:val="22"/>
                  <w:lang w:val="en-GB"/>
                </w:rPr>
                <w:id w:val="-1348779129"/>
                <w:placeholder>
                  <w:docPart w:val="15C7A8614ABC443BABB1C9FF0C4382F7"/>
                </w:placeholder>
              </w:sdtPr>
              <w:sdtContent>
                <w:sdt>
                  <w:sdtPr>
                    <w:rPr>
                      <w:rFonts w:ascii="Calibri Light" w:hAnsi="Calibri Light" w:cs="Calibri Light"/>
                      <w:b/>
                      <w:bCs/>
                      <w:sz w:val="22"/>
                      <w:lang w:val="en-GB"/>
                    </w:rPr>
                    <w:alias w:val="Įrašomas pirkimo pavadinimas ir Nr."/>
                    <w:tag w:val="Įrašomas pirkimo pavadinimas ir Nr."/>
                    <w:id w:val="-1311480434"/>
                    <w:placeholder>
                      <w:docPart w:val="15C7A8614ABC443BABB1C9FF0C4382F7"/>
                    </w:placeholder>
                    <w:text/>
                  </w:sdtPr>
                  <w:sdtContent>
                    <w:r w:rsidR="00AA7F8E" w:rsidRPr="00D812CD">
                      <w:rPr>
                        <w:rFonts w:ascii="Calibri Light" w:eastAsia="Calibri Light" w:hAnsi="Calibri Light" w:cs="Calibri Light"/>
                        <w:b/>
                        <w:sz w:val="22"/>
                        <w:lang w:val="en-GB" w:bidi="en-US"/>
                      </w:rPr>
                      <w:t xml:space="preserve"> Audit of conformity of the trust service activities with the requirements of Regulation (EU) No 910/2014 (PPR-617)</w:t>
                    </w:r>
                  </w:sdtContent>
                </w:sdt>
              </w:sdtContent>
            </w:sdt>
          </w:p>
        </w:tc>
      </w:tr>
    </w:tbl>
    <w:p w14:paraId="349963CA" w14:textId="5F280C8B" w:rsidR="00AA7F8E" w:rsidRPr="00D812CD" w:rsidRDefault="00AA7F8E" w:rsidP="002D300E">
      <w:pPr>
        <w:numPr>
          <w:ilvl w:val="0"/>
          <w:numId w:val="2"/>
        </w:numPr>
        <w:tabs>
          <w:tab w:val="left" w:pos="284"/>
        </w:tabs>
        <w:suppressAutoHyphens w:val="0"/>
        <w:autoSpaceDN/>
        <w:spacing w:before="120" w:after="0" w:line="240" w:lineRule="auto"/>
        <w:ind w:left="0" w:firstLine="0"/>
        <w:jc w:val="both"/>
        <w:textAlignment w:val="auto"/>
        <w:rPr>
          <w:rFonts w:asciiTheme="majorHAnsi" w:hAnsiTheme="majorHAnsi" w:cstheme="majorHAnsi"/>
          <w:b/>
          <w:sz w:val="22"/>
          <w:lang w:val="en-GB"/>
        </w:rPr>
      </w:pPr>
      <w:r w:rsidRPr="00D812CD">
        <w:rPr>
          <w:rFonts w:asciiTheme="majorHAnsi" w:hAnsiTheme="majorHAnsi" w:cstheme="majorHAnsi"/>
          <w:b/>
          <w:sz w:val="22"/>
          <w:lang w:val="en-GB" w:bidi="en-US"/>
        </w:rPr>
        <w:t>Object of the Procurement</w:t>
      </w:r>
      <w:r w:rsidR="00D812CD" w:rsidRPr="00D812CD">
        <w:rPr>
          <w:rFonts w:asciiTheme="majorHAnsi" w:hAnsiTheme="majorHAnsi" w:cstheme="majorHAnsi"/>
          <w:b/>
          <w:sz w:val="22"/>
          <w:lang w:val="en-GB" w:bidi="en-US"/>
        </w:rPr>
        <w:t>.</w:t>
      </w:r>
      <w:r w:rsidRPr="00D812CD">
        <w:rPr>
          <w:rFonts w:asciiTheme="majorHAnsi" w:hAnsiTheme="majorHAnsi" w:cstheme="majorHAnsi"/>
          <w:b/>
          <w:sz w:val="22"/>
          <w:lang w:val="en-GB" w:bidi="en-US"/>
        </w:rPr>
        <w:t xml:space="preserve"> </w:t>
      </w:r>
      <w:r w:rsidRPr="00D812CD">
        <w:rPr>
          <w:rFonts w:asciiTheme="majorHAnsi" w:hAnsiTheme="majorHAnsi" w:cstheme="majorHAnsi"/>
          <w:sz w:val="22"/>
          <w:lang w:val="en-GB" w:bidi="en-US"/>
        </w:rPr>
        <w:t>Assessment of the conformity of the trust service activities with the requirements of Regulation (EU) No 910/2014 of the European Parliament and of the Council on electronic identification and trust services for electronic transactions in the internal market and repealing Directive 1999/93/EC and Regulation (EU) 2024/1183 of the European Parliament and of the Council amending this Regulation as regards establishing the European Digital Identity Framework (hereafter referred to as the Conformity Assessment).</w:t>
      </w:r>
    </w:p>
    <w:p w14:paraId="6BE799DE" w14:textId="55794691" w:rsidR="00F47407" w:rsidRPr="00D812CD" w:rsidRDefault="00AA7F8E" w:rsidP="00AA7F8E">
      <w:pPr>
        <w:numPr>
          <w:ilvl w:val="0"/>
          <w:numId w:val="2"/>
        </w:numPr>
        <w:tabs>
          <w:tab w:val="left" w:pos="284"/>
        </w:tabs>
        <w:suppressAutoHyphens w:val="0"/>
        <w:autoSpaceDN/>
        <w:spacing w:after="0" w:line="240" w:lineRule="auto"/>
        <w:ind w:left="0" w:firstLine="0"/>
        <w:jc w:val="both"/>
        <w:textAlignment w:val="auto"/>
        <w:rPr>
          <w:rFonts w:asciiTheme="majorHAnsi" w:hAnsiTheme="majorHAnsi" w:cstheme="majorHAnsi"/>
          <w:bCs/>
          <w:sz w:val="22"/>
          <w:lang w:val="en-GB"/>
        </w:rPr>
      </w:pPr>
      <w:r w:rsidRPr="00D812CD">
        <w:rPr>
          <w:rFonts w:asciiTheme="majorHAnsi" w:hAnsiTheme="majorHAnsi" w:cstheme="majorHAnsi"/>
          <w:b/>
          <w:sz w:val="22"/>
          <w:lang w:val="en-GB" w:bidi="en-US"/>
        </w:rPr>
        <w:t xml:space="preserve">Scope of the procurement object. </w:t>
      </w:r>
      <w:r w:rsidRPr="00D812CD">
        <w:rPr>
          <w:rFonts w:asciiTheme="majorHAnsi" w:hAnsiTheme="majorHAnsi" w:cstheme="majorHAnsi"/>
          <w:sz w:val="22"/>
          <w:lang w:val="en-GB" w:bidi="en-US"/>
        </w:rPr>
        <w:t xml:space="preserve">The service provider must </w:t>
      </w:r>
      <w:r w:rsidR="00D812CD" w:rsidRPr="00D812CD">
        <w:rPr>
          <w:rFonts w:asciiTheme="majorHAnsi" w:hAnsiTheme="majorHAnsi" w:cstheme="majorHAnsi"/>
          <w:sz w:val="22"/>
          <w:lang w:val="en-GB" w:bidi="en-US"/>
        </w:rPr>
        <w:t>conduct</w:t>
      </w:r>
      <w:r w:rsidRPr="00D812CD">
        <w:rPr>
          <w:rFonts w:asciiTheme="majorHAnsi" w:hAnsiTheme="majorHAnsi" w:cstheme="majorHAnsi"/>
          <w:sz w:val="22"/>
          <w:lang w:val="en-GB" w:bidi="en-US"/>
        </w:rPr>
        <w:t>:</w:t>
      </w:r>
    </w:p>
    <w:p w14:paraId="7BAF71A7" w14:textId="2AFF47EE" w:rsidR="00F47407" w:rsidRPr="00D812CD" w:rsidRDefault="00F47407" w:rsidP="00F47407">
      <w:pPr>
        <w:tabs>
          <w:tab w:val="left" w:pos="284"/>
        </w:tabs>
        <w:suppressAutoHyphens w:val="0"/>
        <w:autoSpaceDN/>
        <w:spacing w:after="0" w:line="240" w:lineRule="auto"/>
        <w:jc w:val="both"/>
        <w:textAlignment w:val="auto"/>
        <w:rPr>
          <w:rFonts w:asciiTheme="majorHAnsi" w:hAnsiTheme="majorHAnsi" w:cstheme="majorHAnsi"/>
          <w:sz w:val="22"/>
          <w:lang w:val="en-GB"/>
        </w:rPr>
      </w:pPr>
      <w:r w:rsidRPr="002D300E">
        <w:rPr>
          <w:rFonts w:asciiTheme="majorHAnsi" w:hAnsiTheme="majorHAnsi" w:cstheme="majorHAnsi"/>
          <w:sz w:val="22"/>
          <w:lang w:val="en-GB" w:bidi="en-US"/>
        </w:rPr>
        <w:t>2.1.</w:t>
      </w:r>
      <w:r w:rsidRPr="00D812CD">
        <w:rPr>
          <w:rFonts w:asciiTheme="majorHAnsi" w:hAnsiTheme="majorHAnsi" w:cstheme="majorHAnsi"/>
          <w:sz w:val="22"/>
          <w:lang w:val="en-GB" w:bidi="en-US"/>
        </w:rPr>
        <w:tab/>
      </w:r>
      <w:r w:rsidR="00D812CD">
        <w:rPr>
          <w:rFonts w:asciiTheme="majorHAnsi" w:hAnsiTheme="majorHAnsi" w:cstheme="majorHAnsi"/>
          <w:sz w:val="22"/>
          <w:lang w:val="en-GB" w:bidi="en-US"/>
        </w:rPr>
        <w:t>Conformity</w:t>
      </w:r>
      <w:r w:rsidRPr="00D812CD">
        <w:rPr>
          <w:rFonts w:asciiTheme="majorHAnsi" w:hAnsiTheme="majorHAnsi" w:cstheme="majorHAnsi"/>
          <w:sz w:val="22"/>
          <w:lang w:val="en-GB" w:bidi="en-US"/>
        </w:rPr>
        <w:t xml:space="preserve"> assessment and submit the conformity assessment report to the Migration Department under the Ministry of the Interior of the Republic of Lithuania (hereinafter referred to as the Migration Department) no later than by 12 September 2025. The deadline for making the conformity assessment and submitting the conformity assessment report may be extended for a period of up to 1 month only due to unforeseen circumstances, the occurrence of which the service provider could not objectively foresee prior to the submission of the tender, and which are beyond the control of the service provider or the Migration Department.</w:t>
      </w:r>
    </w:p>
    <w:p w14:paraId="7B95FFD1" w14:textId="77FE6E94" w:rsidR="00AA7F8E" w:rsidRPr="00D812CD" w:rsidRDefault="00D812CD" w:rsidP="00653E1B">
      <w:pPr>
        <w:tabs>
          <w:tab w:val="left" w:pos="284"/>
        </w:tabs>
        <w:suppressAutoHyphens w:val="0"/>
        <w:autoSpaceDN/>
        <w:spacing w:after="0" w:line="240" w:lineRule="auto"/>
        <w:jc w:val="both"/>
        <w:textAlignment w:val="auto"/>
        <w:rPr>
          <w:rFonts w:asciiTheme="majorHAnsi" w:hAnsiTheme="majorHAnsi" w:cstheme="majorHAnsi"/>
          <w:b/>
          <w:sz w:val="22"/>
          <w:lang w:val="en-GB"/>
        </w:rPr>
      </w:pPr>
      <w:r>
        <w:rPr>
          <w:rFonts w:asciiTheme="majorHAnsi" w:hAnsiTheme="majorHAnsi" w:cstheme="majorHAnsi"/>
          <w:sz w:val="22"/>
          <w:lang w:val="en-GB" w:bidi="en-US"/>
        </w:rPr>
        <w:t>2.2.</w:t>
      </w:r>
      <w:r>
        <w:rPr>
          <w:rFonts w:asciiTheme="majorHAnsi" w:hAnsiTheme="majorHAnsi" w:cstheme="majorHAnsi"/>
          <w:sz w:val="22"/>
          <w:lang w:val="en-GB" w:bidi="en-US"/>
        </w:rPr>
        <w:tab/>
        <w:t>A monitoring audit -</w:t>
      </w:r>
      <w:r w:rsidR="00F47407" w:rsidRPr="00D812CD">
        <w:rPr>
          <w:rFonts w:asciiTheme="majorHAnsi" w:hAnsiTheme="majorHAnsi" w:cstheme="majorHAnsi"/>
          <w:sz w:val="22"/>
          <w:lang w:val="en-GB" w:bidi="en-US"/>
        </w:rPr>
        <w:t xml:space="preserve"> a reassessment of conformity carried out one year after the first assessment, within two months, and submit a report on the conformity assessment. The deadline for the re-assessment of conformity and the submission of the conformity assessment report may be extended for a period of up to 1 month only due to unforeseen circumstances, the occurrence of which the service provider could not objectively foresee prior to the submission of the tender for the present procurement, and which are beyond the control of the service provider or the Migration Department.</w:t>
      </w:r>
    </w:p>
    <w:p w14:paraId="4483E10C" w14:textId="4787B4C2" w:rsidR="00AA7F8E" w:rsidRPr="00D812CD" w:rsidRDefault="00AA7F8E" w:rsidP="00AA7F8E">
      <w:pPr>
        <w:numPr>
          <w:ilvl w:val="0"/>
          <w:numId w:val="2"/>
        </w:numPr>
        <w:tabs>
          <w:tab w:val="left" w:pos="284"/>
        </w:tabs>
        <w:suppressAutoHyphens w:val="0"/>
        <w:autoSpaceDN/>
        <w:spacing w:after="0" w:line="240" w:lineRule="auto"/>
        <w:ind w:left="0" w:firstLine="0"/>
        <w:jc w:val="both"/>
        <w:textAlignment w:val="auto"/>
        <w:rPr>
          <w:rFonts w:asciiTheme="majorHAnsi" w:hAnsiTheme="majorHAnsi" w:cstheme="majorHAnsi"/>
          <w:b/>
          <w:sz w:val="22"/>
          <w:lang w:val="en-GB"/>
        </w:rPr>
      </w:pPr>
      <w:r w:rsidRPr="00D812CD">
        <w:rPr>
          <w:rFonts w:asciiTheme="majorHAnsi" w:hAnsiTheme="majorHAnsi" w:cstheme="majorHAnsi"/>
          <w:b/>
          <w:sz w:val="22"/>
          <w:lang w:val="en-GB" w:bidi="en-US"/>
        </w:rPr>
        <w:t>Place of service provision.</w:t>
      </w:r>
      <w:r w:rsidRPr="00D812CD">
        <w:rPr>
          <w:rFonts w:asciiTheme="majorHAnsi" w:hAnsiTheme="majorHAnsi" w:cstheme="majorHAnsi"/>
          <w:sz w:val="22"/>
          <w:lang w:val="en-GB" w:bidi="en-US"/>
        </w:rPr>
        <w:t xml:space="preserve"> </w:t>
      </w:r>
      <w:r w:rsidR="002D300E">
        <w:rPr>
          <w:rFonts w:asciiTheme="majorHAnsi" w:hAnsiTheme="majorHAnsi" w:cstheme="majorHAnsi"/>
          <w:sz w:val="22"/>
          <w:lang w:val="en-GB" w:bidi="en-US"/>
        </w:rPr>
        <w:t xml:space="preserve">Identity Documents </w:t>
      </w:r>
      <w:r w:rsidRPr="00D812CD">
        <w:rPr>
          <w:rFonts w:asciiTheme="majorHAnsi" w:hAnsiTheme="majorHAnsi" w:cstheme="majorHAnsi"/>
          <w:sz w:val="22"/>
          <w:lang w:val="en-GB" w:bidi="en-US"/>
        </w:rPr>
        <w:t xml:space="preserve">Personalization Division of the Migration Department, </w:t>
      </w:r>
      <w:proofErr w:type="spellStart"/>
      <w:r w:rsidRPr="00D812CD">
        <w:rPr>
          <w:rFonts w:asciiTheme="majorHAnsi" w:hAnsiTheme="majorHAnsi" w:cstheme="majorHAnsi"/>
          <w:sz w:val="22"/>
          <w:lang w:val="en-GB" w:bidi="en-US"/>
        </w:rPr>
        <w:t>Žirmūnų</w:t>
      </w:r>
      <w:proofErr w:type="spellEnd"/>
      <w:r w:rsidRPr="00D812CD">
        <w:rPr>
          <w:rFonts w:asciiTheme="majorHAnsi" w:hAnsiTheme="majorHAnsi" w:cstheme="majorHAnsi"/>
          <w:sz w:val="22"/>
          <w:lang w:val="en-GB" w:bidi="en-US"/>
        </w:rPr>
        <w:t xml:space="preserve"> St. 1 D, Vilnius. </w:t>
      </w:r>
    </w:p>
    <w:p w14:paraId="125D6766" w14:textId="77777777" w:rsidR="00AA7F8E" w:rsidRPr="00D812CD" w:rsidRDefault="00AA7F8E" w:rsidP="00AA7F8E">
      <w:pPr>
        <w:numPr>
          <w:ilvl w:val="0"/>
          <w:numId w:val="2"/>
        </w:numPr>
        <w:tabs>
          <w:tab w:val="left" w:pos="284"/>
        </w:tabs>
        <w:suppressAutoHyphens w:val="0"/>
        <w:autoSpaceDN/>
        <w:spacing w:after="0" w:line="240" w:lineRule="auto"/>
        <w:ind w:left="0" w:firstLine="0"/>
        <w:jc w:val="both"/>
        <w:textAlignment w:val="auto"/>
        <w:rPr>
          <w:rFonts w:asciiTheme="majorHAnsi" w:hAnsiTheme="majorHAnsi" w:cstheme="majorHAnsi"/>
          <w:b/>
          <w:sz w:val="22"/>
          <w:lang w:val="en-GB"/>
        </w:rPr>
      </w:pPr>
      <w:r w:rsidRPr="00D812CD">
        <w:rPr>
          <w:rFonts w:asciiTheme="majorHAnsi" w:hAnsiTheme="majorHAnsi" w:cstheme="majorHAnsi"/>
          <w:b/>
          <w:sz w:val="22"/>
          <w:lang w:val="en-GB" w:bidi="en-US"/>
        </w:rPr>
        <w:t>Specifics of the services procured.</w:t>
      </w:r>
    </w:p>
    <w:p w14:paraId="245465F5" w14:textId="77777777" w:rsidR="00AA7F8E" w:rsidRPr="00D812CD" w:rsidRDefault="00AA7F8E" w:rsidP="00AA7F8E">
      <w:pPr>
        <w:numPr>
          <w:ilvl w:val="1"/>
          <w:numId w:val="2"/>
        </w:numPr>
        <w:tabs>
          <w:tab w:val="left" w:pos="284"/>
          <w:tab w:val="left" w:pos="426"/>
          <w:tab w:val="left" w:pos="851"/>
        </w:tabs>
        <w:suppressAutoHyphens w:val="0"/>
        <w:autoSpaceDN/>
        <w:spacing w:after="0" w:line="240" w:lineRule="auto"/>
        <w:ind w:left="0" w:firstLine="0"/>
        <w:jc w:val="both"/>
        <w:textAlignment w:val="auto"/>
        <w:rPr>
          <w:rFonts w:asciiTheme="majorHAnsi" w:hAnsiTheme="majorHAnsi" w:cstheme="majorHAnsi"/>
          <w:b/>
          <w:sz w:val="22"/>
          <w:lang w:val="en-GB"/>
        </w:rPr>
      </w:pPr>
      <w:bookmarkStart w:id="0" w:name="_Hlk200356674"/>
      <w:r w:rsidRPr="00D812CD">
        <w:rPr>
          <w:rFonts w:asciiTheme="majorHAnsi" w:hAnsiTheme="majorHAnsi" w:cstheme="majorHAnsi"/>
          <w:sz w:val="22"/>
          <w:lang w:val="en-GB" w:bidi="en-US"/>
        </w:rPr>
        <w:t xml:space="preserve"> The Migration Department</w:t>
      </w:r>
      <w:bookmarkStart w:id="1" w:name="_Hlk200356686"/>
      <w:bookmarkEnd w:id="0"/>
      <w:r w:rsidRPr="00D812CD">
        <w:rPr>
          <w:rFonts w:asciiTheme="majorHAnsi" w:hAnsiTheme="majorHAnsi" w:cstheme="majorHAnsi"/>
          <w:sz w:val="22"/>
          <w:lang w:val="en-GB" w:bidi="en-US"/>
        </w:rPr>
        <w:t xml:space="preserve"> aims to become a qualified trust service provider</w:t>
      </w:r>
      <w:bookmarkEnd w:id="1"/>
      <w:r w:rsidRPr="00D812CD">
        <w:rPr>
          <w:rFonts w:asciiTheme="majorHAnsi" w:hAnsiTheme="majorHAnsi" w:cstheme="majorHAnsi"/>
          <w:sz w:val="22"/>
          <w:lang w:val="en-GB" w:bidi="en-US"/>
        </w:rPr>
        <w:t xml:space="preserve"> for the creation and management of qualified electronic signature certificates in accordance with Regulation (EU) No 910/2014 and Regulation (EU) No 2024/1183. As a trust service provider, the Migration Department aims to issue qualified electronic signature certificates to four target groups: citizens of the Republic of Lithuania, civil servants of the Republic of Lithuania, officials of the internal service system of the Republic of Lithuania and electronic residents of the Republic of Lithuania.</w:t>
      </w:r>
    </w:p>
    <w:p w14:paraId="54D840CB" w14:textId="77777777" w:rsidR="00AA7F8E" w:rsidRPr="00D812CD" w:rsidRDefault="00AA7F8E" w:rsidP="00AA7F8E">
      <w:pPr>
        <w:numPr>
          <w:ilvl w:val="1"/>
          <w:numId w:val="2"/>
        </w:numPr>
        <w:tabs>
          <w:tab w:val="left" w:pos="284"/>
          <w:tab w:val="left" w:pos="426"/>
          <w:tab w:val="left" w:pos="851"/>
        </w:tabs>
        <w:suppressAutoHyphens w:val="0"/>
        <w:autoSpaceDN/>
        <w:spacing w:after="0" w:line="240" w:lineRule="auto"/>
        <w:ind w:left="0" w:firstLine="0"/>
        <w:jc w:val="both"/>
        <w:textAlignment w:val="auto"/>
        <w:rPr>
          <w:rFonts w:asciiTheme="majorHAnsi" w:hAnsiTheme="majorHAnsi" w:cstheme="majorHAnsi"/>
          <w:b/>
          <w:sz w:val="22"/>
          <w:lang w:val="en-GB"/>
        </w:rPr>
      </w:pPr>
      <w:r w:rsidRPr="00D812CD">
        <w:rPr>
          <w:rFonts w:asciiTheme="majorHAnsi" w:hAnsiTheme="majorHAnsi" w:cstheme="majorHAnsi"/>
          <w:sz w:val="22"/>
          <w:lang w:val="en-GB" w:bidi="en-US"/>
        </w:rPr>
        <w:t>In order to obtain the status of a qualified trust service provider and in accordance with the requirements of Article 20(1) of Regulation (EU) No 910/2014, the Migration Department must obtain a conformity assessment report on the conformity of the trust service activities carried out by the Migration Department issued by an accredited conformity assessment authority by 12 September 2025, which it will be obliged to submit to the national supervisory authority - the Communications Regulatory Authority of the Republic of Lithuania.</w:t>
      </w:r>
    </w:p>
    <w:p w14:paraId="073A8EF4" w14:textId="77777777" w:rsidR="00AA7F8E" w:rsidRPr="00D812CD" w:rsidRDefault="00AA7F8E" w:rsidP="00AA7F8E">
      <w:pPr>
        <w:numPr>
          <w:ilvl w:val="0"/>
          <w:numId w:val="2"/>
        </w:numPr>
        <w:tabs>
          <w:tab w:val="left" w:pos="284"/>
          <w:tab w:val="left" w:pos="426"/>
          <w:tab w:val="left" w:pos="851"/>
        </w:tabs>
        <w:suppressAutoHyphens w:val="0"/>
        <w:autoSpaceDN/>
        <w:spacing w:after="0" w:line="240" w:lineRule="auto"/>
        <w:ind w:left="0" w:firstLine="0"/>
        <w:jc w:val="both"/>
        <w:textAlignment w:val="auto"/>
        <w:rPr>
          <w:rFonts w:asciiTheme="majorHAnsi" w:hAnsiTheme="majorHAnsi" w:cstheme="majorHAnsi"/>
          <w:sz w:val="22"/>
          <w:lang w:val="en-GB"/>
        </w:rPr>
      </w:pPr>
      <w:r w:rsidRPr="00D812CD">
        <w:rPr>
          <w:rFonts w:asciiTheme="majorHAnsi" w:hAnsiTheme="majorHAnsi" w:cstheme="majorHAnsi"/>
          <w:sz w:val="22"/>
          <w:lang w:val="en-GB" w:bidi="en-US"/>
        </w:rPr>
        <w:t>Only conformity assessment institutions accredited for that purpose, as defined in Article 3(18) of Regulation (EU) No 910/2014, may carry out a conformity assessment and prepare a conformity assessment report.</w:t>
      </w:r>
    </w:p>
    <w:p w14:paraId="6C8AECFF" w14:textId="77777777" w:rsidR="00AA7F8E" w:rsidRPr="00D812CD" w:rsidRDefault="00AA7F8E" w:rsidP="00AA7F8E">
      <w:pPr>
        <w:numPr>
          <w:ilvl w:val="0"/>
          <w:numId w:val="2"/>
        </w:numPr>
        <w:tabs>
          <w:tab w:val="left" w:pos="284"/>
          <w:tab w:val="left" w:pos="426"/>
          <w:tab w:val="left" w:pos="851"/>
        </w:tabs>
        <w:suppressAutoHyphens w:val="0"/>
        <w:autoSpaceDN/>
        <w:spacing w:after="0" w:line="240" w:lineRule="auto"/>
        <w:ind w:left="0" w:firstLine="0"/>
        <w:jc w:val="both"/>
        <w:textAlignment w:val="auto"/>
        <w:rPr>
          <w:rFonts w:asciiTheme="majorHAnsi" w:hAnsiTheme="majorHAnsi" w:cstheme="majorHAnsi"/>
          <w:sz w:val="22"/>
          <w:lang w:val="en-GB"/>
        </w:rPr>
      </w:pPr>
      <w:r w:rsidRPr="00D812CD">
        <w:rPr>
          <w:rFonts w:asciiTheme="majorHAnsi" w:hAnsiTheme="majorHAnsi" w:cstheme="majorHAnsi"/>
          <w:sz w:val="22"/>
          <w:lang w:val="en-GB" w:bidi="en-US"/>
        </w:rPr>
        <w:t>The conformity assessment report shall comply with the requirements set out in Annex 2 of the description of the procedure for the granting of the status of qualified trust service providers and qualified trust services and their inclusion in the national trusted list and the procedure for the submission of reports on the activities of qualified trust service providers, approved by Order No. 1V-588 of the Director of the national supervisory authority, the Communications Regulatory Authority of the Republic of Lithuania, of 21 June 2018, unless uniform EU-wide requirements for the conformity assessment report have been established and entered into force by the end of the conformity assessment pursuant to Article 20(4)(a) of Regulation (EU) No 910/2014. If the national supervisory authority deems it necessary, the Conformity Assessment Authority will be obliged to complete and revise the report at its own expense.</w:t>
      </w:r>
    </w:p>
    <w:p w14:paraId="27375585" w14:textId="71844505" w:rsidR="00074319" w:rsidRPr="00D812CD" w:rsidRDefault="00074319" w:rsidP="00074319">
      <w:pPr>
        <w:tabs>
          <w:tab w:val="left" w:pos="426"/>
          <w:tab w:val="left" w:pos="1276"/>
        </w:tabs>
        <w:spacing w:after="0" w:line="240" w:lineRule="auto"/>
        <w:jc w:val="both"/>
        <w:rPr>
          <w:rFonts w:ascii="Calibri Light" w:hAnsi="Calibri Light" w:cs="Calibri Light"/>
          <w:b/>
          <w:bCs/>
          <w:sz w:val="22"/>
          <w:lang w:val="en-GB"/>
        </w:rPr>
      </w:pPr>
      <w:r w:rsidRPr="00D812CD">
        <w:rPr>
          <w:rFonts w:ascii="Calibri Light" w:eastAsia="Calibri Light" w:hAnsi="Calibri Light" w:cs="Calibri Light"/>
          <w:b/>
          <w:sz w:val="22"/>
          <w:lang w:val="en-GB" w:bidi="en-US"/>
        </w:rPr>
        <w:t xml:space="preserve">7. Environmental criteria that apply to the services:  </w:t>
      </w:r>
    </w:p>
    <w:p w14:paraId="10D89BAC" w14:textId="3840C171" w:rsidR="00074319" w:rsidRPr="00D812CD" w:rsidRDefault="00074319" w:rsidP="00074319">
      <w:pPr>
        <w:tabs>
          <w:tab w:val="left" w:pos="426"/>
          <w:tab w:val="left" w:pos="1276"/>
        </w:tabs>
        <w:spacing w:after="0" w:line="240" w:lineRule="auto"/>
        <w:jc w:val="both"/>
        <w:rPr>
          <w:rFonts w:ascii="Calibri Light" w:hAnsi="Calibri Light" w:cs="Calibri Light"/>
          <w:sz w:val="22"/>
          <w:lang w:val="en-GB"/>
        </w:rPr>
      </w:pPr>
      <w:r w:rsidRPr="00D812CD">
        <w:rPr>
          <w:rFonts w:ascii="Calibri Light" w:eastAsia="Calibri Light" w:hAnsi="Calibri Light" w:cs="Calibri Light"/>
          <w:sz w:val="22"/>
          <w:lang w:val="en-GB" w:bidi="en-US"/>
        </w:rPr>
        <w:t xml:space="preserve">7.1. In accordance with sub-clause 4.4.3 of the description of the procedure for the application of environmental criteria in green procurement, approved by the Order No  D1-508 of the Minister of the </w:t>
      </w:r>
      <w:r w:rsidRPr="00D812CD">
        <w:rPr>
          <w:rFonts w:ascii="Calibri Light" w:eastAsia="Calibri Light" w:hAnsi="Calibri Light" w:cs="Calibri Light"/>
          <w:sz w:val="22"/>
          <w:lang w:val="en-GB" w:bidi="en-US"/>
        </w:rPr>
        <w:lastRenderedPageBreak/>
        <w:t>Environment of the Republic of Lithuania of 28 June 2011 “On the Approval of the Procedure for the Application of Environmental Criteria in Green Procurement”, a green procurement is carried out because it involves the procurement of intangible (intellectual) services that do not involve the creation of a tangible object, and which are not expected to have a significant negative impact on the environment, do not create a source of pollution or generate waste.</w:t>
      </w:r>
    </w:p>
    <w:p w14:paraId="4A4B0C5C" w14:textId="0E8776E7" w:rsidR="00683C0C" w:rsidRPr="00D812CD" w:rsidRDefault="00AA7F8E" w:rsidP="00946D9A">
      <w:pPr>
        <w:jc w:val="center"/>
        <w:rPr>
          <w:rFonts w:asciiTheme="majorHAnsi" w:hAnsiTheme="majorHAnsi" w:cstheme="majorHAnsi"/>
          <w:sz w:val="22"/>
          <w:lang w:val="en-GB"/>
        </w:rPr>
      </w:pPr>
      <w:r w:rsidRPr="00D812CD">
        <w:rPr>
          <w:rFonts w:asciiTheme="majorHAnsi" w:hAnsiTheme="majorHAnsi" w:cstheme="majorHAnsi"/>
          <w:sz w:val="22"/>
          <w:lang w:val="en-GB" w:bidi="en-US"/>
        </w:rPr>
        <w:t>____________________________</w:t>
      </w:r>
    </w:p>
    <w:sectPr w:rsidR="00683C0C" w:rsidRPr="00D812CD" w:rsidSect="005D1E21">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0EA04814"/>
    <w:multiLevelType w:val="multilevel"/>
    <w:tmpl w:val="9B52016A"/>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78535185">
    <w:abstractNumId w:val="0"/>
  </w:num>
  <w:num w:numId="2" w16cid:durableId="802383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YxMjE3NzM1AzKMLZR0lIJTi4sz8/NACgxrAZV9BTAsAAAA"/>
  </w:docVars>
  <w:rsids>
    <w:rsidRoot w:val="009F69B1"/>
    <w:rsid w:val="00002A8D"/>
    <w:rsid w:val="00037267"/>
    <w:rsid w:val="00074319"/>
    <w:rsid w:val="000D236C"/>
    <w:rsid w:val="000D77EF"/>
    <w:rsid w:val="000E1C43"/>
    <w:rsid w:val="00111AC3"/>
    <w:rsid w:val="0013765D"/>
    <w:rsid w:val="001D3FDB"/>
    <w:rsid w:val="001D7FEB"/>
    <w:rsid w:val="001E7A02"/>
    <w:rsid w:val="00283434"/>
    <w:rsid w:val="0029411E"/>
    <w:rsid w:val="002A3D28"/>
    <w:rsid w:val="002D300E"/>
    <w:rsid w:val="00321874"/>
    <w:rsid w:val="00326B6E"/>
    <w:rsid w:val="003C3231"/>
    <w:rsid w:val="00425E1B"/>
    <w:rsid w:val="004440E7"/>
    <w:rsid w:val="00452D65"/>
    <w:rsid w:val="00473717"/>
    <w:rsid w:val="004A53C7"/>
    <w:rsid w:val="00515BED"/>
    <w:rsid w:val="00561355"/>
    <w:rsid w:val="0057069C"/>
    <w:rsid w:val="00576D6B"/>
    <w:rsid w:val="0057797F"/>
    <w:rsid w:val="005B5E3F"/>
    <w:rsid w:val="005D1E21"/>
    <w:rsid w:val="00653E1B"/>
    <w:rsid w:val="00683C0C"/>
    <w:rsid w:val="006958A0"/>
    <w:rsid w:val="006B27D2"/>
    <w:rsid w:val="00735D34"/>
    <w:rsid w:val="00783866"/>
    <w:rsid w:val="007F1BD6"/>
    <w:rsid w:val="00825FAC"/>
    <w:rsid w:val="008D3B2D"/>
    <w:rsid w:val="008E5E51"/>
    <w:rsid w:val="008F7D30"/>
    <w:rsid w:val="00946D9A"/>
    <w:rsid w:val="00995FF6"/>
    <w:rsid w:val="009B5738"/>
    <w:rsid w:val="009F69B1"/>
    <w:rsid w:val="009F6C89"/>
    <w:rsid w:val="00A32239"/>
    <w:rsid w:val="00A62FD4"/>
    <w:rsid w:val="00A87E28"/>
    <w:rsid w:val="00AA7F8E"/>
    <w:rsid w:val="00AC1971"/>
    <w:rsid w:val="00AD2A62"/>
    <w:rsid w:val="00AD6913"/>
    <w:rsid w:val="00B81652"/>
    <w:rsid w:val="00D12884"/>
    <w:rsid w:val="00D40DF5"/>
    <w:rsid w:val="00D626DB"/>
    <w:rsid w:val="00D812CD"/>
    <w:rsid w:val="00DC38BE"/>
    <w:rsid w:val="00E06221"/>
    <w:rsid w:val="00E53C87"/>
    <w:rsid w:val="00E66666"/>
    <w:rsid w:val="00E7788A"/>
    <w:rsid w:val="00E93591"/>
    <w:rsid w:val="00EC79B7"/>
    <w:rsid w:val="00F47407"/>
    <w:rsid w:val="00FC5E67"/>
    <w:rsid w:val="00FE66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526B"/>
  <w15:docId w15:val="{DF04A621-50C5-472A-99DD-138A611E4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35D34"/>
    <w:pPr>
      <w:suppressAutoHyphens/>
      <w:autoSpaceDN w:val="0"/>
      <w:spacing w:after="200" w:line="276" w:lineRule="auto"/>
      <w:textAlignment w:val="baseline"/>
    </w:pPr>
    <w:rPr>
      <w:rFonts w:ascii="Times New Roman" w:eastAsia="Calibri" w:hAnsi="Times New Roman" w:cs="Times New Roman"/>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Char"/>
    <w:qFormat/>
    <w:rsid w:val="00735D34"/>
    <w:pPr>
      <w:numPr>
        <w:numId w:val="1"/>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735D34"/>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683C0C"/>
    <w:rPr>
      <w:sz w:val="16"/>
      <w:szCs w:val="16"/>
    </w:rPr>
  </w:style>
  <w:style w:type="paragraph" w:styleId="Komentarotekstas">
    <w:name w:val="annotation text"/>
    <w:basedOn w:val="prastasis"/>
    <w:link w:val="KomentarotekstasDiagrama"/>
    <w:uiPriority w:val="99"/>
    <w:unhideWhenUsed/>
    <w:rsid w:val="00683C0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83C0C"/>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683C0C"/>
    <w:rPr>
      <w:b/>
      <w:bCs/>
    </w:rPr>
  </w:style>
  <w:style w:type="character" w:customStyle="1" w:styleId="KomentarotemaDiagrama">
    <w:name w:val="Komentaro tema Diagrama"/>
    <w:basedOn w:val="KomentarotekstasDiagrama"/>
    <w:link w:val="Komentarotema"/>
    <w:uiPriority w:val="99"/>
    <w:semiHidden/>
    <w:rsid w:val="00683C0C"/>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683C0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83C0C"/>
    <w:rPr>
      <w:rFonts w:ascii="Segoe UI" w:eastAsia="Calibri" w:hAnsi="Segoe UI" w:cs="Segoe UI"/>
      <w:sz w:val="18"/>
      <w:szCs w:val="18"/>
      <w:lang w:val="lt-LT"/>
    </w:rPr>
  </w:style>
  <w:style w:type="paragraph" w:styleId="Pataisymai">
    <w:name w:val="Revision"/>
    <w:hidden/>
    <w:uiPriority w:val="99"/>
    <w:semiHidden/>
    <w:rsid w:val="00E7788A"/>
    <w:pPr>
      <w:spacing w:after="0" w:line="240" w:lineRule="auto"/>
    </w:pPr>
    <w:rPr>
      <w:rFonts w:ascii="Times New Roman" w:eastAsia="Calibri" w:hAnsi="Times New Roman" w:cs="Times New Roman"/>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C7A8614ABC443BABB1C9FF0C4382F7"/>
        <w:category>
          <w:name w:val="General"/>
          <w:gallery w:val="placeholder"/>
        </w:category>
        <w:types>
          <w:type w:val="bbPlcHdr"/>
        </w:types>
        <w:behaviors>
          <w:behavior w:val="content"/>
        </w:behaviors>
        <w:guid w:val="{7C36762F-A116-4D79-A5A3-4773B2DA3DA7}"/>
      </w:docPartPr>
      <w:docPartBody>
        <w:p w:rsidR="00764A39" w:rsidRDefault="00BD1B19" w:rsidP="00BD1B19">
          <w:pPr>
            <w:pStyle w:val="15C7A8614ABC443BABB1C9FF0C4382F7"/>
          </w:pPr>
          <w:r w:rsidRPr="00D160D6">
            <w:rPr>
              <w:rStyle w:val="Vietosrezervavimoenklotekstas"/>
              <w:lang w:bidi="en-U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1B19"/>
    <w:rsid w:val="00002A8D"/>
    <w:rsid w:val="00037267"/>
    <w:rsid w:val="00064217"/>
    <w:rsid w:val="0013765D"/>
    <w:rsid w:val="00186B1D"/>
    <w:rsid w:val="001B41E4"/>
    <w:rsid w:val="001D7FEB"/>
    <w:rsid w:val="0020343C"/>
    <w:rsid w:val="00281F27"/>
    <w:rsid w:val="00283434"/>
    <w:rsid w:val="002A3D28"/>
    <w:rsid w:val="003C6D21"/>
    <w:rsid w:val="00434E8B"/>
    <w:rsid w:val="004A53C7"/>
    <w:rsid w:val="00515BED"/>
    <w:rsid w:val="00523EFD"/>
    <w:rsid w:val="00576D6B"/>
    <w:rsid w:val="0057797F"/>
    <w:rsid w:val="00743892"/>
    <w:rsid w:val="00764A39"/>
    <w:rsid w:val="007F1BD6"/>
    <w:rsid w:val="008A78AB"/>
    <w:rsid w:val="008D3B2D"/>
    <w:rsid w:val="009C6CA6"/>
    <w:rsid w:val="009F468C"/>
    <w:rsid w:val="00A47951"/>
    <w:rsid w:val="00A87E28"/>
    <w:rsid w:val="00AC789D"/>
    <w:rsid w:val="00AD6913"/>
    <w:rsid w:val="00B22B9A"/>
    <w:rsid w:val="00BD1B19"/>
    <w:rsid w:val="00C5199B"/>
    <w:rsid w:val="00D7642B"/>
    <w:rsid w:val="00DE4D7B"/>
    <w:rsid w:val="00E06221"/>
    <w:rsid w:val="00E25E51"/>
    <w:rsid w:val="00E33EEE"/>
    <w:rsid w:val="00E93591"/>
    <w:rsid w:val="00EA743B"/>
    <w:rsid w:val="00EC79B7"/>
    <w:rsid w:val="00EE4813"/>
    <w:rsid w:val="00F017E5"/>
    <w:rsid w:val="00FE66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BD1B19"/>
    <w:rPr>
      <w:color w:val="808080"/>
    </w:rPr>
  </w:style>
  <w:style w:type="paragraph" w:customStyle="1" w:styleId="15C7A8614ABC443BABB1C9FF0C4382F7">
    <w:name w:val="15C7A8614ABC443BABB1C9FF0C4382F7"/>
    <w:rsid w:val="00BD1B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3307</Words>
  <Characters>1885</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Klusevicius</dc:creator>
  <cp:keywords/>
  <dc:description/>
  <cp:lastModifiedBy>Česlava Grinienė</cp:lastModifiedBy>
  <cp:revision>4</cp:revision>
  <dcterms:created xsi:type="dcterms:W3CDTF">2025-07-31T11:23:00Z</dcterms:created>
  <dcterms:modified xsi:type="dcterms:W3CDTF">2025-07-31T11:26:00Z</dcterms:modified>
</cp:coreProperties>
</file>