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16409750" w14:textId="77777777" w:rsidR="001F27E5" w:rsidRDefault="001F27E5" w:rsidP="001F27E5">
      <w:pPr>
        <w:spacing w:line="276" w:lineRule="auto"/>
        <w:jc w:val="center"/>
        <w:rPr>
          <w:rStyle w:val="Hipersaitas"/>
        </w:rPr>
      </w:pPr>
      <w:r>
        <w:rPr>
          <w:szCs w:val="24"/>
        </w:rPr>
        <w:t xml:space="preserve">Savivaldybės biudžetinė įstaiga , Vytauto Didžiojo g. 58, 86143  Kelmė , duomenys kaupiami ir saugomi Juridinių asmenų registre, Kodas 188768730, Tel. (0 427) 69 053, El. p. </w:t>
      </w:r>
      <w:hyperlink r:id="rId9" w:history="1">
        <w:r>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1F27E5">
      <w:pPr>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59A63F07" w14:textId="77777777" w:rsidR="001F27E5" w:rsidRDefault="0086160C" w:rsidP="001F27E5">
      <w:pPr>
        <w:jc w:val="center"/>
        <w:rPr>
          <w:rStyle w:val="form-control"/>
          <w:rFonts w:eastAsiaTheme="majorEastAsia"/>
          <w:b/>
          <w:caps/>
        </w:rPr>
      </w:pPr>
      <w:bookmarkStart w:id="2" w:name="_Hlk204931189"/>
      <w:bookmarkStart w:id="3" w:name="_Hlk499562436"/>
      <w:bookmarkEnd w:id="1"/>
      <w:r w:rsidRPr="001F27E5">
        <w:rPr>
          <w:rStyle w:val="form-control"/>
          <w:rFonts w:asciiTheme="majorBidi" w:eastAsiaTheme="majorEastAsia" w:hAnsiTheme="majorBidi" w:cstheme="majorBidi"/>
          <w:b/>
          <w:caps/>
        </w:rPr>
        <w:t>„</w:t>
      </w:r>
      <w:r w:rsidR="002E6F4B" w:rsidRPr="001F27E5">
        <w:rPr>
          <w:rStyle w:val="form-control"/>
          <w:rFonts w:asciiTheme="majorBidi" w:eastAsiaTheme="majorEastAsia" w:hAnsiTheme="majorBidi" w:cstheme="majorBidi"/>
          <w:b/>
          <w:caps/>
        </w:rPr>
        <w:t>Užvenčio m</w:t>
      </w:r>
      <w:r w:rsidR="001F27E5">
        <w:rPr>
          <w:rStyle w:val="form-control"/>
          <w:rFonts w:asciiTheme="majorBidi" w:eastAsiaTheme="majorEastAsia" w:hAnsiTheme="majorBidi" w:cstheme="majorBidi"/>
          <w:b/>
          <w:caps/>
        </w:rPr>
        <w:t>iesto</w:t>
      </w:r>
      <w:r w:rsidR="002E6F4B" w:rsidRPr="001F27E5">
        <w:rPr>
          <w:rStyle w:val="form-control"/>
          <w:rFonts w:asciiTheme="majorBidi" w:eastAsiaTheme="majorEastAsia" w:hAnsiTheme="majorBidi" w:cstheme="majorBidi"/>
          <w:b/>
          <w:caps/>
        </w:rPr>
        <w:t xml:space="preserve"> civilinių kapinių tvoros remonto darbai</w:t>
      </w:r>
      <w:r w:rsidR="00592E99" w:rsidRPr="001F27E5">
        <w:rPr>
          <w:rStyle w:val="form-control"/>
          <w:rFonts w:asciiTheme="majorBidi" w:eastAsiaTheme="majorEastAsia" w:hAnsiTheme="majorBidi" w:cstheme="majorBidi"/>
          <w:b/>
          <w:caps/>
        </w:rPr>
        <w:t>”</w:t>
      </w:r>
      <w:bookmarkEnd w:id="2"/>
    </w:p>
    <w:p w14:paraId="43EC59F0" w14:textId="0B1FAFC1" w:rsidR="0060156C" w:rsidRPr="0086160C" w:rsidRDefault="002E6F4B" w:rsidP="001F27E5">
      <w:pPr>
        <w:jc w:val="center"/>
        <w:rPr>
          <w:rStyle w:val="form-control"/>
          <w:rFonts w:eastAsiaTheme="majorEastAsia"/>
          <w:b/>
          <w:caps/>
        </w:rPr>
      </w:pPr>
      <w:r w:rsidRPr="0086160C">
        <w:rPr>
          <w:rStyle w:val="form-control"/>
          <w:rFonts w:eastAsiaTheme="majorEastAsia"/>
          <w:b/>
          <w:caps/>
        </w:rPr>
        <w:t>(II etapas)</w:t>
      </w:r>
    </w:p>
    <w:p w14:paraId="73C62FD5" w14:textId="77777777" w:rsidR="0060156C" w:rsidRPr="0060156C" w:rsidRDefault="0060156C" w:rsidP="001F27E5">
      <w:pPr>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6887C0D5" w14:textId="77777777" w:rsidR="00DF3541" w:rsidRDefault="00DF3541" w:rsidP="000B2096">
      <w:pPr>
        <w:keepNext/>
        <w:keepLines/>
        <w:spacing w:line="276" w:lineRule="auto"/>
        <w:jc w:val="center"/>
        <w:rPr>
          <w:b/>
          <w:szCs w:val="24"/>
        </w:rPr>
      </w:pPr>
    </w:p>
    <w:p w14:paraId="30592476" w14:textId="7328350A" w:rsidR="000B2096" w:rsidRPr="0060156C" w:rsidRDefault="000B2096" w:rsidP="000B2096">
      <w:pPr>
        <w:keepNext/>
        <w:keepLines/>
        <w:spacing w:line="276" w:lineRule="auto"/>
        <w:jc w:val="center"/>
        <w:rPr>
          <w:b/>
          <w:szCs w:val="24"/>
        </w:rPr>
      </w:pPr>
      <w:r w:rsidRPr="0060156C">
        <w:rPr>
          <w:b/>
          <w:szCs w:val="24"/>
        </w:rPr>
        <w:t>I.</w:t>
      </w:r>
      <w:bookmarkEnd w:id="3"/>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1D06BC2F" w:rsidR="000B2096" w:rsidRPr="0060156C" w:rsidRDefault="000B2096" w:rsidP="004110EE">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Pr="00C1121C">
        <w:rPr>
          <w:b/>
          <w:bCs/>
          <w:i/>
          <w:iCs/>
          <w:szCs w:val="24"/>
        </w:rPr>
        <w:t>„</w:t>
      </w:r>
      <w:r w:rsidR="004110EE" w:rsidRPr="004110EE">
        <w:rPr>
          <w:b/>
          <w:i/>
        </w:rPr>
        <w:t>Užvenčio miesto civilinių kapinių tvoros remonto darbai</w:t>
      </w:r>
      <w:r w:rsidR="001F27E5">
        <w:rPr>
          <w:b/>
          <w:i/>
        </w:rPr>
        <w:t>”</w:t>
      </w:r>
      <w:r w:rsidR="0086160C">
        <w:rPr>
          <w:b/>
          <w:i/>
        </w:rPr>
        <w:t xml:space="preserve"> (II etapas)</w:t>
      </w:r>
      <w:r w:rsidRPr="00C1121C">
        <w:rPr>
          <w:b/>
          <w:i/>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10"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11"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DF3541">
      <w:pPr>
        <w:keepNext/>
        <w:keepLines/>
        <w:spacing w:line="276" w:lineRule="auto"/>
        <w:rPr>
          <w:b/>
          <w:szCs w:val="24"/>
        </w:rPr>
      </w:pPr>
    </w:p>
    <w:p w14:paraId="3BDA6E30" w14:textId="77777777" w:rsidR="000B2096" w:rsidRPr="0060156C" w:rsidRDefault="000B2096" w:rsidP="000B2096">
      <w:pPr>
        <w:keepNext/>
        <w:keepLines/>
        <w:spacing w:line="276" w:lineRule="auto"/>
        <w:jc w:val="center"/>
        <w:rPr>
          <w:b/>
          <w:szCs w:val="24"/>
        </w:rPr>
      </w:pPr>
      <w:bookmarkStart w:id="4" w:name="_Hlk499563328"/>
      <w:r w:rsidRPr="0060156C">
        <w:rPr>
          <w:b/>
          <w:szCs w:val="24"/>
        </w:rPr>
        <w:t xml:space="preserve">II. </w:t>
      </w:r>
      <w:bookmarkEnd w:id="4"/>
      <w:r w:rsidRPr="0060156C">
        <w:rPr>
          <w:b/>
          <w:szCs w:val="24"/>
        </w:rPr>
        <w:t>PIRKIMO OBJEKTAS</w:t>
      </w:r>
    </w:p>
    <w:p w14:paraId="45C202C6" w14:textId="77777777" w:rsidR="000B2096" w:rsidRPr="0060156C" w:rsidRDefault="000B2096" w:rsidP="00DF3541">
      <w:pPr>
        <w:spacing w:line="276" w:lineRule="auto"/>
        <w:jc w:val="left"/>
        <w:rPr>
          <w:szCs w:val="24"/>
        </w:rPr>
      </w:pPr>
    </w:p>
    <w:p w14:paraId="3EF14FE1" w14:textId="6A8B675F" w:rsidR="000B2096"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C1121C" w:rsidRPr="00C1121C">
        <w:rPr>
          <w:b/>
          <w:bCs/>
          <w:i/>
          <w:iCs/>
          <w:szCs w:val="24"/>
        </w:rPr>
        <w:t>„</w:t>
      </w:r>
      <w:r w:rsidR="004110EE" w:rsidRPr="004110EE">
        <w:rPr>
          <w:b/>
          <w:i/>
        </w:rPr>
        <w:t>Užvenčio miesto civilinių kapinių tvoros remonto darba</w:t>
      </w:r>
      <w:r w:rsidR="00C1121C" w:rsidRPr="00C1121C">
        <w:rPr>
          <w:b/>
          <w:i/>
        </w:rPr>
        <w:t>i</w:t>
      </w:r>
      <w:r w:rsidR="001F27E5">
        <w:rPr>
          <w:b/>
          <w:i/>
        </w:rPr>
        <w:t>”</w:t>
      </w:r>
      <w:r w:rsidR="0086160C">
        <w:rPr>
          <w:b/>
          <w:bCs/>
          <w:i/>
          <w:iCs/>
          <w:szCs w:val="24"/>
        </w:rPr>
        <w:t xml:space="preserve"> (II etapas)</w:t>
      </w:r>
      <w:r w:rsidR="004110EE">
        <w:rPr>
          <w:b/>
          <w:bCs/>
          <w:i/>
          <w:iCs/>
          <w:szCs w:val="24"/>
        </w:rPr>
        <w:t xml:space="preserve"> (</w:t>
      </w:r>
      <w:r w:rsidR="004110EE" w:rsidRPr="004110EE">
        <w:rPr>
          <w:b/>
          <w:bCs/>
          <w:i/>
          <w:iCs/>
          <w:szCs w:val="24"/>
        </w:rPr>
        <w:t>BVPŽ</w:t>
      </w:r>
      <w:r w:rsidR="004110EE">
        <w:rPr>
          <w:b/>
          <w:bCs/>
          <w:i/>
          <w:iCs/>
          <w:szCs w:val="24"/>
        </w:rPr>
        <w:t xml:space="preserve"> </w:t>
      </w:r>
      <w:r w:rsidR="00495A9A">
        <w:rPr>
          <w:b/>
          <w:bCs/>
          <w:i/>
          <w:iCs/>
          <w:szCs w:val="24"/>
        </w:rPr>
        <w:t>–</w:t>
      </w:r>
      <w:r w:rsidR="004110EE">
        <w:rPr>
          <w:b/>
          <w:bCs/>
          <w:i/>
          <w:iCs/>
          <w:szCs w:val="24"/>
        </w:rPr>
        <w:t xml:space="preserve"> </w:t>
      </w:r>
      <w:r w:rsidR="004110EE" w:rsidRPr="004110EE">
        <w:rPr>
          <w:b/>
          <w:bCs/>
          <w:i/>
          <w:iCs/>
          <w:szCs w:val="24"/>
        </w:rPr>
        <w:t>45215400-1</w:t>
      </w:r>
      <w:r w:rsidR="004110EE">
        <w:rPr>
          <w:b/>
          <w:bCs/>
          <w:i/>
          <w:iCs/>
          <w:szCs w:val="24"/>
        </w:rPr>
        <w:t>)</w:t>
      </w:r>
      <w:r w:rsidR="00C1121C">
        <w:rPr>
          <w:b/>
          <w:bCs/>
          <w:i/>
          <w:iCs/>
          <w:szCs w:val="24"/>
        </w:rPr>
        <w:t>.</w:t>
      </w:r>
    </w:p>
    <w:p w14:paraId="4A923E6F" w14:textId="4106FD21"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(Darbų kiekių žiniaraštis)</w:t>
      </w:r>
      <w:r w:rsidRPr="0060156C">
        <w:rPr>
          <w:szCs w:val="24"/>
        </w:rPr>
        <w:t>.</w:t>
      </w:r>
    </w:p>
    <w:p w14:paraId="6771FE0A" w14:textId="7C167726" w:rsidR="000B2096" w:rsidRPr="0060156C" w:rsidRDefault="00A826DB"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rStyle w:val="markedcontent"/>
        </w:rPr>
        <w:t>Darbų kiekių žiniaraštyje</w:t>
      </w:r>
      <w:r w:rsidR="0077120A">
        <w:rPr>
          <w:rStyle w:val="markedcontent"/>
        </w:rPr>
        <w:t xml:space="preserve"> </w:t>
      </w:r>
      <w:r w:rsidR="0077120A" w:rsidRPr="0060156C">
        <w:rPr>
          <w:szCs w:val="24"/>
        </w:rPr>
        <w:t>(</w:t>
      </w:r>
      <w:r w:rsidR="0086160C">
        <w:rPr>
          <w:szCs w:val="24"/>
        </w:rPr>
        <w:t xml:space="preserve">3 </w:t>
      </w:r>
      <w:r w:rsidR="0077120A" w:rsidRPr="0060156C">
        <w:rPr>
          <w:szCs w:val="24"/>
        </w:rPr>
        <w:t>priedas)</w:t>
      </w:r>
      <w:r w:rsidR="004110EE">
        <w:rPr>
          <w:szCs w:val="24"/>
        </w:rPr>
        <w:t>, darbų apraš</w:t>
      </w:r>
      <w:r w:rsidR="00B01E6C">
        <w:rPr>
          <w:szCs w:val="24"/>
        </w:rPr>
        <w:t>ym</w:t>
      </w:r>
      <w:r w:rsidR="004110EE">
        <w:rPr>
          <w:szCs w:val="24"/>
        </w:rPr>
        <w:t>e (4 priedas)</w:t>
      </w:r>
      <w:r w:rsidR="0077120A">
        <w:rPr>
          <w:szCs w:val="24"/>
        </w:rPr>
        <w:t xml:space="preserve"> bei sutarties projekte (</w:t>
      </w:r>
      <w:r w:rsidR="0086160C">
        <w:rPr>
          <w:szCs w:val="24"/>
        </w:rPr>
        <w:t xml:space="preserve">2 </w:t>
      </w:r>
      <w:r w:rsidR="0077120A">
        <w:rPr>
          <w:szCs w:val="24"/>
        </w:rPr>
        <w:t>priedas)</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48619FE4" w14:textId="1F8A2359" w:rsidR="00DA6DD1" w:rsidRDefault="004110EE" w:rsidP="00DA6DD1">
      <w:pPr>
        <w:pStyle w:val="Sraopastraipa"/>
        <w:numPr>
          <w:ilvl w:val="1"/>
          <w:numId w:val="4"/>
        </w:numPr>
        <w:tabs>
          <w:tab w:val="left" w:pos="851"/>
          <w:tab w:val="left" w:pos="993"/>
        </w:tabs>
        <w:ind w:firstLine="1146"/>
      </w:pPr>
      <w:r w:rsidRPr="00501637">
        <w:t>Darb</w:t>
      </w:r>
      <w:r w:rsidR="00DA6DD1">
        <w:t xml:space="preserve">ai turi būti atlikti per 4 mėnesius nuo darbų pradžios, bet ne vėliau kaip iki 2025 m. gruodžio 15 d. </w:t>
      </w:r>
      <w:r w:rsidR="00C85B61">
        <w:t xml:space="preserve"> </w:t>
      </w:r>
    </w:p>
    <w:p w14:paraId="7E1BE7D3" w14:textId="6866BCB0" w:rsidR="004110EE" w:rsidRPr="004110EE" w:rsidRDefault="00C85B61" w:rsidP="00DA6DD1">
      <w:pPr>
        <w:pStyle w:val="Sraopastraipa"/>
        <w:numPr>
          <w:ilvl w:val="1"/>
          <w:numId w:val="4"/>
        </w:numPr>
        <w:tabs>
          <w:tab w:val="left" w:pos="851"/>
          <w:tab w:val="left" w:pos="993"/>
        </w:tabs>
        <w:ind w:firstLine="1146"/>
      </w:pPr>
      <w:r w:rsidRPr="00DA6DD1">
        <w:rPr>
          <w:iCs/>
          <w:szCs w:val="24"/>
        </w:rPr>
        <w:t>Darbų pratęsimo terminas nenumatomas.</w:t>
      </w:r>
    </w:p>
    <w:p w14:paraId="223248AD" w14:textId="77777777" w:rsidR="00352BAB" w:rsidRDefault="000B2096" w:rsidP="00352BAB">
      <w:pPr>
        <w:tabs>
          <w:tab w:val="left" w:pos="426"/>
        </w:tabs>
        <w:spacing w:line="276" w:lineRule="auto"/>
      </w:pPr>
      <w:r w:rsidRPr="0060156C">
        <w:rPr>
          <w:rFonts w:eastAsia="Calibri"/>
          <w:szCs w:val="24"/>
        </w:rPr>
        <w:t xml:space="preserve">12. Prievolių </w:t>
      </w:r>
      <w:r w:rsidR="00352BAB" w:rsidRPr="00FB0C3D">
        <w:rPr>
          <w:rFonts w:eastAsia="Calibri"/>
          <w:szCs w:val="24"/>
        </w:rPr>
        <w:t xml:space="preserve"> įvykdymo terminai, </w:t>
      </w:r>
      <w:r w:rsidR="00352BAB" w:rsidRPr="00FB0C3D">
        <w:rPr>
          <w:szCs w:val="24"/>
        </w:rPr>
        <w:t>apmokėjimo sąlygos</w:t>
      </w:r>
      <w:r w:rsidR="00352BAB" w:rsidRPr="00FB0C3D">
        <w:rPr>
          <w:rFonts w:eastAsia="Calibri"/>
          <w:szCs w:val="24"/>
        </w:rPr>
        <w:t xml:space="preserve"> bei kitos pirkimo sutarties sąlygos nurodytos </w:t>
      </w:r>
      <w:r w:rsidR="00352BAB" w:rsidRPr="00FB0C3D">
        <w:rPr>
          <w:szCs w:val="24"/>
        </w:rPr>
        <w:t xml:space="preserve">šių konkurso sąlygų 4 priede „Sutarties projektas”. </w:t>
      </w:r>
      <w:r w:rsidR="00352BAB" w:rsidRPr="00FB0C3D">
        <w:t>Sutartis įsigalioja ją pasirašius. Sutartis galioja iki visiško sutarties įvykdymo.</w:t>
      </w:r>
      <w:r w:rsidR="00352BAB">
        <w:t xml:space="preserve"> </w:t>
      </w:r>
    </w:p>
    <w:p w14:paraId="70154DFA" w14:textId="71B13089" w:rsidR="000B2096" w:rsidRPr="0060156C" w:rsidRDefault="00352BAB" w:rsidP="00352BAB">
      <w:pPr>
        <w:tabs>
          <w:tab w:val="left" w:pos="426"/>
        </w:tabs>
        <w:spacing w:line="276" w:lineRule="auto"/>
        <w:rPr>
          <w:rFonts w:eastAsia="Calibri"/>
          <w:szCs w:val="24"/>
        </w:rPr>
      </w:pPr>
      <w:r>
        <w:t xml:space="preserve">13. </w:t>
      </w:r>
      <w:r w:rsidR="000B2096"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1F76563C" w:rsidR="00C1121C" w:rsidRDefault="000B2096" w:rsidP="00352BAB">
      <w:pPr>
        <w:pStyle w:val="Sraopastraipa"/>
        <w:numPr>
          <w:ilvl w:val="0"/>
          <w:numId w:val="48"/>
        </w:numPr>
        <w:tabs>
          <w:tab w:val="left" w:pos="426"/>
          <w:tab w:val="left" w:pos="710"/>
        </w:tabs>
        <w:spacing w:line="276" w:lineRule="auto"/>
        <w:rPr>
          <w:szCs w:val="24"/>
        </w:rPr>
      </w:pPr>
      <w:r w:rsidRPr="00501637">
        <w:rPr>
          <w:b/>
          <w:i/>
          <w:szCs w:val="24"/>
        </w:rPr>
        <w:t>Darbų atlikimo vieta</w:t>
      </w:r>
      <w:r w:rsidRPr="0060156C">
        <w:rPr>
          <w:szCs w:val="24"/>
        </w:rPr>
        <w:t xml:space="preserve"> – </w:t>
      </w:r>
      <w:bookmarkStart w:id="5" w:name="_Hlk499564259"/>
      <w:r w:rsidR="004110EE">
        <w:rPr>
          <w:rStyle w:val="form-control"/>
          <w:rFonts w:eastAsiaTheme="majorEastAsia"/>
          <w:bCs/>
          <w:iCs/>
        </w:rPr>
        <w:t>Užvenčio miestas.</w:t>
      </w:r>
    </w:p>
    <w:bookmarkEnd w:id="0"/>
    <w:bookmarkEnd w:id="5"/>
    <w:p w14:paraId="2B50EC3A" w14:textId="77777777" w:rsidR="00501637" w:rsidRDefault="00501637" w:rsidP="000B2096">
      <w:pPr>
        <w:pStyle w:val="Standard"/>
        <w:tabs>
          <w:tab w:val="left" w:pos="0"/>
          <w:tab w:val="left" w:pos="993"/>
        </w:tabs>
        <w:spacing w:line="276" w:lineRule="auto"/>
        <w:jc w:val="both"/>
        <w:rPr>
          <w:color w:val="auto"/>
          <w:szCs w:val="24"/>
        </w:rPr>
      </w:pPr>
    </w:p>
    <w:p w14:paraId="2F75D2C5" w14:textId="77777777" w:rsidR="00DF3541" w:rsidRDefault="00DF3541" w:rsidP="000B2096">
      <w:pPr>
        <w:pStyle w:val="Standard"/>
        <w:tabs>
          <w:tab w:val="left" w:pos="0"/>
          <w:tab w:val="left" w:pos="993"/>
        </w:tabs>
        <w:spacing w:line="276" w:lineRule="auto"/>
        <w:jc w:val="both"/>
        <w:rPr>
          <w:color w:val="auto"/>
          <w:szCs w:val="24"/>
        </w:rPr>
      </w:pPr>
    </w:p>
    <w:p w14:paraId="2ECB279D" w14:textId="77777777" w:rsidR="00DF3541" w:rsidRPr="0060156C" w:rsidRDefault="00DF3541"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lastRenderedPageBreak/>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DF3541">
      <w:pPr>
        <w:pStyle w:val="Standard"/>
        <w:spacing w:line="276" w:lineRule="auto"/>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DF3541" w:rsidRDefault="000B2096" w:rsidP="00DF3541">
      <w:pPr>
        <w:keepNext/>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 xml:space="preserve">Eil. </w:t>
            </w:r>
            <w:proofErr w:type="spellStart"/>
            <w:r w:rsidRPr="00BC1A8E">
              <w:rPr>
                <w:b/>
                <w:sz w:val="20"/>
              </w:rPr>
              <w:t>nr.</w:t>
            </w:r>
            <w:proofErr w:type="spellEnd"/>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5CC9A18F" w:rsidR="004110EE" w:rsidRPr="00495A9A" w:rsidRDefault="007E0BCF" w:rsidP="007E0BCF">
            <w:pPr>
              <w:spacing w:before="100" w:beforeAutospacing="1" w:after="100" w:afterAutospacing="1"/>
              <w:contextualSpacing/>
              <w:rPr>
                <w:sz w:val="20"/>
              </w:rPr>
            </w:pPr>
            <w:r w:rsidRPr="00495A9A">
              <w:rPr>
                <w:sz w:val="20"/>
              </w:rPr>
              <w:t xml:space="preserve">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w:t>
            </w:r>
            <w:r w:rsidR="00495A9A" w:rsidRPr="00495A9A">
              <w:rPr>
                <w:sz w:val="20"/>
              </w:rPr>
              <w:t>–</w:t>
            </w:r>
            <w:r w:rsidRPr="00495A9A">
              <w:rPr>
                <w:sz w:val="20"/>
              </w:rPr>
              <w:t xml:space="preserve"> inžinerinių statinių statybos darbai.</w:t>
            </w:r>
          </w:p>
        </w:tc>
        <w:tc>
          <w:tcPr>
            <w:tcW w:w="4394" w:type="dxa"/>
          </w:tcPr>
          <w:p w14:paraId="22373DA6" w14:textId="346C2A5E" w:rsidR="004110EE" w:rsidRPr="00495A9A" w:rsidRDefault="007E0BCF" w:rsidP="007E0BCF">
            <w:pPr>
              <w:rPr>
                <w:sz w:val="20"/>
              </w:rPr>
            </w:pPr>
            <w:r w:rsidRPr="00495A9A">
              <w:rPr>
                <w:sz w:val="20"/>
              </w:rPr>
              <w:t xml:space="preserve">EMAS arba LST EN ISO 14001 sertifikatas, taip pat lygiaverčiai sertifikatai, išduoti kitose valstybėse narėse įsteigtų nepriklausomų įstaigų. Sertifikavimo sritis </w:t>
            </w:r>
            <w:r w:rsidR="00495A9A" w:rsidRPr="00495A9A">
              <w:rPr>
                <w:sz w:val="20"/>
              </w:rPr>
              <w:t>–</w:t>
            </w:r>
            <w:r w:rsidRPr="00495A9A">
              <w:rPr>
                <w:sz w:val="20"/>
              </w:rPr>
              <w:t xml:space="preserve"> inžinerinių statinių statybos darbai. </w:t>
            </w:r>
          </w:p>
          <w:p w14:paraId="7CDC1069" w14:textId="77777777" w:rsidR="007E0BCF" w:rsidRPr="00495A9A" w:rsidRDefault="007E0BCF" w:rsidP="007E0BCF">
            <w:pPr>
              <w:rPr>
                <w:b/>
                <w:i/>
                <w:iCs/>
                <w:sz w:val="20"/>
                <w:u w:val="single"/>
              </w:rPr>
            </w:pPr>
          </w:p>
          <w:p w14:paraId="29168390" w14:textId="77777777" w:rsidR="007E0BCF" w:rsidRPr="00495A9A" w:rsidRDefault="007E0BCF" w:rsidP="007E0BCF">
            <w:pPr>
              <w:rPr>
                <w:b/>
                <w:i/>
                <w:iCs/>
                <w:sz w:val="20"/>
                <w:u w:val="single"/>
              </w:rPr>
            </w:pPr>
          </w:p>
          <w:p w14:paraId="2FCE2C0B" w14:textId="77777777" w:rsidR="007E0BCF" w:rsidRPr="00495A9A" w:rsidRDefault="007E0BCF" w:rsidP="007E0BCF">
            <w:pPr>
              <w:rPr>
                <w:b/>
                <w:bCs/>
                <w:i/>
                <w:iCs/>
                <w:sz w:val="20"/>
                <w:u w:val="single"/>
              </w:rPr>
            </w:pPr>
          </w:p>
          <w:p w14:paraId="3C44C4E0" w14:textId="77777777" w:rsidR="004110EE" w:rsidRPr="00495A9A" w:rsidRDefault="004110EE" w:rsidP="00F7570D">
            <w:pPr>
              <w:jc w:val="center"/>
              <w:rPr>
                <w:b/>
                <w:bCs/>
                <w:i/>
                <w:iCs/>
                <w:sz w:val="20"/>
                <w:u w:val="single"/>
              </w:rPr>
            </w:pPr>
            <w:r w:rsidRPr="00495A9A">
              <w:rPr>
                <w:b/>
                <w:bCs/>
                <w:i/>
                <w:iCs/>
                <w:sz w:val="20"/>
                <w:u w:val="single"/>
              </w:rPr>
              <w:t>Pateikiamos skaitmeninės dokumentų kopijos.</w:t>
            </w:r>
          </w:p>
          <w:p w14:paraId="3541885D" w14:textId="77777777" w:rsidR="004110EE" w:rsidRPr="00495A9A"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DF3541">
      <w:pPr>
        <w:spacing w:line="276" w:lineRule="auto"/>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DF3541">
      <w:pPr>
        <w:tabs>
          <w:tab w:val="left" w:pos="1701"/>
        </w:tabs>
        <w:spacing w:line="276" w:lineRule="auto"/>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Default="00BA40E0" w:rsidP="000B2096"/>
    <w:p w14:paraId="36D69A6F" w14:textId="77777777" w:rsidR="00DF3541" w:rsidRPr="0060156C" w:rsidRDefault="00DF3541"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lastRenderedPageBreak/>
        <w:t>VII.</w:t>
      </w:r>
      <w:bookmarkEnd w:id="6"/>
      <w:r w:rsidRPr="0060156C">
        <w:rPr>
          <w:b/>
          <w:szCs w:val="24"/>
        </w:rPr>
        <w:t xml:space="preserve"> PASIŪLYMŲ RENGIMAS, PATEIKIMAS, KEITIMAS</w:t>
      </w:r>
    </w:p>
    <w:p w14:paraId="1A5C8811" w14:textId="77777777" w:rsidR="000B2096" w:rsidRPr="0060156C" w:rsidRDefault="000B2096" w:rsidP="00DF3541">
      <w:pPr>
        <w:spacing w:line="276" w:lineRule="auto"/>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65B6DFBA"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243644" w:rsidRPr="00243644">
        <w:rPr>
          <w:b/>
          <w:i/>
        </w:rPr>
        <w:t>Užvenčio miesto civilinių kapinių tvoros remonto darbai</w:t>
      </w:r>
      <w:r w:rsidR="001F27E5">
        <w:rPr>
          <w:b/>
          <w:i/>
        </w:rPr>
        <w:t>”</w:t>
      </w:r>
      <w:r w:rsidR="0086160C">
        <w:rPr>
          <w:b/>
          <w:i/>
        </w:rPr>
        <w:t xml:space="preserve"> (II etapas)</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 xml:space="preserve">arba tinkamai patvirtinta jos kopija (jei pasiūlymas teikiamas jungtinės veiklos pagrindu), ketinimo protokolai su subrangovais/subtiekėjais/subteikėjais (jei ketinama pasitelkti subrangovus/subtiekėjus/subteikėjus) ir, jei bus pasitelkiami ūkio subjektai, </w:t>
      </w:r>
      <w:r w:rsidR="000B2096" w:rsidRPr="0060156C">
        <w:rPr>
          <w:szCs w:val="24"/>
        </w:rPr>
        <w:lastRenderedPageBreak/>
        <w:t>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3"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lastRenderedPageBreak/>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DF3541">
      <w:pPr>
        <w:pStyle w:val="Betarp"/>
        <w:spacing w:line="276" w:lineRule="auto"/>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lastRenderedPageBreak/>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DF3541">
      <w:pPr>
        <w:tabs>
          <w:tab w:val="left" w:pos="426"/>
        </w:tabs>
        <w:spacing w:line="276" w:lineRule="auto"/>
        <w:ind w:right="28"/>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DF3541">
      <w:pPr>
        <w:spacing w:line="276" w:lineRule="auto"/>
        <w:ind w:left="46" w:right="2" w:hanging="10"/>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w:t>
      </w:r>
      <w:r w:rsidR="000B2096" w:rsidRPr="0060156C">
        <w:rPr>
          <w:sz w:val="24"/>
          <w:szCs w:val="24"/>
        </w:rPr>
        <w:lastRenderedPageBreak/>
        <w:t xml:space="preserve">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w:t>
      </w:r>
      <w:r w:rsidR="000B2096" w:rsidRPr="0060156C">
        <w:lastRenderedPageBreak/>
        <w:t xml:space="preserve">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Default="000B2096" w:rsidP="00EC387A">
      <w:pPr>
        <w:widowControl w:val="0"/>
        <w:spacing w:line="276" w:lineRule="auto"/>
        <w:rPr>
          <w:szCs w:val="24"/>
        </w:rPr>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382BA0E6" w14:textId="77777777" w:rsidR="00DF3541" w:rsidRPr="00EC387A" w:rsidRDefault="00DF3541" w:rsidP="00EC387A">
      <w:pPr>
        <w:widowControl w:val="0"/>
        <w:spacing w:line="276" w:lineRule="auto"/>
      </w:pP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DF3541">
      <w:pPr>
        <w:spacing w:line="276" w:lineRule="auto"/>
        <w:ind w:right="41"/>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3A1C59F8" w14:textId="20E3570E" w:rsidR="000B2096" w:rsidRPr="0060156C" w:rsidRDefault="00880763" w:rsidP="00880763">
      <w:pPr>
        <w:pStyle w:val="Betarp"/>
        <w:spacing w:line="276" w:lineRule="auto"/>
        <w:jc w:val="both"/>
        <w:rPr>
          <w:rFonts w:ascii="Times New Roman" w:hAnsi="Times New Roman"/>
          <w:sz w:val="24"/>
          <w:szCs w:val="24"/>
          <w:lang w:eastAsia="lt-LT"/>
        </w:rPr>
      </w:pPr>
      <w:bookmarkStart w:id="10" w:name="_Hlk204930970"/>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.3. Perkančioji organizacija, gavusi pretenziją, nedelsdama sustabdo pirkimo procedūrą, kol bus išnagrinėta ši pretenzija ir priimtas sprendimas.</w:t>
      </w:r>
    </w:p>
    <w:bookmarkEnd w:id="10"/>
    <w:p w14:paraId="6CB456E8" w14:textId="61413A1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1042E180"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 xml:space="preserve">.5.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1" w:name="part_e6e3e59ce748414f9dff0dff71e69ee1"/>
      <w:bookmarkStart w:id="12" w:name="part_a04adda0193d423399a16fc019a82e9b"/>
      <w:bookmarkStart w:id="13" w:name="part_b8b1643a74d240bea692725f7a2ad43d"/>
      <w:bookmarkStart w:id="14" w:name="part_1f92b63042bf4fbbbc0bd5aa0e1c7dde"/>
      <w:bookmarkEnd w:id="11"/>
      <w:bookmarkEnd w:id="12"/>
      <w:bookmarkEnd w:id="13"/>
      <w:bookmarkEnd w:id="14"/>
      <w:r w:rsidRPr="0060156C">
        <w:rPr>
          <w:b/>
          <w:szCs w:val="24"/>
        </w:rPr>
        <w:t xml:space="preserve"> BAIGIAMOSIOS NUOSTATOS</w:t>
      </w:r>
    </w:p>
    <w:p w14:paraId="73970FFF" w14:textId="77777777" w:rsidR="000B2096" w:rsidRPr="0060156C" w:rsidRDefault="000B2096" w:rsidP="00DF3541">
      <w:pPr>
        <w:spacing w:line="276" w:lineRule="auto"/>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048DA108"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0086160C">
        <w:rPr>
          <w:b/>
          <w:szCs w:val="24"/>
        </w:rPr>
        <w:t>, kreiptis</w:t>
      </w:r>
      <w:r w:rsidRPr="00155BD7">
        <w:rPr>
          <w:b/>
          <w:szCs w:val="24"/>
        </w:rPr>
        <w:t>–</w:t>
      </w:r>
      <w:r w:rsidRPr="00155BD7">
        <w:rPr>
          <w:lang w:eastAsia="ar-SA"/>
        </w:rPr>
        <w:t xml:space="preserve"> </w:t>
      </w:r>
      <w:r w:rsidR="00DF3541">
        <w:rPr>
          <w:lang w:eastAsia="ar-SA"/>
        </w:rPr>
        <w:t>Užvenčio seniūnijos s</w:t>
      </w:r>
      <w:r w:rsidR="003C57D0" w:rsidRPr="004110EE">
        <w:rPr>
          <w:lang w:eastAsia="ar-SA"/>
        </w:rPr>
        <w:t>eniūno pavaduotoja Sonata Jokubauskienė</w:t>
      </w:r>
      <w:r w:rsidR="003C57D0">
        <w:rPr>
          <w:lang w:eastAsia="ar-SA"/>
        </w:rPr>
        <w:t>, mob.</w:t>
      </w:r>
      <w:r w:rsidR="003C57D0" w:rsidRPr="00146D58">
        <w:rPr>
          <w:lang w:eastAsia="ar-SA"/>
        </w:rPr>
        <w:t xml:space="preserve"> +370 </w:t>
      </w:r>
      <w:r w:rsidR="003C57D0">
        <w:rPr>
          <w:lang w:eastAsia="ar-SA"/>
        </w:rPr>
        <w:t>686 27543,</w:t>
      </w:r>
      <w:r w:rsidR="003C57D0" w:rsidRPr="00146D58">
        <w:rPr>
          <w:lang w:eastAsia="ar-SA"/>
        </w:rPr>
        <w:t xml:space="preserve"> </w:t>
      </w:r>
      <w:r w:rsidR="003C57D0">
        <w:rPr>
          <w:lang w:eastAsia="ar-SA"/>
        </w:rPr>
        <w:t>e</w:t>
      </w:r>
      <w:r w:rsidR="003C57D0" w:rsidRPr="00146D58">
        <w:rPr>
          <w:lang w:eastAsia="ar-SA"/>
        </w:rPr>
        <w:t xml:space="preserve">l. p.: </w:t>
      </w:r>
      <w:hyperlink r:id="rId17" w:history="1">
        <w:r w:rsidR="0086160C" w:rsidRPr="00CF7EF7">
          <w:rPr>
            <w:rStyle w:val="Hipersaitas"/>
            <w:lang w:eastAsia="ar-SA"/>
          </w:rPr>
          <w:t>sonata.jokubauskiene@kelme.lt</w:t>
        </w:r>
      </w:hyperlink>
      <w:r w:rsidR="0086160C">
        <w:rPr>
          <w:lang w:eastAsia="ar-SA"/>
        </w:rPr>
        <w:t xml:space="preserve"> .</w:t>
      </w:r>
    </w:p>
    <w:p w14:paraId="76876B4E" w14:textId="5C538FFE" w:rsidR="00146D58" w:rsidRPr="0060156C" w:rsidRDefault="00592E99" w:rsidP="00146D58">
      <w:pPr>
        <w:tabs>
          <w:tab w:val="left" w:pos="567"/>
        </w:tabs>
        <w:spacing w:line="276" w:lineRule="auto"/>
        <w:rPr>
          <w:szCs w:val="24"/>
        </w:rPr>
      </w:pPr>
      <w:r>
        <w:rPr>
          <w:szCs w:val="24"/>
        </w:rPr>
        <w:t>70</w:t>
      </w:r>
      <w:r w:rsidR="00DF3541">
        <w:rPr>
          <w:b/>
          <w:i/>
          <w:szCs w:val="24"/>
        </w:rPr>
        <w:t xml:space="preserve">.  </w:t>
      </w:r>
      <w:r w:rsidR="00146D58">
        <w:rPr>
          <w:b/>
          <w:bCs/>
          <w:i/>
          <w:iCs/>
          <w:szCs w:val="24"/>
        </w:rPr>
        <w:t>D</w:t>
      </w:r>
      <w:r w:rsidR="00146D58" w:rsidRPr="00155BD7">
        <w:rPr>
          <w:b/>
          <w:bCs/>
          <w:i/>
          <w:iCs/>
          <w:szCs w:val="24"/>
        </w:rPr>
        <w:t>ėl klausimų, susijusių su viešųjų pirkimų procedūromis</w:t>
      </w:r>
      <w:r w:rsidR="0086160C">
        <w:rPr>
          <w:b/>
          <w:bCs/>
          <w:i/>
          <w:iCs/>
          <w:szCs w:val="24"/>
        </w:rPr>
        <w:t>, kreiptis</w:t>
      </w:r>
      <w:r w:rsidR="00146D58" w:rsidRPr="00155BD7">
        <w:rPr>
          <w:szCs w:val="24"/>
        </w:rPr>
        <w:t xml:space="preserve"> – Viešųjų pirkimų skyriaus vyriausioji specialistė </w:t>
      </w:r>
      <w:r w:rsidR="0086160C">
        <w:rPr>
          <w:szCs w:val="24"/>
        </w:rPr>
        <w:t>Daiva Šimkutė</w:t>
      </w:r>
      <w:r w:rsidR="00146D58" w:rsidRPr="0060156C">
        <w:rPr>
          <w:szCs w:val="24"/>
        </w:rPr>
        <w:t xml:space="preserve">, tel. (8 427) 69 154, el. paštas </w:t>
      </w:r>
      <w:hyperlink r:id="rId18" w:history="1">
        <w:r w:rsidR="0086160C" w:rsidRPr="00CF7EF7">
          <w:rPr>
            <w:rStyle w:val="Hipersaitas"/>
            <w:szCs w:val="24"/>
          </w:rPr>
          <w:t>daiva.simkute@kelme.lt</w:t>
        </w:r>
      </w:hyperlink>
      <w:r w:rsidR="0086160C">
        <w:rPr>
          <w:szCs w:val="24"/>
        </w:rPr>
        <w: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02D8CBFA" w:rsidR="000B2096" w:rsidRPr="0060156C" w:rsidRDefault="006215CC" w:rsidP="000B2096">
      <w:pPr>
        <w:spacing w:line="276" w:lineRule="auto"/>
        <w:rPr>
          <w:color w:val="000000" w:themeColor="text1"/>
          <w:szCs w:val="24"/>
        </w:rPr>
      </w:pPr>
      <w:r w:rsidRPr="0060156C">
        <w:rPr>
          <w:color w:val="000000" w:themeColor="text1"/>
          <w:szCs w:val="24"/>
        </w:rPr>
        <w:t>7</w:t>
      </w:r>
      <w:r w:rsidR="00592E99">
        <w:rPr>
          <w:color w:val="000000" w:themeColor="text1"/>
          <w:szCs w:val="24"/>
        </w:rPr>
        <w:t>1</w:t>
      </w:r>
      <w:r w:rsidR="000B2096" w:rsidRPr="0060156C">
        <w:rPr>
          <w:color w:val="000000" w:themeColor="text1"/>
          <w:szCs w:val="24"/>
        </w:rPr>
        <w:t>. PRIEDAI:</w:t>
      </w:r>
    </w:p>
    <w:p w14:paraId="7606713C" w14:textId="46DA43D1" w:rsidR="000B2096" w:rsidRPr="0060156C" w:rsidRDefault="00592E99" w:rsidP="000B2096">
      <w:pPr>
        <w:spacing w:line="276" w:lineRule="auto"/>
        <w:rPr>
          <w:color w:val="000000" w:themeColor="text1"/>
          <w:szCs w:val="24"/>
        </w:rPr>
      </w:pPr>
      <w:r>
        <w:rPr>
          <w:color w:val="000000" w:themeColor="text1"/>
          <w:szCs w:val="24"/>
        </w:rPr>
        <w:t>7</w:t>
      </w:r>
      <w:r w:rsidR="000B2096" w:rsidRPr="0060156C">
        <w:rPr>
          <w:color w:val="000000" w:themeColor="text1"/>
          <w:szCs w:val="24"/>
        </w:rPr>
        <w:t>1.</w:t>
      </w:r>
      <w:r>
        <w:rPr>
          <w:color w:val="000000" w:themeColor="text1"/>
          <w:szCs w:val="24"/>
        </w:rPr>
        <w:t>1.</w:t>
      </w:r>
      <w:r w:rsidR="000B2096" w:rsidRPr="0060156C">
        <w:rPr>
          <w:color w:val="000000" w:themeColor="text1"/>
          <w:szCs w:val="24"/>
        </w:rPr>
        <w:t> </w:t>
      </w:r>
      <w:r w:rsidR="00BA40E0" w:rsidRPr="0060156C">
        <w:rPr>
          <w:color w:val="000000" w:themeColor="text1"/>
          <w:szCs w:val="24"/>
        </w:rPr>
        <w:t xml:space="preserve">Pasiūlymo forma </w:t>
      </w:r>
      <w:r w:rsidR="000B2096" w:rsidRPr="0060156C">
        <w:rPr>
          <w:color w:val="000000" w:themeColor="text1"/>
          <w:szCs w:val="24"/>
        </w:rPr>
        <w:t>– 1 priedas</w:t>
      </w:r>
      <w:r w:rsidR="003C57D0">
        <w:rPr>
          <w:color w:val="000000" w:themeColor="text1"/>
          <w:szCs w:val="24"/>
        </w:rPr>
        <w:t>;</w:t>
      </w:r>
    </w:p>
    <w:p w14:paraId="70E394A0" w14:textId="57217746" w:rsidR="000B2096" w:rsidRPr="0060156C" w:rsidRDefault="00592E99" w:rsidP="000B2096">
      <w:pPr>
        <w:spacing w:line="276" w:lineRule="auto"/>
        <w:rPr>
          <w:color w:val="000000" w:themeColor="text1"/>
          <w:szCs w:val="24"/>
        </w:rPr>
      </w:pPr>
      <w:r>
        <w:rPr>
          <w:color w:val="000000" w:themeColor="text1"/>
          <w:szCs w:val="24"/>
        </w:rPr>
        <w:t>71.</w:t>
      </w:r>
      <w:r w:rsidR="000B2096" w:rsidRPr="0060156C">
        <w:rPr>
          <w:color w:val="000000" w:themeColor="text1"/>
          <w:szCs w:val="24"/>
        </w:rPr>
        <w:t>2. Sutarties projektas – 2 priedas</w:t>
      </w:r>
      <w:r w:rsidR="003C57D0">
        <w:rPr>
          <w:color w:val="000000" w:themeColor="text1"/>
          <w:szCs w:val="24"/>
        </w:rPr>
        <w:t>;</w:t>
      </w:r>
    </w:p>
    <w:p w14:paraId="26A3A871" w14:textId="550B7D96" w:rsidR="00C92696" w:rsidRDefault="00592E99" w:rsidP="000B2096">
      <w:pPr>
        <w:spacing w:line="276" w:lineRule="auto"/>
        <w:rPr>
          <w:color w:val="000000" w:themeColor="text1"/>
          <w:szCs w:val="24"/>
        </w:rPr>
      </w:pPr>
      <w:r>
        <w:rPr>
          <w:color w:val="000000" w:themeColor="text1"/>
          <w:szCs w:val="24"/>
        </w:rPr>
        <w:t>71.</w:t>
      </w:r>
      <w:r w:rsidR="00C92696" w:rsidRPr="0060156C">
        <w:rPr>
          <w:color w:val="000000" w:themeColor="text1"/>
          <w:szCs w:val="24"/>
        </w:rPr>
        <w:t>3.</w:t>
      </w:r>
      <w:r w:rsidR="00BA40E0" w:rsidRPr="0060156C">
        <w:rPr>
          <w:color w:val="000000" w:themeColor="text1"/>
          <w:szCs w:val="24"/>
        </w:rPr>
        <w:t xml:space="preserve"> Darbų kiekių žiniaraštis </w:t>
      </w:r>
      <w:r w:rsidR="00C92696" w:rsidRPr="0060156C">
        <w:rPr>
          <w:color w:val="000000" w:themeColor="text1"/>
          <w:szCs w:val="24"/>
        </w:rPr>
        <w:t>– 3 priedas</w:t>
      </w:r>
      <w:r w:rsidR="003C57D0">
        <w:rPr>
          <w:color w:val="000000" w:themeColor="text1"/>
          <w:szCs w:val="24"/>
        </w:rPr>
        <w:t>;</w:t>
      </w:r>
    </w:p>
    <w:p w14:paraId="7C326545" w14:textId="675BF1F9" w:rsidR="005B569F" w:rsidRPr="0060156C" w:rsidRDefault="00592E99" w:rsidP="005B569F">
      <w:pPr>
        <w:spacing w:line="276" w:lineRule="auto"/>
        <w:rPr>
          <w:color w:val="000000" w:themeColor="text1"/>
          <w:szCs w:val="24"/>
        </w:rPr>
      </w:pPr>
      <w:r>
        <w:rPr>
          <w:color w:val="000000" w:themeColor="text1"/>
          <w:szCs w:val="24"/>
        </w:rPr>
        <w:t>71.</w:t>
      </w:r>
      <w:r w:rsidR="005B569F">
        <w:rPr>
          <w:color w:val="000000" w:themeColor="text1"/>
          <w:szCs w:val="24"/>
        </w:rPr>
        <w:t xml:space="preserve">4. </w:t>
      </w:r>
      <w:r w:rsidR="005B569F">
        <w:t>D</w:t>
      </w:r>
      <w:r w:rsidR="00243644">
        <w:t>arbų apraš</w:t>
      </w:r>
      <w:r w:rsidR="00064373">
        <w:t>ym</w:t>
      </w:r>
      <w:r w:rsidR="00243644">
        <w:t>as</w:t>
      </w:r>
      <w:r w:rsidR="00FF2A5E">
        <w:t xml:space="preserve"> – 4 priedas.</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592E99">
      <w:pPr>
        <w:spacing w:line="276" w:lineRule="auto"/>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61C1EE3F" w14:textId="77777777" w:rsidR="0086160C" w:rsidRDefault="0086160C" w:rsidP="00FF7C1B">
      <w:pPr>
        <w:spacing w:line="276" w:lineRule="auto"/>
        <w:ind w:right="-178"/>
        <w:rPr>
          <w:szCs w:val="24"/>
        </w:rPr>
      </w:pPr>
    </w:p>
    <w:p w14:paraId="312C8E1B" w14:textId="320C82D1"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1F27E5" w:rsidRDefault="000B2096" w:rsidP="000B2096">
      <w:pPr>
        <w:ind w:left="2592" w:firstLine="1296"/>
        <w:rPr>
          <w:rFonts w:eastAsia="Batang"/>
          <w:b/>
          <w:sz w:val="22"/>
          <w:szCs w:val="22"/>
        </w:rPr>
      </w:pPr>
      <w:r w:rsidRPr="001F27E5">
        <w:rPr>
          <w:rFonts w:eastAsia="Batang"/>
          <w:b/>
          <w:sz w:val="22"/>
          <w:szCs w:val="22"/>
        </w:rPr>
        <w:t>PASIŪLYMAS</w:t>
      </w:r>
    </w:p>
    <w:p w14:paraId="7C7BB4C4" w14:textId="288346F6" w:rsidR="005B569F" w:rsidRPr="001F27E5" w:rsidRDefault="00077CEB" w:rsidP="001F27E5">
      <w:pPr>
        <w:spacing w:line="276" w:lineRule="auto"/>
        <w:jc w:val="center"/>
        <w:rPr>
          <w:b/>
          <w:sz w:val="22"/>
          <w:szCs w:val="22"/>
        </w:rPr>
      </w:pPr>
      <w:r w:rsidRPr="001F27E5">
        <w:rPr>
          <w:b/>
          <w:sz w:val="22"/>
          <w:szCs w:val="22"/>
        </w:rPr>
        <w:t xml:space="preserve">DĖL </w:t>
      </w:r>
      <w:r w:rsidRPr="001F27E5">
        <w:rPr>
          <w:b/>
          <w:bCs/>
          <w:iCs/>
          <w:sz w:val="22"/>
          <w:szCs w:val="22"/>
        </w:rPr>
        <w:t>„</w:t>
      </w:r>
      <w:r w:rsidRPr="001F27E5">
        <w:rPr>
          <w:b/>
          <w:sz w:val="22"/>
          <w:szCs w:val="22"/>
        </w:rPr>
        <w:t>UŽVENČIO MIESTO CIVILINIŲ KAPINIŲ TVOROS REMONTO DARBAI</w:t>
      </w:r>
      <w:r w:rsidR="001F27E5" w:rsidRPr="001F27E5">
        <w:rPr>
          <w:b/>
          <w:sz w:val="22"/>
          <w:szCs w:val="22"/>
        </w:rPr>
        <w:t xml:space="preserve">” </w:t>
      </w:r>
      <w:r w:rsidR="0086160C" w:rsidRPr="001F27E5">
        <w:rPr>
          <w:b/>
          <w:sz w:val="22"/>
          <w:szCs w:val="22"/>
        </w:rPr>
        <w:t>(II ETAPAS)</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60156C" w:rsidRDefault="000B2096" w:rsidP="00B960F8">
            <w:pPr>
              <w:rPr>
                <w:rFonts w:eastAsia="Batang"/>
                <w:szCs w:val="24"/>
              </w:rPr>
            </w:pPr>
            <w:r w:rsidRPr="0060156C">
              <w:rPr>
                <w:rFonts w:eastAsia="Batang"/>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60156C" w:rsidRDefault="000B2096" w:rsidP="00B960F8">
            <w:pPr>
              <w:rPr>
                <w:rFonts w:eastAsia="Batang"/>
                <w:szCs w:val="24"/>
              </w:rPr>
            </w:pPr>
          </w:p>
        </w:tc>
      </w:tr>
      <w:tr w:rsidR="000B2096" w:rsidRPr="0060156C"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5"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5"/>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6F58F231" w:rsidR="000B2096" w:rsidRPr="00077CEB" w:rsidRDefault="000B2096" w:rsidP="00077CEB">
      <w:pPr>
        <w:numPr>
          <w:ilvl w:val="0"/>
          <w:numId w:val="39"/>
        </w:numPr>
        <w:rPr>
          <w:b/>
          <w:i/>
        </w:rPr>
      </w:pPr>
      <w:r w:rsidRPr="00EC387A">
        <w:rPr>
          <w:sz w:val="23"/>
          <w:szCs w:val="23"/>
        </w:rPr>
        <w:lastRenderedPageBreak/>
        <w:t xml:space="preserve">Mes siūlome atlikti šiuos darbus </w:t>
      </w:r>
      <w:r w:rsidR="005B569F" w:rsidRPr="00C1121C">
        <w:rPr>
          <w:b/>
          <w:bCs/>
          <w:i/>
          <w:iCs/>
          <w:szCs w:val="24"/>
        </w:rPr>
        <w:t>„</w:t>
      </w:r>
      <w:r w:rsidR="00077CEB" w:rsidRPr="00077CEB">
        <w:rPr>
          <w:b/>
          <w:i/>
        </w:rPr>
        <w:t>Užvenčio miesto civilinių kapinių tvoros remonto darbai</w:t>
      </w:r>
      <w:r w:rsidR="001F27E5">
        <w:rPr>
          <w:b/>
          <w:bCs/>
          <w:i/>
          <w:iCs/>
          <w:szCs w:val="24"/>
        </w:rPr>
        <w:t>” (</w:t>
      </w:r>
      <w:r w:rsidR="001F27E5" w:rsidRPr="001F27E5">
        <w:rPr>
          <w:b/>
          <w:bCs/>
          <w:i/>
          <w:iCs/>
          <w:sz w:val="23"/>
          <w:szCs w:val="23"/>
        </w:rPr>
        <w:t>II etapas</w:t>
      </w:r>
      <w:r w:rsidR="001F27E5">
        <w:rPr>
          <w:b/>
          <w:bCs/>
          <w:i/>
          <w:iCs/>
          <w:sz w:val="23"/>
          <w:szCs w:val="23"/>
        </w:rPr>
        <w:t>)</w:t>
      </w:r>
      <w:r w:rsidR="001F27E5">
        <w:rPr>
          <w:sz w:val="23"/>
          <w:szCs w:val="23"/>
        </w:rPr>
        <w:t xml:space="preserve"> </w:t>
      </w:r>
      <w:r w:rsidR="005B569F" w:rsidRPr="00077CEB">
        <w:rPr>
          <w:sz w:val="23"/>
          <w:szCs w:val="23"/>
        </w:rPr>
        <w:t>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4E39D484" w:rsidR="000B2096" w:rsidRPr="00CE4505" w:rsidRDefault="005B569F" w:rsidP="00077CEB">
            <w:pPr>
              <w:jc w:val="center"/>
              <w:rPr>
                <w:b/>
                <w:i/>
                <w:szCs w:val="24"/>
              </w:rPr>
            </w:pPr>
            <w:r w:rsidRPr="00CE4505">
              <w:rPr>
                <w:b/>
                <w:bCs/>
                <w:i/>
                <w:iCs/>
                <w:szCs w:val="24"/>
              </w:rPr>
              <w:t>„</w:t>
            </w:r>
            <w:r w:rsidR="00077CEB" w:rsidRPr="00CE4505">
              <w:rPr>
                <w:b/>
                <w:i/>
                <w:szCs w:val="24"/>
              </w:rPr>
              <w:t>Užvenčio miesto civilinių kapinių tvoros remonto darbai</w:t>
            </w:r>
            <w:r w:rsidR="001F27E5">
              <w:rPr>
                <w:b/>
                <w:i/>
                <w:szCs w:val="24"/>
              </w:rPr>
              <w:t>”</w:t>
            </w:r>
            <w:r w:rsidR="0086160C">
              <w:rPr>
                <w:b/>
                <w:i/>
                <w:szCs w:val="24"/>
              </w:rPr>
              <w:t xml:space="preserve"> (II etapas)</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A2D70" w:rsidRDefault="008A2D70" w:rsidP="008A2D70">
      <w:pPr>
        <w:tabs>
          <w:tab w:val="left" w:pos="720"/>
        </w:tabs>
        <w:rPr>
          <w:b/>
          <w:color w:val="FF0000"/>
        </w:rPr>
      </w:pPr>
      <w:r w:rsidRPr="008A2D70">
        <w:rPr>
          <w:b/>
          <w:color w:val="FF0000"/>
        </w:rPr>
        <w:t xml:space="preserve">Teikdami šį pasiūlymą patvirtiname, kad neturime VPĮ  </w:t>
      </w:r>
      <w:hyperlink r:id="rId19"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70BDDE8E" w14:textId="77777777" w:rsidR="008A2D70" w:rsidRPr="00EC387A" w:rsidRDefault="008A2D70"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17358943" w14:textId="77777777" w:rsidR="001F27E5" w:rsidRDefault="001F27E5" w:rsidP="008A2D70">
      <w:pPr>
        <w:spacing w:line="276" w:lineRule="auto"/>
        <w:ind w:right="-178"/>
        <w:jc w:val="right"/>
        <w:rPr>
          <w:b/>
          <w:bCs/>
          <w:szCs w:val="24"/>
        </w:rPr>
      </w:pPr>
    </w:p>
    <w:p w14:paraId="47D8870A" w14:textId="77777777" w:rsidR="001F27E5" w:rsidRDefault="001F27E5" w:rsidP="008A2D70">
      <w:pPr>
        <w:spacing w:line="276" w:lineRule="auto"/>
        <w:ind w:right="-178"/>
        <w:jc w:val="right"/>
        <w:rPr>
          <w:b/>
          <w:bCs/>
          <w:szCs w:val="24"/>
        </w:rPr>
      </w:pPr>
    </w:p>
    <w:p w14:paraId="0D4112C1" w14:textId="77777777" w:rsidR="001F27E5" w:rsidRDefault="001F27E5" w:rsidP="008A2D70">
      <w:pPr>
        <w:spacing w:line="276" w:lineRule="auto"/>
        <w:ind w:right="-178"/>
        <w:jc w:val="right"/>
        <w:rPr>
          <w:b/>
          <w:bCs/>
          <w:szCs w:val="24"/>
        </w:rPr>
      </w:pPr>
    </w:p>
    <w:p w14:paraId="0B638B9A" w14:textId="58C15E07" w:rsidR="00312240" w:rsidRPr="0060156C" w:rsidRDefault="003B5576" w:rsidP="008A2D70">
      <w:pPr>
        <w:spacing w:line="276" w:lineRule="auto"/>
        <w:ind w:right="-178"/>
        <w:jc w:val="right"/>
        <w:rPr>
          <w:b/>
          <w:bCs/>
          <w:szCs w:val="24"/>
        </w:rPr>
      </w:pPr>
      <w:r w:rsidRPr="0060156C">
        <w:rPr>
          <w:b/>
          <w:bCs/>
          <w:szCs w:val="24"/>
        </w:rPr>
        <w:lastRenderedPageBreak/>
        <w:t>Konkurso sąlygų 2 priedas</w:t>
      </w:r>
    </w:p>
    <w:p w14:paraId="1A64A003" w14:textId="77777777" w:rsidR="00077CEB" w:rsidRDefault="00077CEB" w:rsidP="00077CEB">
      <w:pPr>
        <w:pStyle w:val="Punktas1"/>
        <w:jc w:val="right"/>
        <w:rPr>
          <w:b/>
          <w:bCs w:val="0"/>
          <w:color w:val="FF0000"/>
          <w:sz w:val="16"/>
          <w:szCs w:val="16"/>
          <w:u w:val="single"/>
        </w:rPr>
      </w:pPr>
      <w:bookmarkStart w:id="16"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1F27E5" w:rsidRDefault="00077CEB" w:rsidP="00077CEB">
      <w:pPr>
        <w:pStyle w:val="Punktas1"/>
        <w:ind w:firstLine="0"/>
        <w:jc w:val="center"/>
        <w:rPr>
          <w:b/>
          <w:bCs w:val="0"/>
          <w:color w:val="auto"/>
          <w:sz w:val="28"/>
          <w:szCs w:val="28"/>
        </w:rPr>
      </w:pPr>
      <w:r w:rsidRPr="001F27E5">
        <w:rPr>
          <w:b/>
          <w:bCs w:val="0"/>
          <w:color w:val="auto"/>
          <w:sz w:val="28"/>
          <w:szCs w:val="28"/>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6"/>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2E3EDC66" w:rsidR="002F0985" w:rsidRPr="008D16B0" w:rsidRDefault="002F0985" w:rsidP="008D16B0">
      <w:pPr>
        <w:pStyle w:val="Punktas1"/>
        <w:spacing w:line="276" w:lineRule="auto"/>
        <w:ind w:firstLine="0"/>
        <w:jc w:val="center"/>
        <w:rPr>
          <w:b/>
          <w:bCs w:val="0"/>
          <w:color w:val="000000" w:themeColor="text1"/>
          <w:sz w:val="28"/>
          <w:szCs w:val="28"/>
        </w:rPr>
      </w:pPr>
      <w:r w:rsidRPr="008D16B0">
        <w:rPr>
          <w:b/>
          <w:bCs w:val="0"/>
          <w:color w:val="000000" w:themeColor="text1"/>
          <w:sz w:val="28"/>
          <w:szCs w:val="28"/>
        </w:rPr>
        <w:t>Darbų kiekių žiniaraštis</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7" w:name="_Hlk77162888"/>
      <w:bookmarkStart w:id="18" w:name="_Hlk132805222"/>
      <w:bookmarkEnd w:id="17"/>
      <w:bookmarkEnd w:id="18"/>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29F1F23F" w14:textId="77777777" w:rsidR="00690C9A" w:rsidRDefault="00690C9A" w:rsidP="00077CEB">
      <w:pPr>
        <w:pStyle w:val="Punktas1"/>
        <w:spacing w:line="276" w:lineRule="auto"/>
        <w:jc w:val="right"/>
        <w:rPr>
          <w:b/>
          <w:bCs w:val="0"/>
          <w:color w:val="auto"/>
          <w:sz w:val="28"/>
          <w:szCs w:val="28"/>
          <w:u w:val="single"/>
        </w:rPr>
      </w:pPr>
    </w:p>
    <w:p w14:paraId="5A18C0B2" w14:textId="77777777" w:rsidR="00690C9A" w:rsidRPr="0060156C" w:rsidRDefault="00690C9A" w:rsidP="00077CEB">
      <w:pPr>
        <w:pStyle w:val="Punktas1"/>
        <w:spacing w:line="276" w:lineRule="auto"/>
        <w:jc w:val="right"/>
        <w:rPr>
          <w:b/>
          <w:bCs w:val="0"/>
          <w:color w:val="auto"/>
          <w:sz w:val="28"/>
          <w:szCs w:val="28"/>
          <w:u w:val="single"/>
        </w:rPr>
      </w:pPr>
    </w:p>
    <w:p w14:paraId="6D730B78" w14:textId="46A1E529" w:rsidR="00077CEB" w:rsidRPr="008D16B0" w:rsidRDefault="00077CEB" w:rsidP="00077CEB">
      <w:pPr>
        <w:pStyle w:val="Punktas1"/>
        <w:spacing w:line="276" w:lineRule="auto"/>
        <w:ind w:firstLine="0"/>
        <w:jc w:val="center"/>
        <w:rPr>
          <w:b/>
          <w:bCs w:val="0"/>
          <w:color w:val="000000" w:themeColor="text1"/>
          <w:sz w:val="28"/>
          <w:szCs w:val="28"/>
        </w:rPr>
      </w:pPr>
      <w:r w:rsidRPr="008D16B0">
        <w:rPr>
          <w:b/>
          <w:bCs w:val="0"/>
          <w:color w:val="000000" w:themeColor="text1"/>
          <w:sz w:val="28"/>
          <w:szCs w:val="28"/>
        </w:rPr>
        <w:t xml:space="preserve">Darbų </w:t>
      </w:r>
      <w:r>
        <w:rPr>
          <w:b/>
          <w:bCs w:val="0"/>
          <w:color w:val="000000" w:themeColor="text1"/>
          <w:sz w:val="28"/>
          <w:szCs w:val="28"/>
        </w:rPr>
        <w:t>apraš</w:t>
      </w:r>
      <w:r w:rsidR="00064373">
        <w:rPr>
          <w:b/>
          <w:bCs w:val="0"/>
          <w:color w:val="000000" w:themeColor="text1"/>
          <w:sz w:val="28"/>
          <w:szCs w:val="28"/>
        </w:rPr>
        <w:t>ym</w:t>
      </w:r>
      <w:r>
        <w:rPr>
          <w:b/>
          <w:bCs w:val="0"/>
          <w:color w:val="000000" w:themeColor="text1"/>
          <w:sz w:val="28"/>
          <w:szCs w:val="28"/>
        </w:rPr>
        <w:t>as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5A517436" w14:textId="77777777" w:rsidR="002F0985" w:rsidRPr="0060156C" w:rsidRDefault="002F0985" w:rsidP="002F0985">
      <w:pPr>
        <w:pStyle w:val="Punktas1"/>
        <w:spacing w:line="276" w:lineRule="auto"/>
        <w:jc w:val="center"/>
        <w:rPr>
          <w:b/>
          <w:bCs w:val="0"/>
          <w:color w:val="auto"/>
          <w:u w:val="single"/>
        </w:rPr>
      </w:pPr>
    </w:p>
    <w:sectPr w:rsidR="002F0985" w:rsidRPr="0060156C" w:rsidSect="001F27E5">
      <w:headerReference w:type="default" r:id="rId20"/>
      <w:pgSz w:w="11906" w:h="16838"/>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B0CC" w14:textId="77777777" w:rsidR="00410FF5" w:rsidRDefault="00410FF5" w:rsidP="001F27E5">
      <w:r>
        <w:separator/>
      </w:r>
    </w:p>
  </w:endnote>
  <w:endnote w:type="continuationSeparator" w:id="0">
    <w:p w14:paraId="32802BDB" w14:textId="77777777" w:rsidR="00410FF5" w:rsidRDefault="00410FF5" w:rsidP="001F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F524" w14:textId="77777777" w:rsidR="00410FF5" w:rsidRDefault="00410FF5" w:rsidP="001F27E5">
      <w:r>
        <w:separator/>
      </w:r>
    </w:p>
  </w:footnote>
  <w:footnote w:type="continuationSeparator" w:id="0">
    <w:p w14:paraId="24F152E7" w14:textId="77777777" w:rsidR="00410FF5" w:rsidRDefault="00410FF5" w:rsidP="001F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516872"/>
      <w:docPartObj>
        <w:docPartGallery w:val="Page Numbers (Top of Page)"/>
        <w:docPartUnique/>
      </w:docPartObj>
    </w:sdtPr>
    <w:sdtEndPr/>
    <w:sdtContent>
      <w:p w14:paraId="222065E7" w14:textId="398025CB" w:rsidR="001F27E5" w:rsidRDefault="001F27E5" w:rsidP="00636BA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4B7"/>
    <w:multiLevelType w:val="hybridMultilevel"/>
    <w:tmpl w:val="3B5A7788"/>
    <w:lvl w:ilvl="0" w:tplc="70A28958">
      <w:start w:val="14"/>
      <w:numFmt w:val="decimal"/>
      <w:lvlText w:val="%1."/>
      <w:lvlJc w:val="left"/>
      <w:pPr>
        <w:ind w:left="360" w:hanging="360"/>
      </w:pPr>
      <w:rPr>
        <w:rFonts w:hint="default"/>
      </w:rPr>
    </w:lvl>
    <w:lvl w:ilvl="1" w:tplc="04270019" w:tentative="1">
      <w:start w:val="1"/>
      <w:numFmt w:val="lowerLetter"/>
      <w:lvlText w:val="%2."/>
      <w:lvlJc w:val="left"/>
      <w:pPr>
        <w:ind w:left="730" w:hanging="360"/>
      </w:pPr>
    </w:lvl>
    <w:lvl w:ilvl="2" w:tplc="0427001B" w:tentative="1">
      <w:start w:val="1"/>
      <w:numFmt w:val="lowerRoman"/>
      <w:lvlText w:val="%3."/>
      <w:lvlJc w:val="right"/>
      <w:pPr>
        <w:ind w:left="1450" w:hanging="180"/>
      </w:pPr>
    </w:lvl>
    <w:lvl w:ilvl="3" w:tplc="0427000F" w:tentative="1">
      <w:start w:val="1"/>
      <w:numFmt w:val="decimal"/>
      <w:lvlText w:val="%4."/>
      <w:lvlJc w:val="left"/>
      <w:pPr>
        <w:ind w:left="2170" w:hanging="360"/>
      </w:pPr>
    </w:lvl>
    <w:lvl w:ilvl="4" w:tplc="04270019" w:tentative="1">
      <w:start w:val="1"/>
      <w:numFmt w:val="lowerLetter"/>
      <w:lvlText w:val="%5."/>
      <w:lvlJc w:val="left"/>
      <w:pPr>
        <w:ind w:left="2890" w:hanging="360"/>
      </w:pPr>
    </w:lvl>
    <w:lvl w:ilvl="5" w:tplc="0427001B" w:tentative="1">
      <w:start w:val="1"/>
      <w:numFmt w:val="lowerRoman"/>
      <w:lvlText w:val="%6."/>
      <w:lvlJc w:val="right"/>
      <w:pPr>
        <w:ind w:left="3610" w:hanging="180"/>
      </w:pPr>
    </w:lvl>
    <w:lvl w:ilvl="6" w:tplc="0427000F" w:tentative="1">
      <w:start w:val="1"/>
      <w:numFmt w:val="decimal"/>
      <w:lvlText w:val="%7."/>
      <w:lvlJc w:val="left"/>
      <w:pPr>
        <w:ind w:left="4330" w:hanging="360"/>
      </w:pPr>
    </w:lvl>
    <w:lvl w:ilvl="7" w:tplc="04270019" w:tentative="1">
      <w:start w:val="1"/>
      <w:numFmt w:val="lowerLetter"/>
      <w:lvlText w:val="%8."/>
      <w:lvlJc w:val="left"/>
      <w:pPr>
        <w:ind w:left="5050" w:hanging="360"/>
      </w:pPr>
    </w:lvl>
    <w:lvl w:ilvl="8" w:tplc="0427001B" w:tentative="1">
      <w:start w:val="1"/>
      <w:numFmt w:val="lowerRoman"/>
      <w:lvlText w:val="%9."/>
      <w:lvlJc w:val="right"/>
      <w:pPr>
        <w:ind w:left="5770" w:hanging="180"/>
      </w:p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6"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9"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0"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2"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3"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5"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8"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9"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0"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10"/>
  </w:num>
  <w:num w:numId="2" w16cid:durableId="675613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6"/>
  </w:num>
  <w:num w:numId="4" w16cid:durableId="19984181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1"/>
  </w:num>
  <w:num w:numId="6" w16cid:durableId="1972200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4"/>
  </w:num>
  <w:num w:numId="8" w16cid:durableId="69620355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1"/>
  </w:num>
  <w:num w:numId="10" w16cid:durableId="14249137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9"/>
  </w:num>
  <w:num w:numId="12" w16cid:durableId="1760640442">
    <w:abstractNumId w:val="29"/>
    <w:lvlOverride w:ilvl="0">
      <w:startOverride w:val="1"/>
    </w:lvlOverride>
  </w:num>
  <w:num w:numId="13" w16cid:durableId="805589664">
    <w:abstractNumId w:val="14"/>
  </w:num>
  <w:num w:numId="14" w16cid:durableId="207496591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2"/>
  </w:num>
  <w:num w:numId="16" w16cid:durableId="111957292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8"/>
  </w:num>
  <w:num w:numId="18" w16cid:durableId="1620137435">
    <w:abstractNumId w:val="28"/>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5"/>
  </w:num>
  <w:num w:numId="20" w16cid:durableId="1040857502">
    <w:abstractNumId w:val="25"/>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2"/>
  </w:num>
  <w:num w:numId="22" w16cid:durableId="197540710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4"/>
  </w:num>
  <w:num w:numId="24" w16cid:durableId="1490554231">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8"/>
  </w:num>
  <w:num w:numId="26" w16cid:durableId="155091946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5"/>
  </w:num>
  <w:num w:numId="28" w16cid:durableId="112639330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1"/>
  </w:num>
  <w:num w:numId="30" w16cid:durableId="49430046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3"/>
  </w:num>
  <w:num w:numId="32" w16cid:durableId="199098428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8"/>
  </w:num>
  <w:num w:numId="34" w16cid:durableId="33688555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9"/>
  </w:num>
  <w:num w:numId="36" w16cid:durableId="524904822">
    <w:abstractNumId w:val="16"/>
  </w:num>
  <w:num w:numId="37" w16cid:durableId="1643385647">
    <w:abstractNumId w:val="17"/>
  </w:num>
  <w:num w:numId="38" w16cid:durableId="1794249832">
    <w:abstractNumId w:val="20"/>
  </w:num>
  <w:num w:numId="39" w16cid:durableId="947782091">
    <w:abstractNumId w:val="30"/>
  </w:num>
  <w:num w:numId="40" w16cid:durableId="916718221">
    <w:abstractNumId w:val="27"/>
  </w:num>
  <w:num w:numId="41" w16cid:durableId="813450084">
    <w:abstractNumId w:val="2"/>
  </w:num>
  <w:num w:numId="42" w16cid:durableId="1228767030">
    <w:abstractNumId w:val="7"/>
  </w:num>
  <w:num w:numId="43" w16cid:durableId="331874659">
    <w:abstractNumId w:val="13"/>
  </w:num>
  <w:num w:numId="44" w16cid:durableId="1290672526">
    <w:abstractNumId w:val="23"/>
  </w:num>
  <w:num w:numId="45" w16cid:durableId="2029090150">
    <w:abstractNumId w:val="19"/>
  </w:num>
  <w:num w:numId="46" w16cid:durableId="288705821">
    <w:abstractNumId w:val="26"/>
  </w:num>
  <w:num w:numId="47" w16cid:durableId="42758577">
    <w:abstractNumId w:val="5"/>
  </w:num>
  <w:num w:numId="48" w16cid:durableId="125890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373"/>
    <w:rsid w:val="00064A56"/>
    <w:rsid w:val="00077CEB"/>
    <w:rsid w:val="000B2096"/>
    <w:rsid w:val="00146D58"/>
    <w:rsid w:val="001652D8"/>
    <w:rsid w:val="001935E8"/>
    <w:rsid w:val="001A69E6"/>
    <w:rsid w:val="001B0980"/>
    <w:rsid w:val="001B5660"/>
    <w:rsid w:val="001F27E5"/>
    <w:rsid w:val="001F34B8"/>
    <w:rsid w:val="00230D1A"/>
    <w:rsid w:val="00243644"/>
    <w:rsid w:val="002E6F4B"/>
    <w:rsid w:val="002F0985"/>
    <w:rsid w:val="002F39BD"/>
    <w:rsid w:val="002F5169"/>
    <w:rsid w:val="00312240"/>
    <w:rsid w:val="00322351"/>
    <w:rsid w:val="003414ED"/>
    <w:rsid w:val="00352BAB"/>
    <w:rsid w:val="00372DA5"/>
    <w:rsid w:val="00386288"/>
    <w:rsid w:val="00386C76"/>
    <w:rsid w:val="003B5576"/>
    <w:rsid w:val="003B6D62"/>
    <w:rsid w:val="003C57D0"/>
    <w:rsid w:val="003E0D21"/>
    <w:rsid w:val="00410FF5"/>
    <w:rsid w:val="004110EE"/>
    <w:rsid w:val="00436649"/>
    <w:rsid w:val="00490C3C"/>
    <w:rsid w:val="00495A9A"/>
    <w:rsid w:val="004F6AB4"/>
    <w:rsid w:val="00501637"/>
    <w:rsid w:val="0058374E"/>
    <w:rsid w:val="00592E99"/>
    <w:rsid w:val="005A7935"/>
    <w:rsid w:val="005B0976"/>
    <w:rsid w:val="005B569F"/>
    <w:rsid w:val="0060156C"/>
    <w:rsid w:val="006215CC"/>
    <w:rsid w:val="006225AA"/>
    <w:rsid w:val="00636BA0"/>
    <w:rsid w:val="00690C9A"/>
    <w:rsid w:val="006A5F02"/>
    <w:rsid w:val="0077120A"/>
    <w:rsid w:val="007720B1"/>
    <w:rsid w:val="007A62C2"/>
    <w:rsid w:val="007C1EE7"/>
    <w:rsid w:val="007C698B"/>
    <w:rsid w:val="007E0BCF"/>
    <w:rsid w:val="007F78DA"/>
    <w:rsid w:val="008075D9"/>
    <w:rsid w:val="0085202C"/>
    <w:rsid w:val="0086160C"/>
    <w:rsid w:val="00876F63"/>
    <w:rsid w:val="00880763"/>
    <w:rsid w:val="008A2D70"/>
    <w:rsid w:val="008D16B0"/>
    <w:rsid w:val="00902B1B"/>
    <w:rsid w:val="00934476"/>
    <w:rsid w:val="00963C4A"/>
    <w:rsid w:val="009947F8"/>
    <w:rsid w:val="009D2115"/>
    <w:rsid w:val="00A0704E"/>
    <w:rsid w:val="00A622B2"/>
    <w:rsid w:val="00A65926"/>
    <w:rsid w:val="00A659C3"/>
    <w:rsid w:val="00A826DB"/>
    <w:rsid w:val="00A84EDB"/>
    <w:rsid w:val="00AA4CD8"/>
    <w:rsid w:val="00B01E6C"/>
    <w:rsid w:val="00B66C88"/>
    <w:rsid w:val="00B77543"/>
    <w:rsid w:val="00BA40E0"/>
    <w:rsid w:val="00BA4534"/>
    <w:rsid w:val="00BF0B7F"/>
    <w:rsid w:val="00C06B2A"/>
    <w:rsid w:val="00C1121C"/>
    <w:rsid w:val="00C31358"/>
    <w:rsid w:val="00C523EC"/>
    <w:rsid w:val="00C85B61"/>
    <w:rsid w:val="00C92696"/>
    <w:rsid w:val="00CE4089"/>
    <w:rsid w:val="00CE4505"/>
    <w:rsid w:val="00D43DBB"/>
    <w:rsid w:val="00D856C5"/>
    <w:rsid w:val="00DA6DD1"/>
    <w:rsid w:val="00DD0368"/>
    <w:rsid w:val="00DF3541"/>
    <w:rsid w:val="00E60800"/>
    <w:rsid w:val="00EC387A"/>
    <w:rsid w:val="00EE090F"/>
    <w:rsid w:val="00F2472C"/>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customStyle="1" w:styleId="read-only-custom-display">
    <w:name w:val="read-only-custom-display"/>
    <w:basedOn w:val="Numatytasispastraiposriftas"/>
    <w:rsid w:val="00EE090F"/>
  </w:style>
  <w:style w:type="character" w:styleId="Neapdorotaspaminjimas">
    <w:name w:val="Unresolved Mention"/>
    <w:basedOn w:val="Numatytasispastraiposriftas"/>
    <w:uiPriority w:val="99"/>
    <w:semiHidden/>
    <w:unhideWhenUsed/>
    <w:rsid w:val="00861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695892508">
      <w:bodyDiv w:val="1"/>
      <w:marLeft w:val="0"/>
      <w:marRight w:val="0"/>
      <w:marTop w:val="0"/>
      <w:marBottom w:val="0"/>
      <w:divBdr>
        <w:top w:val="none" w:sz="0" w:space="0" w:color="auto"/>
        <w:left w:val="none" w:sz="0" w:space="0" w:color="auto"/>
        <w:bottom w:val="none" w:sz="0" w:space="0" w:color="auto"/>
        <w:right w:val="none" w:sz="0" w:space="0" w:color="auto"/>
      </w:divBdr>
      <w:divsChild>
        <w:div w:id="116336717">
          <w:marLeft w:val="0"/>
          <w:marRight w:val="0"/>
          <w:marTop w:val="0"/>
          <w:marBottom w:val="0"/>
          <w:divBdr>
            <w:top w:val="none" w:sz="0" w:space="0" w:color="auto"/>
            <w:left w:val="none" w:sz="0" w:space="0" w:color="auto"/>
            <w:bottom w:val="none" w:sz="0" w:space="0" w:color="auto"/>
            <w:right w:val="none" w:sz="0" w:space="0" w:color="auto"/>
          </w:divBdr>
        </w:div>
      </w:divsChild>
    </w:div>
    <w:div w:id="1024131816">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hyperlink" Target="mailto:daiva.simkute@kelm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sonata.jokubauskiene@kelme.l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viesiejipirkimai.lt/" TargetMode="External"/><Relationship Id="rId19" Type="http://schemas.openxmlformats.org/officeDocument/2006/relationships/hyperlink" Target="https://www.e-tar.lt/portal/lt/legalAct/3956df62a73311ef90b5ee8931e5ce5e"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0F79-5E2E-4152-919B-5D43677E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13</Pages>
  <Words>21220</Words>
  <Characters>12096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50</cp:revision>
  <cp:lastPrinted>2025-08-01T10:12:00Z</cp:lastPrinted>
  <dcterms:created xsi:type="dcterms:W3CDTF">2023-10-26T07:47:00Z</dcterms:created>
  <dcterms:modified xsi:type="dcterms:W3CDTF">2025-08-04T08:33:00Z</dcterms:modified>
</cp:coreProperties>
</file>