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C484386"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4D0664" w:rsidRPr="004D0664">
            <w:rPr>
              <w:rFonts w:ascii="Times New Roman" w:eastAsia="Times New Roman" w:hAnsi="Times New Roman" w:cs="Times New Roman"/>
              <w:b/>
              <w:bCs/>
              <w:iCs/>
              <w:caps/>
              <w:sz w:val="28"/>
              <w:szCs w:val="28"/>
            </w:rPr>
            <w:t>VIETINĖS REIKŠMĖS KELIO NR. AL7636 KRANTINĖS G., KROKIALAUKIO MSTL., KROKIALAUKIO SEN., ALYTAUS R. SAV.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149F93E"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F85F3F5"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3B42EB" w:rsidRPr="003B42EB">
        <w:rPr>
          <w:rFonts w:ascii="Times New Roman" w:hAnsi="Times New Roman" w:cs="Times New Roman"/>
          <w:bCs/>
          <w:sz w:val="24"/>
          <w:szCs w:val="24"/>
        </w:rPr>
        <w:t xml:space="preserve">Vietinės reikšmės kelio Nr. AL7636 Krantinės g., Krokialaukio mstl., Krokialaukio sen., Alytaus r. sav. remonto darbai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lastRenderedPageBreak/>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AEA1180" w14:textId="1A85C7C3" w:rsidR="00807FC9" w:rsidRPr="00807FC9" w:rsidRDefault="00443BF0" w:rsidP="00807FC9">
      <w:pPr>
        <w:pStyle w:val="Betarp"/>
        <w:tabs>
          <w:tab w:val="left" w:pos="1276"/>
        </w:tabs>
        <w:spacing w:line="20" w:lineRule="atLeast"/>
        <w:ind w:firstLine="709"/>
        <w:contextualSpacing/>
        <w:rPr>
          <w:rFonts w:ascii="Times New Roman" w:eastAsiaTheme="minorHAnsi" w:hAnsi="Times New Roman" w:cs="Times New Roman"/>
          <w:b/>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Pr="00807FC9">
        <w:rPr>
          <w:rFonts w:ascii="Times New Roman" w:eastAsiaTheme="minorHAnsi" w:hAnsi="Times New Roman" w:cs="Times New Roman"/>
          <w:b/>
          <w:sz w:val="24"/>
          <w:szCs w:val="24"/>
        </w:rPr>
        <w:t xml:space="preserve">Pirkimui skirta maksimali lėšų suma </w:t>
      </w:r>
      <w:r w:rsidR="00807FC9" w:rsidRPr="00807FC9">
        <w:rPr>
          <w:rFonts w:ascii="Times New Roman" w:eastAsiaTheme="minorHAnsi" w:hAnsi="Times New Roman" w:cs="Times New Roman"/>
          <w:b/>
          <w:sz w:val="24"/>
          <w:szCs w:val="24"/>
        </w:rPr>
        <w:t>– 135 700,00 Eur su PVM (</w:t>
      </w:r>
      <w:r w:rsidR="00807FC9" w:rsidRPr="00807FC9">
        <w:rPr>
          <w:rFonts w:ascii="Times New Roman" w:eastAsiaTheme="minorHAnsi" w:hAnsi="Times New Roman" w:cs="Times New Roman"/>
          <w:b/>
          <w:sz w:val="24"/>
          <w:szCs w:val="24"/>
        </w:rPr>
        <w:t>112 148,76</w:t>
      </w:r>
      <w:r w:rsidR="00807FC9" w:rsidRPr="00807FC9">
        <w:rPr>
          <w:rFonts w:ascii="Times New Roman" w:eastAsiaTheme="minorHAnsi" w:hAnsi="Times New Roman" w:cs="Times New Roman"/>
          <w:b/>
          <w:sz w:val="24"/>
          <w:szCs w:val="24"/>
        </w:rPr>
        <w:t xml:space="preserve"> Eur be PVM).</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pogrupis – keliai (gatvės)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FAFE" w14:textId="77777777" w:rsidR="00F477DD" w:rsidRDefault="00F477DD" w:rsidP="00D05666">
      <w:r>
        <w:separator/>
      </w:r>
    </w:p>
  </w:endnote>
  <w:endnote w:type="continuationSeparator" w:id="0">
    <w:p w14:paraId="73704BAC" w14:textId="77777777" w:rsidR="00F477DD" w:rsidRDefault="00F477DD" w:rsidP="00D05666">
      <w:r>
        <w:continuationSeparator/>
      </w:r>
    </w:p>
  </w:endnote>
  <w:endnote w:type="continuationNotice" w:id="1">
    <w:p w14:paraId="38228E95" w14:textId="77777777" w:rsidR="00F477DD" w:rsidRDefault="00F477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2C96" w14:textId="77777777" w:rsidR="00F477DD" w:rsidRDefault="00F477DD" w:rsidP="00D05666">
      <w:r>
        <w:separator/>
      </w:r>
    </w:p>
  </w:footnote>
  <w:footnote w:type="continuationSeparator" w:id="0">
    <w:p w14:paraId="295E54DF" w14:textId="77777777" w:rsidR="00F477DD" w:rsidRDefault="00F477DD" w:rsidP="00D05666">
      <w:r>
        <w:continuationSeparator/>
      </w:r>
    </w:p>
  </w:footnote>
  <w:footnote w:type="continuationNotice" w:id="1">
    <w:p w14:paraId="1F03A01A" w14:textId="77777777" w:rsidR="00F477DD" w:rsidRDefault="00F477DD">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2DD"/>
    <w:rsid w:val="00102FFE"/>
    <w:rsid w:val="00534CF4"/>
    <w:rsid w:val="006158E1"/>
    <w:rsid w:val="006B3A6F"/>
    <w:rsid w:val="006F60FD"/>
    <w:rsid w:val="007071E9"/>
    <w:rsid w:val="00A40771"/>
    <w:rsid w:val="00B27B2A"/>
    <w:rsid w:val="00C06F5D"/>
    <w:rsid w:val="00C41E6E"/>
    <w:rsid w:val="00C600C8"/>
    <w:rsid w:val="00D30015"/>
    <w:rsid w:val="00DD4F97"/>
    <w:rsid w:val="00E67351"/>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24</Pages>
  <Words>26812</Words>
  <Characters>15283</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525</cp:revision>
  <cp:lastPrinted>2023-09-08T12:30:00Z</cp:lastPrinted>
  <dcterms:created xsi:type="dcterms:W3CDTF">2023-10-09T12:07:00Z</dcterms:created>
  <dcterms:modified xsi:type="dcterms:W3CDTF">2025-08-04T09:58:00Z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