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D299" w14:textId="333DBA39" w:rsidR="004D0B62" w:rsidRPr="00B46D5B" w:rsidRDefault="003558E6" w:rsidP="004D0B62">
      <w:pPr>
        <w:pStyle w:val="Title"/>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KABELIŲ IR LAIDŲ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3ACAD9A9"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3558E6">
        <w:rPr>
          <w:rFonts w:ascii="Arial" w:hAnsi="Arial" w:cs="Arial"/>
          <w:noProof/>
          <w:sz w:val="20"/>
          <w:szCs w:val="20"/>
          <w:lang w:val="lt-LT"/>
        </w:rPr>
        <w:t>4</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BlockText"/>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shd w:val="clear" w:color="auto" w:fill="auto"/>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4CDF7ADE" w:rsidR="0080095A" w:rsidRPr="003558E6" w:rsidRDefault="003558E6" w:rsidP="594AB177">
            <w:pPr>
              <w:jc w:val="both"/>
              <w:rPr>
                <w:rFonts w:ascii="Arial" w:hAnsi="Arial" w:cs="Arial"/>
                <w:noProof/>
                <w:sz w:val="20"/>
                <w:szCs w:val="20"/>
                <w:lang w:val="lt-LT"/>
              </w:rPr>
            </w:pPr>
            <w:r>
              <w:rPr>
                <w:rFonts w:ascii="Arial" w:hAnsi="Arial" w:cs="Arial"/>
                <w:noProof/>
                <w:sz w:val="20"/>
                <w:szCs w:val="20"/>
                <w:lang w:val="lt-LT"/>
              </w:rPr>
              <w:t>Kabeliai ir laidai</w:t>
            </w:r>
          </w:p>
        </w:tc>
      </w:tr>
      <w:tr w:rsidR="006E3778" w:rsidRPr="00B46D5B" w14:paraId="503179F7" w14:textId="77777777" w:rsidTr="002F4F14">
        <w:trPr>
          <w:trHeight w:val="48"/>
        </w:trPr>
        <w:tc>
          <w:tcPr>
            <w:tcW w:w="2263" w:type="dxa"/>
            <w:shd w:val="clear" w:color="auto" w:fill="auto"/>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04358EB2" w:rsidR="000D00A7" w:rsidRPr="00B46D5B" w:rsidRDefault="003558E6" w:rsidP="000D00A7">
            <w:pPr>
              <w:jc w:val="both"/>
              <w:rPr>
                <w:rFonts w:ascii="Arial" w:hAnsi="Arial" w:cs="Arial"/>
                <w:noProof/>
                <w:sz w:val="20"/>
                <w:szCs w:val="20"/>
                <w:lang w:val="lt-LT"/>
              </w:rPr>
            </w:pPr>
            <w:r w:rsidRPr="003558E6">
              <w:rPr>
                <w:rFonts w:ascii="Arial" w:hAnsi="Arial" w:cs="Arial"/>
                <w:noProof/>
                <w:sz w:val="20"/>
                <w:szCs w:val="20"/>
                <w:lang w:val="lt-LT"/>
              </w:rPr>
              <w:t xml:space="preserve">Sutartis galioja 12 (dvylika) mėnesių, su galimybę Sutartį </w:t>
            </w:r>
            <w:r>
              <w:rPr>
                <w:rFonts w:ascii="Arial" w:hAnsi="Arial" w:cs="Arial"/>
                <w:noProof/>
                <w:sz w:val="20"/>
                <w:szCs w:val="20"/>
                <w:lang w:val="lt-LT"/>
              </w:rPr>
              <w:t>1</w:t>
            </w:r>
            <w:r w:rsidRPr="003558E6">
              <w:rPr>
                <w:rFonts w:ascii="Arial" w:hAnsi="Arial" w:cs="Arial"/>
                <w:noProof/>
                <w:sz w:val="20"/>
                <w:szCs w:val="20"/>
                <w:lang w:val="lt-LT"/>
              </w:rPr>
              <w:t xml:space="preserve"> (</w:t>
            </w:r>
            <w:r>
              <w:rPr>
                <w:rFonts w:ascii="Arial" w:hAnsi="Arial" w:cs="Arial"/>
                <w:noProof/>
                <w:sz w:val="20"/>
                <w:szCs w:val="20"/>
                <w:lang w:val="lt-LT"/>
              </w:rPr>
              <w:t>vieną</w:t>
            </w:r>
            <w:r w:rsidRPr="003558E6">
              <w:rPr>
                <w:rFonts w:ascii="Arial" w:hAnsi="Arial" w:cs="Arial"/>
                <w:noProof/>
                <w:sz w:val="20"/>
                <w:szCs w:val="20"/>
                <w:lang w:val="lt-LT"/>
              </w:rPr>
              <w:t>) kart</w:t>
            </w:r>
            <w:r>
              <w:rPr>
                <w:rFonts w:ascii="Arial" w:hAnsi="Arial" w:cs="Arial"/>
                <w:noProof/>
                <w:sz w:val="20"/>
                <w:szCs w:val="20"/>
                <w:lang w:val="lt-LT"/>
              </w:rPr>
              <w:t>ą</w:t>
            </w:r>
            <w:r w:rsidRPr="003558E6">
              <w:rPr>
                <w:rFonts w:ascii="Arial" w:hAnsi="Arial" w:cs="Arial"/>
                <w:noProof/>
                <w:sz w:val="20"/>
                <w:szCs w:val="20"/>
                <w:lang w:val="lt-LT"/>
              </w:rPr>
              <w:t xml:space="preserve"> pratęsti 12 (dvylikos) mėnesių laikotarpiui. Sutarties galiojimas automatiškai pratęsiamas dar 12 (dvylikai) mėnesių, jei nė viena iš šalių iki Sutarties pasibaigimo likus 30 (trisdešimt) dienų nepareiškia noro n</w:t>
            </w:r>
            <w:r>
              <w:rPr>
                <w:rFonts w:ascii="Arial" w:hAnsi="Arial" w:cs="Arial"/>
                <w:noProof/>
                <w:sz w:val="20"/>
                <w:szCs w:val="20"/>
                <w:lang w:val="lt-LT"/>
              </w:rPr>
              <w:t>epratęsti</w:t>
            </w:r>
            <w:r w:rsidRPr="003558E6">
              <w:rPr>
                <w:rFonts w:ascii="Arial" w:hAnsi="Arial" w:cs="Arial"/>
                <w:noProof/>
                <w:sz w:val="20"/>
                <w:szCs w:val="20"/>
                <w:lang w:val="lt-LT"/>
              </w:rPr>
              <w:t xml:space="preserve"> Sutart</w:t>
            </w:r>
            <w:r>
              <w:rPr>
                <w:rFonts w:ascii="Arial" w:hAnsi="Arial" w:cs="Arial"/>
                <w:noProof/>
                <w:sz w:val="20"/>
                <w:szCs w:val="20"/>
                <w:lang w:val="lt-LT"/>
              </w:rPr>
              <w:t>ies</w:t>
            </w:r>
            <w:r w:rsidRPr="003558E6">
              <w:rPr>
                <w:rFonts w:ascii="Arial" w:hAnsi="Arial" w:cs="Arial"/>
                <w:noProof/>
                <w:sz w:val="20"/>
                <w:szCs w:val="20"/>
                <w:lang w:val="lt-LT"/>
              </w:rPr>
              <w:t>. Sutartis laikoma sudaryta, kai ją pasirašo abi sutarties šalys (toliau – Šalys), t. y. nuo vėliausio Šalies parašo datos.</w:t>
            </w:r>
          </w:p>
        </w:tc>
      </w:tr>
      <w:tr w:rsidR="006E3778" w:rsidRPr="00B46D5B" w14:paraId="69F60774" w14:textId="77777777" w:rsidTr="002F4F14">
        <w:trPr>
          <w:trHeight w:val="48"/>
        </w:trPr>
        <w:tc>
          <w:tcPr>
            <w:tcW w:w="2263" w:type="dxa"/>
            <w:shd w:val="clear" w:color="auto" w:fill="auto"/>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79DC268C"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p>
        </w:tc>
      </w:tr>
      <w:tr w:rsidR="002F4F14" w:rsidRPr="00B46D5B" w14:paraId="34B059F7" w14:textId="77777777" w:rsidTr="002F4F14">
        <w:trPr>
          <w:trHeight w:val="48"/>
        </w:trPr>
        <w:tc>
          <w:tcPr>
            <w:tcW w:w="2263" w:type="dxa"/>
            <w:shd w:val="clear" w:color="auto" w:fill="auto"/>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52912575" w:rsidR="002F4F14" w:rsidRPr="00B46D5B" w:rsidRDefault="003558E6"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3558E6">
        <w:trPr>
          <w:trHeight w:val="103"/>
        </w:trPr>
        <w:tc>
          <w:tcPr>
            <w:tcW w:w="2263" w:type="dxa"/>
            <w:vMerge w:val="restart"/>
            <w:shd w:val="clear" w:color="auto" w:fill="auto"/>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shd w:val="clear" w:color="auto" w:fill="auto"/>
          </w:tcPr>
          <w:p w14:paraId="3DD8AC46" w14:textId="088C6397" w:rsidR="004C1342" w:rsidRPr="00B46D5B" w:rsidRDefault="003558E6" w:rsidP="00156E77">
            <w:pPr>
              <w:rPr>
                <w:rFonts w:ascii="Arial" w:hAnsi="Arial" w:cs="Arial"/>
                <w:noProof/>
                <w:sz w:val="20"/>
                <w:szCs w:val="20"/>
                <w:lang w:val="lt-LT"/>
              </w:rPr>
            </w:pPr>
            <w:r>
              <w:rPr>
                <w:rFonts w:ascii="Arial" w:hAnsi="Arial" w:cs="Arial"/>
                <w:noProof/>
                <w:sz w:val="20"/>
                <w:szCs w:val="20"/>
                <w:lang w:val="lt-LT"/>
              </w:rPr>
              <w:t>39 130,00 Eur</w:t>
            </w:r>
            <w:r w:rsidR="00324394" w:rsidRPr="00B46D5B">
              <w:rPr>
                <w:rFonts w:ascii="Arial" w:hAnsi="Arial" w:cs="Arial"/>
                <w:noProof/>
                <w:sz w:val="20"/>
                <w:szCs w:val="20"/>
                <w:lang w:val="lt-LT"/>
              </w:rPr>
              <w:t xml:space="preserve">        </w:t>
            </w:r>
          </w:p>
        </w:tc>
        <w:tc>
          <w:tcPr>
            <w:tcW w:w="4097" w:type="dxa"/>
            <w:shd w:val="clear" w:color="auto" w:fill="auto"/>
          </w:tcPr>
          <w:p w14:paraId="16FDAC54" w14:textId="07465A48" w:rsidR="004C1342" w:rsidRPr="00B46D5B" w:rsidRDefault="004C1342" w:rsidP="00156E77">
            <w:pPr>
              <w:rPr>
                <w:rFonts w:ascii="Arial" w:hAnsi="Arial" w:cs="Arial"/>
                <w:noProof/>
                <w:sz w:val="20"/>
                <w:szCs w:val="20"/>
                <w:lang w:val="lt-LT"/>
              </w:rPr>
            </w:pPr>
          </w:p>
        </w:tc>
      </w:tr>
      <w:tr w:rsidR="006E3778" w:rsidRPr="00B46D5B" w14:paraId="3A875A93" w14:textId="77777777" w:rsidTr="003558E6">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shd w:val="clear" w:color="auto" w:fill="auto"/>
          </w:tcPr>
          <w:p w14:paraId="02621182" w14:textId="6825215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097" w:type="dxa"/>
            <w:shd w:val="clear" w:color="auto" w:fill="auto"/>
          </w:tcPr>
          <w:p w14:paraId="42791780" w14:textId="196542EA" w:rsidR="004C1342" w:rsidRPr="00B46D5B" w:rsidRDefault="004C1342" w:rsidP="00156E77">
            <w:pPr>
              <w:rPr>
                <w:rFonts w:ascii="Arial" w:hAnsi="Arial" w:cs="Arial"/>
                <w:noProof/>
                <w:sz w:val="20"/>
                <w:szCs w:val="20"/>
                <w:lang w:val="lt-LT"/>
              </w:rPr>
            </w:pPr>
          </w:p>
        </w:tc>
      </w:tr>
      <w:tr w:rsidR="006E3778" w:rsidRPr="00B46D5B" w14:paraId="33427C94" w14:textId="77777777" w:rsidTr="003558E6">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shd w:val="clear" w:color="auto" w:fill="auto"/>
          </w:tcPr>
          <w:p w14:paraId="4FEEDB70" w14:textId="737D8968"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097" w:type="dxa"/>
            <w:shd w:val="clear" w:color="auto" w:fill="auto"/>
          </w:tcPr>
          <w:p w14:paraId="293361FA" w14:textId="3FFABBCD"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shd w:val="clear" w:color="auto" w:fill="auto"/>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11A911D6" w:rsidR="00650EBA" w:rsidRPr="00B46D5B" w:rsidRDefault="00650EBA" w:rsidP="00650EBA">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Pardavėjo pasiūlyme</w:t>
            </w:r>
          </w:p>
        </w:tc>
      </w:tr>
      <w:tr w:rsidR="006E3778" w:rsidRPr="00B46D5B" w14:paraId="368838BA" w14:textId="77777777" w:rsidTr="002F4F14">
        <w:trPr>
          <w:trHeight w:val="152"/>
        </w:trPr>
        <w:tc>
          <w:tcPr>
            <w:tcW w:w="2263" w:type="dxa"/>
            <w:vMerge w:val="restart"/>
            <w:shd w:val="clear" w:color="auto" w:fill="auto"/>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shd w:val="clear" w:color="auto" w:fill="auto"/>
          </w:tcPr>
          <w:p w14:paraId="6E365C84" w14:textId="7A140ED0" w:rsidR="00BB09F3" w:rsidRPr="00B46D5B" w:rsidRDefault="003558E6" w:rsidP="00BB09F3">
            <w:pPr>
              <w:tabs>
                <w:tab w:val="left" w:pos="313"/>
              </w:tabs>
              <w:rPr>
                <w:rFonts w:ascii="Arial" w:hAnsi="Arial" w:cs="Arial"/>
                <w:noProof/>
                <w:sz w:val="20"/>
                <w:szCs w:val="20"/>
                <w:lang w:val="lt-LT"/>
              </w:rPr>
            </w:pPr>
            <w:r>
              <w:rPr>
                <w:rFonts w:ascii="Arial" w:hAnsi="Arial" w:cs="Arial"/>
                <w:noProof/>
                <w:sz w:val="20"/>
                <w:szCs w:val="20"/>
                <w:lang w:val="lt-LT"/>
              </w:rPr>
              <w:t>Nurodyta Techninėje specifikacijoje</w:t>
            </w: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0FEAF848" w:rsidR="000F4576" w:rsidRPr="00B46D5B" w:rsidRDefault="003558E6" w:rsidP="000F4576">
            <w:pPr>
              <w:tabs>
                <w:tab w:val="left" w:pos="313"/>
              </w:tabs>
              <w:rPr>
                <w:rFonts w:ascii="Arial" w:hAnsi="Arial" w:cs="Arial"/>
                <w:noProof/>
                <w:sz w:val="20"/>
                <w:szCs w:val="20"/>
                <w:lang w:val="lt-LT"/>
              </w:rPr>
            </w:pPr>
            <w:r w:rsidRPr="003558E6">
              <w:rPr>
                <w:rFonts w:ascii="Arial" w:hAnsi="Arial" w:cs="Arial"/>
                <w:noProof/>
                <w:sz w:val="20"/>
                <w:szCs w:val="20"/>
                <w:lang w:val="lt-LT"/>
              </w:rPr>
              <w:t>Nurodyta Techninėje specifikacijoje</w:t>
            </w: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2485748F"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3B6BF0">
              <w:rPr>
                <w:rFonts w:ascii="Arial" w:hAnsi="Arial" w:cs="Arial"/>
                <w:noProof/>
                <w:sz w:val="20"/>
                <w:szCs w:val="20"/>
                <w:lang w:val="lt-LT"/>
              </w:rPr>
              <w:t>7</w:t>
            </w:r>
            <w:r w:rsidRPr="00B46D5B">
              <w:rPr>
                <w:rFonts w:ascii="Arial" w:hAnsi="Arial" w:cs="Arial"/>
                <w:noProof/>
                <w:sz w:val="20"/>
                <w:szCs w:val="20"/>
                <w:lang w:val="lt-LT"/>
              </w:rPr>
              <w:t xml:space="preserve">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1DF4FD75" w14:textId="0BC37202" w:rsidR="00434756" w:rsidRPr="00B46D5B" w:rsidRDefault="003B6BF0" w:rsidP="003B6BF0">
            <w:pPr>
              <w:spacing w:after="120"/>
              <w:jc w:val="both"/>
              <w:rPr>
                <w:rFonts w:ascii="Arial" w:hAnsi="Arial" w:cs="Arial"/>
                <w:noProof/>
                <w:sz w:val="20"/>
                <w:szCs w:val="20"/>
                <w:lang w:val="lt-LT"/>
              </w:rPr>
            </w:pPr>
            <w:r>
              <w:rPr>
                <w:rFonts w:ascii="Arial" w:hAnsi="Arial" w:cs="Arial"/>
                <w:noProof/>
                <w:sz w:val="20"/>
                <w:szCs w:val="20"/>
                <w:lang w:val="lt-LT"/>
              </w:rPr>
              <w:t xml:space="preserve">Pirkėjas </w:t>
            </w:r>
            <w:r w:rsidRPr="003B6BF0">
              <w:rPr>
                <w:rFonts w:ascii="Arial" w:hAnsi="Arial" w:cs="Arial"/>
                <w:noProof/>
                <w:sz w:val="20"/>
                <w:szCs w:val="20"/>
                <w:lang w:val="lt-LT"/>
              </w:rPr>
              <w:t xml:space="preserve">gali įsigyti techninėje specifikacijoje nenurodytų, tačiau su pirkimo objektu susijusių prekių, neviršijant 10 procentų pradinės Sutarties vertės, už kurias bus apmokama ne didesnėmis nei užsakymo dieną </w:t>
            </w:r>
            <w:r>
              <w:rPr>
                <w:rFonts w:ascii="Arial" w:hAnsi="Arial" w:cs="Arial"/>
                <w:noProof/>
                <w:sz w:val="20"/>
                <w:szCs w:val="20"/>
                <w:lang w:val="lt-LT"/>
              </w:rPr>
              <w:t>Pardavėjo</w:t>
            </w:r>
            <w:r w:rsidRPr="003B6BF0">
              <w:rPr>
                <w:rFonts w:ascii="Arial" w:hAnsi="Arial" w:cs="Arial"/>
                <w:noProof/>
                <w:sz w:val="20"/>
                <w:szCs w:val="20"/>
                <w:lang w:val="lt-LT"/>
              </w:rPr>
              <w:t xml:space="preserve"> prekybos vietoje, kataloge ar interneto svetainėje nurodytomis galiojančiomis šių prekių kainomis arba, jei tokios kainos neskelbiamos, </w:t>
            </w:r>
            <w:r>
              <w:rPr>
                <w:rFonts w:ascii="Arial" w:hAnsi="Arial" w:cs="Arial"/>
                <w:noProof/>
                <w:sz w:val="20"/>
                <w:szCs w:val="20"/>
                <w:lang w:val="lt-LT"/>
              </w:rPr>
              <w:t>Pardavėjo</w:t>
            </w:r>
            <w:r w:rsidRPr="003B6BF0">
              <w:rPr>
                <w:rFonts w:ascii="Arial" w:hAnsi="Arial" w:cs="Arial"/>
                <w:noProof/>
                <w:sz w:val="20"/>
                <w:szCs w:val="20"/>
                <w:lang w:val="lt-LT"/>
              </w:rPr>
              <w:t xml:space="preserve"> pasiūlytomis, konkurencingomis ir rinką atitinkančiomis kainomis.</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w:t>
      </w:r>
      <w:r w:rsidRPr="00B46D5B">
        <w:rPr>
          <w:rFonts w:ascii="Arial" w:hAnsi="Arial" w:cs="Arial"/>
          <w:noProof/>
          <w:sz w:val="20"/>
          <w:szCs w:val="20"/>
        </w:rPr>
        <w:lastRenderedPageBreak/>
        <w:t>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06F1C" w14:textId="77777777" w:rsidR="009E2829" w:rsidRDefault="009E2829" w:rsidP="00EE5E64">
      <w:r>
        <w:separator/>
      </w:r>
    </w:p>
  </w:endnote>
  <w:endnote w:type="continuationSeparator" w:id="0">
    <w:p w14:paraId="43E594E6" w14:textId="77777777" w:rsidR="009E2829" w:rsidRDefault="009E2829" w:rsidP="00EE5E64">
      <w:r>
        <w:continuationSeparator/>
      </w:r>
    </w:p>
  </w:endnote>
  <w:endnote w:type="continuationNotice" w:id="1">
    <w:p w14:paraId="37D817E5" w14:textId="77777777" w:rsidR="009E2829" w:rsidRDefault="009E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BD4A" w14:textId="77777777" w:rsidR="009E2829" w:rsidRDefault="009E2829" w:rsidP="00EE5E64">
      <w:r>
        <w:separator/>
      </w:r>
    </w:p>
  </w:footnote>
  <w:footnote w:type="continuationSeparator" w:id="0">
    <w:p w14:paraId="2E9B5D17" w14:textId="77777777" w:rsidR="009E2829" w:rsidRDefault="009E2829" w:rsidP="00EE5E64">
      <w:r>
        <w:continuationSeparator/>
      </w:r>
    </w:p>
  </w:footnote>
  <w:footnote w:type="continuationNotice" w:id="1">
    <w:p w14:paraId="0A740AC3" w14:textId="77777777" w:rsidR="009E2829" w:rsidRDefault="009E2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0F556E"/>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D65"/>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58E6"/>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B6BF0"/>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798"/>
    <w:rsid w:val="009D2B2C"/>
    <w:rsid w:val="009D4E9D"/>
    <w:rsid w:val="009D640A"/>
    <w:rsid w:val="009D6AFE"/>
    <w:rsid w:val="009E1810"/>
    <w:rsid w:val="009E2723"/>
    <w:rsid w:val="009E2829"/>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17429</Words>
  <Characters>9936</Characters>
  <Application>Microsoft Office Word</Application>
  <DocSecurity>8</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PATALPŲ NUOMOS SUTARTIS</vt:lpstr>
      <vt:lpstr>PATALPŲ NUOMOS SUTARTIS</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2</cp:revision>
  <cp:lastPrinted>2022-05-09T09:00:00Z</cp:lastPrinted>
  <dcterms:created xsi:type="dcterms:W3CDTF">2024-12-06T07:47:00Z</dcterms:created>
  <dcterms:modified xsi:type="dcterms:W3CDTF">2024-12-06T07:47:00Z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