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comments.xml" ContentType="application/vnd.openxmlformats-officedocument.wordprocessingml.comment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4"/>
        <w:gridCol w:w="2183"/>
        <w:gridCol w:w="2358"/>
        <w:gridCol w:w="2572"/>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709"/>
                <w:tab w:val="left" w:pos="993" w:leader="none"/>
              </w:tabs>
              <w:spacing w:before="0" w:after="0"/>
              <w:contextualSpacing/>
              <w:jc w:val="both"/>
              <w:rPr>
                <w:rFonts w:ascii="Times New Roman" w:hAnsi="Times New Roman" w:eastAsia="Times New Roman" w:cs="Times New Roman"/>
                <w:b/>
                <w:bCs/>
              </w:rPr>
            </w:pPr>
            <w:r>
              <w:rPr>
                <w:rFonts w:eastAsia="Times New Roman" w:cs="Times New Roman" w:ascii="Times New Roman" w:hAnsi="Times New Roman"/>
                <w:b/>
                <w:bCs/>
              </w:rPr>
              <w:t>MOKYMŲ PROGRAMOS PARENGIMAS IR LEKTORIŲ PASLAUGOS</w:t>
            </w:r>
          </w:p>
          <w:p>
            <w:pPr>
              <w:pStyle w:val="NoSpacing"/>
              <w:tabs>
                <w:tab w:val="clear" w:pos="709"/>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29"/>
        <w:gridCol w:w="12"/>
        <w:gridCol w:w="2130"/>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Sutartyje numatytomis sąlygomis suteikti</w:t>
            </w:r>
          </w:p>
          <w:p>
            <w:pPr>
              <w:pStyle w:val="Normal"/>
              <w:jc w:val="both"/>
              <w:rPr>
                <w:rFonts w:ascii="Times New Roman" w:hAnsi="Times New Roman" w:eastAsia="Times New Roman" w:cs="Times New Roman"/>
                <w:b/>
                <w:bCs/>
              </w:rPr>
            </w:pPr>
            <w:r>
              <w:rPr>
                <w:rFonts w:eastAsia="Times New Roman" w:cs="Times New Roman" w:ascii="Times New Roman" w:hAnsi="Times New Roman"/>
              </w:rPr>
              <w:t xml:space="preserve">I dalis. </w:t>
            </w:r>
            <w:r>
              <w:rPr>
                <w:rFonts w:eastAsia="Times New Roman" w:cs="Times New Roman" w:ascii="Times New Roman" w:hAnsi="Times New Roman"/>
                <w:b/>
                <w:bCs/>
              </w:rPr>
              <w:t>Psichikos sveikatos raštingumo mokymų programų parengimo ir lektorių paslaugos visuomenei;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II dalis. </w:t>
            </w:r>
            <w:r>
              <w:rPr>
                <w:b/>
                <w:bCs/>
              </w:rPr>
              <w:t>Psichikos sveikatos raštingumo mokymų programų parengimo ir lektorių paslaugos specialistams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paslaugas (toliau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Psichikos sveikatos raštingumo ir pirmosios emocinės pagalbos mokymų programos tikslinėms visuomenės grupėms ir specialistams parengimo bei lektorių apmokymo paslaugos (toliau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nurodyti pirkimo nr.</w:t>
            </w:r>
            <w:r>
              <w:rPr>
                <w:rFonts w:eastAsia="Times New Roman" w:cs="Times New Roman" w:ascii="Times New Roman" w:hAnsi="Times New Roman"/>
                <w:color w:val="227ACB"/>
              </w:rPr>
              <w:t>]</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t xml:space="preserve">Psichikos sveikatos stiprinimas, stigmatizavimo mažinimas, savižudybių prevencija Vidurio, Vakarų Lietuvos ir Sostinės regione“ </w:t>
            </w:r>
            <w:r>
              <w:rPr>
                <w:rFonts w:eastAsia="Times New Roman" w:cs="Times New Roman" w:ascii="Times New Roman" w:hAnsi="Times New Roman"/>
                <w:spacing w:val="-2"/>
              </w:rPr>
              <w:t>Nr. 09-025-</w:t>
            </w:r>
            <w:r>
              <w:rPr>
                <w:rFonts w:eastAsia="Times New Roman" w:cs="Times New Roman" w:ascii="Times New Roman" w:hAnsi="Times New Roman"/>
                <w:spacing w:val="-10"/>
              </w:rPr>
              <w:t>P</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36</w:t>
            </w:r>
            <w:r>
              <w:rPr>
                <w:rFonts w:eastAsia="Times New Roman" w:cs="Times New Roman" w:ascii="Times New Roman" w:hAnsi="Times New Roman"/>
              </w:rPr>
              <w:t xml:space="preserve"> (trisdešimt šeši) mėnesiai nuo Sutarties sudarymo ir įsigaliojimo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Galutinės mokymų programos metodinės ir vizualinės medžiagos (skaidrių) medžiagos pateikimas;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Dalyvių sąrašai (mokymų vykdymo atvejais);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Dalyvių grįžtamojo ryšio anketos rezultatai.</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Fiksuotos kainos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nurodytais įkainiais.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9.2.1. </w:t>
            </w:r>
            <w:commentRangeStart w:id="0"/>
            <w:r>
              <w:rPr/>
              <w:t xml:space="preserve">Jeigu Tiekėjas vėluoja suteikti Paslaugas arba nevykdo kitų sutartinių įsipareigojimų, Pirkėjas nuo kitos nei nustatytas terminas dienos </w:t>
            </w:r>
            <w:r>
              <w:rPr>
                <w:color w:val="auto"/>
              </w:rPr>
              <w:t>Tiekėjui skaičiuoja 0,02 (dvi šimtosios) procento dydžio delspinigius už kiekvieną uždelstą dieną nuo laiku nesuteiktų Paslaugų ar kitų sutartinių įsipareigojimų nevykdymo kainos be PVM.</w:t>
            </w:r>
            <w:commentRangeEnd w:id="0"/>
            <w:r>
              <w:commentReference w:id="0"/>
            </w:r>
            <w:r>
              <w:rPr>
                <w:color w:val="auto"/>
              </w:rPr>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9"/>
                <w:tab w:val="left" w:pos="1418" w:leader="none"/>
              </w:tabs>
              <w:jc w:val="both"/>
              <w:rPr>
                <w:rFonts w:ascii="Times New Roman" w:hAnsi="Times New Roman" w:cs="Times New Roman"/>
              </w:rPr>
            </w:pPr>
            <w:r>
              <w:rPr>
                <w:rFonts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Sutartis galioja iki visiško prievolių įvykdymo (kol bus išnaudota Pradinės Sutarties vertė), bet jos terminas negali būti ilgesnis kaip 36 mėnesiai.</w:t>
            </w:r>
          </w:p>
        </w:tc>
      </w:tr>
      <w:tr>
        <w:trPr>
          <w:trHeight w:val="300" w:hRule="atLeast"/>
        </w:trPr>
        <w:tc>
          <w:tcPr>
            <w:tcW w:w="3096"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8"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4"/>
              <w:jc w:val="both"/>
              <w:rPr>
                <w:color w:val="auto"/>
                <w:shd w:fill="FFFFFF" w:val="clear"/>
              </w:rPr>
            </w:pPr>
            <w:r>
              <w:rPr>
                <w:rFonts w:eastAsia="Arial"/>
                <w:color w:val="auto"/>
              </w:rPr>
              <w:t>12.2.8.</w:t>
            </w:r>
            <w:r>
              <w:rPr>
                <w:shd w:fill="FFFFFF" w:val="clear"/>
              </w:rPr>
              <w:t xml:space="preserve"> Tiekėjas ir (ar) jungtinės veiklos parneris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ir 4.4.4.1. papunkčiuose nustatytas sąlygas: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84"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14.2.</w:t>
            </w:r>
          </w:p>
        </w:tc>
        <w:tc>
          <w:tcPr>
            <w:tcW w:w="6450"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lang w:val="pt-BR"/>
        </w:rPr>
      </w:pPr>
      <w:r>
        <w:rPr>
          <w:rFonts w:eastAsia="Times New Roman" w:cs="Times New Roman" w:ascii="Times New Roman" w:hAnsi="Times New Roman"/>
          <w:lang w:val="pt-BR"/>
        </w:rPr>
        <w:t>Priedas Nr. 4</w:t>
      </w:r>
    </w:p>
    <w:p>
      <w:pPr>
        <w:pStyle w:val="Normal"/>
        <w:widowControl w:val="false"/>
        <w:tabs>
          <w:tab w:val="clear" w:pos="709"/>
          <w:tab w:val="left" w:pos="1130" w:leader="none"/>
        </w:tabs>
        <w:jc w:val="center"/>
        <w:textAlignment w:val="baseline"/>
        <w:rPr>
          <w:rFonts w:ascii="Times New Roman" w:hAnsi="Times New Roman" w:cs="Times New Roman"/>
          <w:b/>
          <w:iCs/>
          <w:kern w:val="2"/>
          <w:lang w:val="pt-BR"/>
        </w:rPr>
      </w:pPr>
      <w:r>
        <w:rPr>
          <w:rFonts w:cs="Times New Roman" w:ascii="Times New Roman" w:hAnsi="Times New Roman"/>
          <w:b/>
          <w:iCs/>
          <w:kern w:val="2"/>
          <w:lang w:val="pt-BR"/>
        </w:rPr>
      </w:r>
    </w:p>
    <w:p>
      <w:pPr>
        <w:pStyle w:val="Default"/>
        <w:jc w:val="center"/>
        <w:rPr>
          <w:b/>
        </w:rPr>
      </w:pPr>
      <w:r>
        <w:rPr>
          <w:b/>
        </w:rPr>
        <w:t xml:space="preserve">ASMENS DUOMENŲ TVARKYMO SUTARTIS </w:t>
      </w:r>
    </w:p>
    <w:p>
      <w:pPr>
        <w:pStyle w:val="Default"/>
        <w:jc w:val="center"/>
        <w:rPr>
          <w:b/>
        </w:rPr>
      </w:pPr>
      <w:r>
        <w:rPr>
          <w:b/>
        </w:rPr>
      </w:r>
    </w:p>
    <w:p>
      <w:pPr>
        <w:pStyle w:val="Default"/>
        <w:jc w:val="center"/>
        <w:rPr>
          <w:bCs/>
        </w:rPr>
      </w:pPr>
      <w:r>
        <w:rPr>
          <w:bCs/>
        </w:rPr>
        <w:t>2025 m. ................................ d.</w:t>
      </w:r>
    </w:p>
    <w:p>
      <w:pPr>
        <w:pStyle w:val="Default"/>
        <w:jc w:val="center"/>
        <w:rPr/>
      </w:pPr>
      <w:r>
        <w:rPr/>
        <w:t>Vilnius</w:t>
      </w:r>
    </w:p>
    <w:p>
      <w:pPr>
        <w:pStyle w:val="Default"/>
        <w:jc w:val="both"/>
        <w:rPr/>
      </w:pPr>
      <w:r>
        <w:rPr/>
      </w:r>
    </w:p>
    <w:p>
      <w:pPr>
        <w:pStyle w:val="Normal"/>
        <w:jc w:val="both"/>
        <w:rPr>
          <w:rFonts w:ascii="Times New Roman" w:hAnsi="Times New Roman" w:cs="Times New Roman"/>
        </w:rPr>
      </w:pPr>
      <w:r>
        <w:rPr>
          <w:rFonts w:cs="Times New Roman" w:ascii="Times New Roman" w:hAnsi="Times New Roman"/>
        </w:rPr>
        <w:t xml:space="preserve">Piekėjas – (įvardyti Pirkėją, jį atstovaujantį asmenį ir teisinį atstovavimo pagrindą) </w:t>
      </w:r>
      <w:r>
        <w:rPr>
          <w:rFonts w:cs="Times New Roman" w:ascii="Times New Roman" w:hAnsi="Times New Roman"/>
          <w:b/>
          <w:bCs/>
        </w:rPr>
        <w:t>(toliau – Duomenų valdytojas)</w:t>
      </w:r>
      <w:r>
        <w:rPr>
          <w:rFonts w:cs="Times New Roman" w:ascii="Times New Roman" w:hAnsi="Times New Roman"/>
        </w:rPr>
        <w:t>, iš vienos pusės</w:t>
      </w:r>
    </w:p>
    <w:p>
      <w:pPr>
        <w:pStyle w:val="Normal"/>
        <w:jc w:val="both"/>
        <w:rPr>
          <w:rFonts w:ascii="Times New Roman" w:hAnsi="Times New Roman" w:eastAsia="Times New Roman" w:cs="Times New Roman"/>
        </w:rPr>
      </w:pPr>
      <w:r>
        <w:rPr>
          <w:rFonts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Paslaug</w:t>
      </w:r>
      <w:r>
        <w:rPr>
          <w:rFonts w:cs="Times New Roman" w:ascii="Times New Roman" w:hAnsi="Times New Roman"/>
        </w:rPr>
        <w:t xml:space="preserve">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Default"/>
        <w:jc w:val="both"/>
        <w:rPr>
          <w:lang w:val="lt-LT"/>
        </w:rPr>
      </w:pPr>
      <w:r>
        <w:rPr>
          <w:lang w:val="lt-LT"/>
        </w:rPr>
      </w:r>
    </w:p>
    <w:p>
      <w:pPr>
        <w:pStyle w:val="Default"/>
        <w:jc w:val="both"/>
        <w:rPr>
          <w:bCs/>
          <w:lang w:val="lt-LT"/>
        </w:rPr>
      </w:pPr>
      <w:r>
        <w:rPr>
          <w:lang w:val="lt-LT"/>
        </w:rPr>
        <w:t xml:space="preserve">toliau kartu vadinami </w:t>
      </w:r>
      <w:r>
        <w:rPr>
          <w:bCs/>
          <w:lang w:val="lt-LT"/>
        </w:rPr>
        <w:t>Šalimis, o kiekvienas atskirai – Šalimi, sudarė šią Asmens duomenų tvarkymo sutartį (toliau – Sutartis).</w:t>
      </w:r>
    </w:p>
    <w:p>
      <w:pPr>
        <w:pStyle w:val="Default"/>
        <w:jc w:val="both"/>
        <w:rPr>
          <w:lang w:val="lt-LT"/>
        </w:rPr>
      </w:pPr>
      <w:r>
        <w:rPr>
          <w:lang w:val="lt-LT"/>
        </w:rPr>
      </w:r>
    </w:p>
    <w:p>
      <w:pPr>
        <w:pStyle w:val="Default"/>
        <w:jc w:val="center"/>
        <w:rPr>
          <w:b/>
        </w:rPr>
      </w:pPr>
      <w:r>
        <w:rPr>
          <w:b/>
        </w:rPr>
        <w:t>1</w:t>
      </w:r>
      <w:r>
        <w:rPr/>
        <w:t xml:space="preserve">. </w:t>
      </w:r>
      <w:r>
        <w:rPr>
          <w:b/>
          <w:bCs/>
        </w:rPr>
        <w:t>SUTARTIES DALYKAS</w:t>
      </w:r>
    </w:p>
    <w:p>
      <w:pPr>
        <w:pStyle w:val="Default"/>
        <w:jc w:val="both"/>
        <w:rPr>
          <w:color w:val="212121"/>
        </w:rPr>
      </w:pPr>
      <w:r>
        <w:rPr>
          <w:color w:val="212121"/>
        </w:rPr>
      </w:r>
    </w:p>
    <w:p>
      <w:pPr>
        <w:pStyle w:val="Default"/>
        <w:numPr>
          <w:ilvl w:val="1"/>
          <w:numId w:val="4"/>
        </w:numPr>
        <w:tabs>
          <w:tab w:val="clear" w:pos="709"/>
          <w:tab w:val="left" w:pos="426" w:leader="none"/>
        </w:tabs>
        <w:suppressAutoHyphens w:val="false"/>
        <w:ind w:hanging="0" w:left="0"/>
        <w:jc w:val="both"/>
        <w:rPr/>
      </w:pPr>
      <w:r>
        <w:rPr>
          <w:color w:val="212121"/>
        </w:rPr>
        <w:t>Duomenų t</w:t>
      </w:r>
      <w:r>
        <w:rPr/>
        <w:t xml:space="preserve">varkytojas pagal Šalių 2025 m.. ................ d. pasirašytą Paslaugų </w:t>
      </w:r>
      <w:r>
        <w:rPr>
          <w:rFonts w:eastAsia="Times New Roman"/>
        </w:rPr>
        <w:t xml:space="preserve">viešojo pirkimo–pardavimo </w:t>
      </w:r>
      <w:r>
        <w:rPr/>
        <w:t>sutartį Nr. ...... (toliau – Paslaugų sutartis) dėl mokymo paslaugų teikimo (toliau – Paslaugos) tvarkys asmens duomenis Paslaugų sutartyje nustatytais tikslais Duomenų valdytojo vardu.</w:t>
      </w:r>
    </w:p>
    <w:p>
      <w:pPr>
        <w:pStyle w:val="Default"/>
        <w:jc w:val="both"/>
        <w:rPr>
          <w:color w:val="212121"/>
        </w:rPr>
      </w:pPr>
      <w:r>
        <w:rPr>
          <w:color w:val="212121"/>
        </w:rPr>
      </w:r>
    </w:p>
    <w:p>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pPr>
        <w:pStyle w:val="Default"/>
        <w:jc w:val="both"/>
        <w:rPr>
          <w:color w:val="212121"/>
        </w:rPr>
      </w:pPr>
      <w:r>
        <w:rPr>
          <w:color w:val="212121"/>
        </w:rPr>
      </w:r>
    </w:p>
    <w:p>
      <w:pPr>
        <w:pStyle w:val="Default"/>
        <w:jc w:val="both"/>
        <w:rPr/>
      </w:pPr>
      <w:r>
        <w:rP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pPr>
      <w:r>
        <w:rPr/>
      </w:r>
    </w:p>
    <w:p>
      <w:pPr>
        <w:pStyle w:val="Default"/>
        <w:jc w:val="both"/>
        <w:rPr>
          <w:color w:val="212121"/>
        </w:rPr>
      </w:pPr>
      <w:r>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 xml:space="preserve">1.5. Bendruoju duomenų apsaugos reglamentu, reglamentu šioje Sutartyje suprantamas </w:t>
      </w:r>
      <w:r>
        <w:rPr>
          <w:rFonts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rPr>
        <w:t>omenų apsaugos reglamentas).</w:t>
      </w:r>
    </w:p>
    <w:p>
      <w:pPr>
        <w:pStyle w:val="Default"/>
        <w:jc w:val="both"/>
        <w:rPr>
          <w:lang w:val="lt-LT"/>
        </w:rPr>
      </w:pPr>
      <w:r>
        <w:rPr>
          <w:lang w:val="lt-LT"/>
        </w:rPr>
      </w:r>
    </w:p>
    <w:p>
      <w:pPr>
        <w:pStyle w:val="Default"/>
        <w:jc w:val="both"/>
        <w:rPr>
          <w:lang w:val="lt-LT"/>
        </w:rPr>
      </w:pPr>
      <w:r>
        <w:rPr>
          <w:lang w:val="lt-LT"/>
        </w:rPr>
      </w:r>
    </w:p>
    <w:p>
      <w:pPr>
        <w:pStyle w:val="Default"/>
        <w:numPr>
          <w:ilvl w:val="0"/>
          <w:numId w:val="4"/>
        </w:numPr>
        <w:suppressAutoHyphens w:val="false"/>
        <w:jc w:val="center"/>
        <w:rPr>
          <w:b/>
          <w:bCs/>
        </w:rPr>
      </w:pPr>
      <w:r>
        <w:rPr>
          <w:b/>
          <w:bCs/>
        </w:rPr>
        <w:t>PAVEDAMAS ASMENS DUOMENŲ TVARKYMAS</w:t>
      </w:r>
    </w:p>
    <w:p>
      <w:pPr>
        <w:pStyle w:val="Default"/>
        <w:ind w:left="444"/>
        <w:rPr>
          <w:b/>
          <w:bCs/>
        </w:rPr>
      </w:pPr>
      <w:r>
        <w:rPr>
          <w:b/>
          <w:bCs/>
        </w:rPr>
      </w:r>
    </w:p>
    <w:p>
      <w:pPr>
        <w:pStyle w:val="Normal"/>
        <w:jc w:val="both"/>
        <w:rPr>
          <w:rFonts w:ascii="Times New Roman" w:hAnsi="Times New Roman" w:cs="Times New Roman"/>
        </w:rPr>
      </w:pPr>
      <w:r>
        <w:rPr>
          <w:rFonts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eastAsia="Calibri" w:cs="Times New Roman"/>
        </w:rPr>
      </w:pPr>
      <w:r>
        <w:rPr>
          <w:rFonts w:cs="Times New Roman" w:ascii="Times New Roman" w:hAnsi="Times New Roman"/>
        </w:rPr>
        <w:t xml:space="preserve">2.2. </w:t>
      </w:r>
      <w:r>
        <w:rPr>
          <w:rFonts w:eastAsia="Calibri" w:cs="Times New Roman" w:ascii="Times New Roman" w:hAnsi="Times New Roman"/>
        </w:rPr>
        <w:t>Asmens duomenų tvarkymo tikslas, duomenų subjektų, kurių asmens duomenys tvarkomi, kategorijos ir tvarkomų asmens duomenų kategorijos yra šie:</w:t>
      </w:r>
    </w:p>
    <w:p>
      <w:pPr>
        <w:pStyle w:val="Normal"/>
        <w:jc w:val="both"/>
        <w:rPr>
          <w:rFonts w:ascii="Times New Roman" w:hAnsi="Times New Roman" w:cs="Times New Roman"/>
        </w:rPr>
      </w:pPr>
      <w:r>
        <w:rPr>
          <w:rFonts w:cs="Times New Roman" w:ascii="Times New Roman" w:hAnsi="Times New Roman"/>
        </w:rPr>
      </w:r>
    </w:p>
    <w:tbl>
      <w:tblPr>
        <w:tblStyle w:val="Lentelstinklelis"/>
        <w:tblW w:w="1003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9"/>
        <w:gridCol w:w="3203"/>
        <w:gridCol w:w="4254"/>
      </w:tblGrid>
      <w:tr>
        <w:trPr/>
        <w:tc>
          <w:tcPr>
            <w:tcW w:w="2579" w:type="dxa"/>
            <w:tcBorders/>
          </w:tcPr>
          <w:p>
            <w:pPr>
              <w:pStyle w:val="Normal"/>
              <w:widowControl/>
              <w:suppressAutoHyphens w:val="false"/>
              <w:spacing w:before="0" w:after="0"/>
              <w:jc w:val="center"/>
              <w:rPr>
                <w:rFonts w:ascii="Times New Roman" w:hAnsi="Times New Roman" w:eastAsia="Calibri" w:cs="Times New Roman"/>
                <w:b/>
                <w:bCs/>
              </w:rPr>
            </w:pPr>
            <w:r>
              <w:rPr>
                <w:rFonts w:eastAsia="Calibri" w:cs="Times New Roman" w:ascii="Times New Roman" w:hAnsi="Times New Roman"/>
                <w:b/>
                <w:bCs/>
                <w:kern w:val="0"/>
                <w:sz w:val="22"/>
                <w:szCs w:val="22"/>
                <w:lang w:eastAsia="en-US" w:bidi="ar-SA"/>
              </w:rPr>
              <w:t>Duomenų tvarkymo tikslas</w:t>
            </w:r>
          </w:p>
        </w:tc>
        <w:tc>
          <w:tcPr>
            <w:tcW w:w="3203" w:type="dxa"/>
            <w:tcBorders/>
          </w:tcPr>
          <w:p>
            <w:pPr>
              <w:pStyle w:val="Normal"/>
              <w:widowControl/>
              <w:suppressAutoHyphens w:val="false"/>
              <w:spacing w:before="0" w:after="0"/>
              <w:jc w:val="center"/>
              <w:rPr>
                <w:rFonts w:ascii="Times New Roman" w:hAnsi="Times New Roman" w:eastAsia="Calibri" w:cs="Times New Roman"/>
                <w:b/>
                <w:bCs/>
              </w:rPr>
            </w:pPr>
            <w:r>
              <w:rPr>
                <w:rFonts w:eastAsia="Calibri" w:cs="Times New Roman" w:ascii="Times New Roman" w:hAnsi="Times New Roman"/>
                <w:b/>
                <w:bCs/>
                <w:kern w:val="0"/>
                <w:sz w:val="22"/>
                <w:szCs w:val="22"/>
                <w:lang w:eastAsia="en-US" w:bidi="ar-SA"/>
              </w:rPr>
              <w:t>Duomenų subjektų kategorijos</w:t>
            </w:r>
          </w:p>
        </w:tc>
        <w:tc>
          <w:tcPr>
            <w:tcW w:w="4254" w:type="dxa"/>
            <w:tcBorders/>
          </w:tcPr>
          <w:p>
            <w:pPr>
              <w:pStyle w:val="Normal"/>
              <w:widowControl/>
              <w:suppressAutoHyphens w:val="false"/>
              <w:spacing w:before="0" w:after="0"/>
              <w:jc w:val="center"/>
              <w:rPr>
                <w:rFonts w:ascii="Times New Roman" w:hAnsi="Times New Roman" w:eastAsia="Calibri" w:cs="Times New Roman"/>
                <w:b/>
                <w:bCs/>
              </w:rPr>
            </w:pPr>
            <w:r>
              <w:rPr>
                <w:rFonts w:eastAsia="Calibri" w:cs="Times New Roman" w:ascii="Times New Roman" w:hAnsi="Times New Roman"/>
                <w:b/>
                <w:bCs/>
                <w:kern w:val="0"/>
                <w:sz w:val="22"/>
                <w:szCs w:val="22"/>
                <w:lang w:eastAsia="en-US" w:bidi="ar-SA"/>
              </w:rPr>
              <w:t>Asmens duomenų kategorijos (toliau - Asmens duomenys)</w:t>
            </w:r>
          </w:p>
        </w:tc>
      </w:tr>
      <w:tr>
        <w:trPr>
          <w:trHeight w:val="981" w:hRule="atLeast"/>
        </w:trPr>
        <w:tc>
          <w:tcPr>
            <w:tcW w:w="2579" w:type="dxa"/>
            <w:tcBorders/>
          </w:tcPr>
          <w:p>
            <w:pPr>
              <w:pStyle w:val="Normal"/>
              <w:widowControl/>
              <w:suppressAutoHyphens w:val="fals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eastAsia="en-US" w:bidi="ar-SA"/>
              </w:rPr>
              <w:t>Mokymų organizavimo ir vykdymo paslaugų teikimas pagal Paslaugų sutartį</w:t>
            </w:r>
          </w:p>
        </w:tc>
        <w:tc>
          <w:tcPr>
            <w:tcW w:w="3203" w:type="dxa"/>
            <w:tcBorders/>
          </w:tcPr>
          <w:p>
            <w:pPr>
              <w:pStyle w:val="Normal"/>
              <w:widowControl/>
              <w:suppressAutoHyphens w:val="fals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eastAsia="en-US" w:bidi="ar-SA"/>
              </w:rPr>
              <w:t>Mokymų dalyviai</w:t>
            </w:r>
          </w:p>
        </w:tc>
        <w:tc>
          <w:tcPr>
            <w:tcW w:w="4254" w:type="dxa"/>
            <w:tcBorders/>
          </w:tcPr>
          <w:p>
            <w:pPr>
              <w:pStyle w:val="Normal"/>
              <w:widowControl/>
              <w:suppressAutoHyphens w:val="false"/>
              <w:spacing w:before="0" w:after="0"/>
              <w:jc w:val="both"/>
              <w:rPr>
                <w:rFonts w:ascii="Times New Roman" w:hAnsi="Times New Roman" w:eastAsia="Calibri" w:cs="Times New Roman"/>
              </w:rPr>
            </w:pPr>
            <w:r>
              <w:rPr>
                <w:rFonts w:eastAsia="Arial" w:cs="Times New Roman" w:ascii="Times New Roman" w:hAnsi="Times New Roman"/>
                <w:bCs/>
                <w:kern w:val="0"/>
                <w:sz w:val="22"/>
                <w:szCs w:val="22"/>
                <w:lang w:eastAsia="en-US" w:bidi="ar-SA"/>
              </w:rPr>
              <w:t>Mokymų dalyvio vardas ir pavardė, gimimo data, profesinė kvalifikacija/ pareigos, elektroninio pašto adresas, atstovaujama įstaiga, dalyvio žinių vertinimo duomenys ir tokio vertinimo rezultatas, mokymų data, tema, kiti būtini duomenys.</w:t>
            </w:r>
          </w:p>
        </w:tc>
      </w:tr>
    </w:tbl>
    <w:p>
      <w:pPr>
        <w:pStyle w:val="Default"/>
        <w:rPr>
          <w:b/>
          <w:bCs/>
          <w:lang w:val="lt-LT"/>
        </w:rPr>
      </w:pPr>
      <w:r>
        <w:rPr>
          <w:b/>
          <w:bCs/>
          <w:lang w:val="lt-LT"/>
        </w:rPr>
      </w:r>
    </w:p>
    <w:p>
      <w:pPr>
        <w:pStyle w:val="Default"/>
        <w:jc w:val="both"/>
        <w:rPr>
          <w:lang w:val="lt-LT"/>
        </w:rPr>
      </w:pPr>
      <w:r>
        <w:rPr>
          <w:lang w:val="lt-LT"/>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lang w:val="lt-LT"/>
        </w:rPr>
      </w:pPr>
      <w:r>
        <w:rPr>
          <w:lang w:val="lt-LT"/>
        </w:rPr>
      </w:r>
    </w:p>
    <w:p>
      <w:pPr>
        <w:pStyle w:val="Default"/>
        <w:jc w:val="center"/>
        <w:rPr>
          <w:b/>
          <w:bCs/>
          <w:lang w:val="lt-LT"/>
        </w:rPr>
      </w:pPr>
      <w:r>
        <w:rPr>
          <w:b/>
          <w:bCs/>
          <w:lang w:val="lt-LT"/>
        </w:rPr>
        <w:t>3. DUOMENŲ VALDYTOJO PAREIGOS</w:t>
      </w:r>
    </w:p>
    <w:p>
      <w:pPr>
        <w:pStyle w:val="Default"/>
        <w:rPr>
          <w:b/>
          <w:bCs/>
          <w:lang w:val="lt-LT"/>
        </w:rPr>
      </w:pPr>
      <w:r>
        <w:rPr>
          <w:b/>
          <w:bCs/>
          <w:lang w:val="lt-LT"/>
        </w:rPr>
      </w:r>
    </w:p>
    <w:p>
      <w:pPr>
        <w:pStyle w:val="Default"/>
        <w:jc w:val="both"/>
        <w:rPr>
          <w:lang w:val="lt-LT"/>
        </w:rPr>
      </w:pPr>
      <w:r>
        <w:rPr>
          <w:lang w:val="lt-LT"/>
        </w:rPr>
        <w:t>3.1. Duomenų valdytojas įsipareigoja:</w:t>
      </w:r>
    </w:p>
    <w:p>
      <w:pPr>
        <w:pStyle w:val="Default"/>
        <w:jc w:val="both"/>
        <w:rPr>
          <w:lang w:val="lt-LT"/>
        </w:rPr>
      </w:pPr>
      <w:r>
        <w:rPr>
          <w:lang w:val="lt-LT"/>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pPr>
      <w:r>
        <w:rPr/>
        <w:t>3.1.2. priimti sprendimus dėl asmens duomenų tvarkymo tikslų ir priemonių;</w:t>
      </w:r>
    </w:p>
    <w:p>
      <w:pPr>
        <w:pStyle w:val="Default"/>
        <w:jc w:val="both"/>
        <w:rPr/>
      </w:pPr>
      <w:r>
        <w:rPr/>
        <w:t>3.1.3. užtikrinti, kad asmens duomenų tvarkymas, kurį Duomenų tvarkytojui pavesta atlikti, turėtų teisinį pagrindą;</w:t>
      </w:r>
    </w:p>
    <w:p>
      <w:pPr>
        <w:pStyle w:val="Default"/>
        <w:jc w:val="both"/>
        <w:rPr>
          <w:b/>
          <w:bCs/>
        </w:rPr>
      </w:pPr>
      <w:r>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pPr>
      <w:r>
        <w:rPr/>
      </w:r>
    </w:p>
    <w:p>
      <w:pPr>
        <w:pStyle w:val="Default"/>
        <w:jc w:val="center"/>
        <w:rPr>
          <w:b/>
          <w:bCs/>
        </w:rPr>
      </w:pPr>
      <w:r>
        <w:rPr>
          <w:b/>
          <w:bCs/>
        </w:rPr>
        <w:t>4. DUOMENŲ TVARKYTOJO PAREIGOS</w:t>
      </w:r>
    </w:p>
    <w:p>
      <w:pPr>
        <w:pStyle w:val="Default"/>
        <w:jc w:val="center"/>
        <w:rPr>
          <w:b/>
          <w:bCs/>
        </w:rPr>
      </w:pPr>
      <w:r>
        <w:rPr>
          <w:b/>
          <w:bCs/>
        </w:rPr>
      </w:r>
    </w:p>
    <w:p>
      <w:pPr>
        <w:pStyle w:val="Default"/>
        <w:jc w:val="both"/>
        <w:rPr>
          <w:bCs/>
        </w:rPr>
      </w:pPr>
      <w:r>
        <w:rPr>
          <w:bCs/>
        </w:rPr>
        <w:t>4.1. Duomenų tvarkytojas įsipareigoja:</w:t>
      </w:r>
    </w:p>
    <w:p>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cs="Times New Roman"/>
        </w:rPr>
      </w:pPr>
      <w:r>
        <w:rPr>
          <w:rFonts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cs="Times New Roman"/>
        </w:rPr>
      </w:pPr>
      <w:r>
        <w:rPr>
          <w:rFonts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cs="Times New Roman"/>
        </w:rPr>
      </w:pPr>
      <w:r>
        <w:rPr>
          <w:rFonts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709"/>
          <w:tab w:val="left" w:pos="560" w:leader="none"/>
        </w:tabs>
        <w:spacing w:lineRule="auto" w:line="240"/>
        <w:rPr>
          <w:rFonts w:ascii="Times New Roman" w:hAnsi="Times New Roman" w:eastAsia="Calibri" w:cs="Times New Roman"/>
        </w:rPr>
      </w:pPr>
      <w:r>
        <w:rPr>
          <w:rFonts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lang w:eastAsia="lt-LT"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lang w:val="lt-LT"/>
        </w:rPr>
      </w:pPr>
      <w:r>
        <w:rPr>
          <w:lang w:val="lt-LT"/>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lang w:val="lt-LT"/>
        </w:rPr>
      </w:pPr>
      <w:r>
        <w:rPr>
          <w:lang w:val="lt-LT"/>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cs="Times New Roman"/>
        </w:rPr>
      </w:pPr>
      <w:r>
        <w:rPr>
          <w:rFonts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szCs w:val="24"/>
          <w:lang w:val="lt-LT" w:eastAsia="en-US"/>
        </w:rPr>
      </w:pPr>
      <w:r>
        <w:rPr>
          <w:rFonts w:cs="Times New Roman" w:ascii="Times New Roman" w:hAnsi="Times New Roman"/>
          <w:szCs w:val="24"/>
          <w:lang w:val="lt-LT"/>
        </w:rPr>
        <w:t xml:space="preserve">4.1.10. Imtis visų įmanomų priemonių siekiant užkirsti kelią galimoms neteisėto ar netyčinio asmens duomenų sunaikinimo, praradimo, </w:t>
      </w:r>
      <w:r>
        <w:rPr>
          <w:rFonts w:cs="Times New Roman" w:ascii="Times New Roman" w:hAnsi="Times New Roman"/>
          <w:szCs w:val="24"/>
          <w:lang w:val="lt-LT" w:eastAsia="en-US"/>
        </w:rPr>
        <w:t>pakeitimo ar duomenų atskleidimo grėsmėms, o joms įvykus, imtis visų priemonių ištaisyti kilusias pasekmes ir pašalinti jų padarinius.</w:t>
      </w:r>
    </w:p>
    <w:p>
      <w:pPr>
        <w:pStyle w:val="Normal"/>
        <w:jc w:val="both"/>
        <w:rPr>
          <w:rFonts w:ascii="Times New Roman" w:hAnsi="Times New Roman" w:cs="Times New Roman"/>
        </w:rPr>
      </w:pPr>
      <w:r>
        <w:rPr>
          <w:rFonts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cs="Times New Roman"/>
        </w:rPr>
      </w:pPr>
      <w:r>
        <w:rPr>
          <w:rFonts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cs="Times New Roman"/>
        </w:rPr>
      </w:pPr>
      <w:r>
        <w:rPr>
          <w:rFonts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cs="Times New Roman"/>
        </w:rPr>
      </w:pPr>
      <w:r>
        <w:rPr>
          <w:rFonts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cs="Times New Roman"/>
        </w:rPr>
      </w:pPr>
      <w:r>
        <w:rPr>
          <w:rFonts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cs="Times New Roman"/>
        </w:rPr>
      </w:pPr>
      <w:r>
        <w:rPr>
          <w:rFonts w:cs="Times New Roman" w:ascii="Times New Roman" w:hAnsi="Times New Roman"/>
        </w:rPr>
      </w:r>
    </w:p>
    <w:p>
      <w:pPr>
        <w:pStyle w:val="Normal"/>
        <w:tabs>
          <w:tab w:val="clear" w:pos="709"/>
          <w:tab w:val="left" w:pos="3828" w:leader="none"/>
        </w:tabs>
        <w:jc w:val="both"/>
        <w:rPr>
          <w:rFonts w:ascii="Times New Roman" w:hAnsi="Times New Roman" w:cs="Times New Roman"/>
        </w:rPr>
      </w:pPr>
      <w:r>
        <w:rPr>
          <w:rFonts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5. PRANEŠIMAS APIE DUOMENŲ SAUGUMO PAŽEIDIMĄ</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cs="Times New Roman"/>
        </w:rPr>
      </w:pPr>
      <w:r>
        <w:rPr>
          <w:rFonts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cs="Times New Roman"/>
        </w:rPr>
      </w:pPr>
      <w:r>
        <w:rPr>
          <w:rFonts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cs="Times New Roman"/>
        </w:rPr>
      </w:pPr>
      <w:r>
        <w:rPr>
          <w:rFonts w:cs="Times New Roman" w:ascii="Times New Roman" w:hAnsi="Times New Roman"/>
        </w:rPr>
        <w:t xml:space="preserve">5.1.3. Tikėtinos asmens duomenų saugumo pažeidimo pasekmės. </w:t>
      </w:r>
    </w:p>
    <w:p>
      <w:pPr>
        <w:pStyle w:val="Normal"/>
        <w:jc w:val="both"/>
        <w:rPr>
          <w:rFonts w:ascii="Times New Roman" w:hAnsi="Times New Roman" w:cs="Times New Roman"/>
        </w:rPr>
      </w:pPr>
      <w:r>
        <w:rPr>
          <w:rFonts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tabs>
          <w:tab w:val="clear" w:pos="709"/>
          <w:tab w:val="left" w:pos="676" w:leader="none"/>
        </w:tabs>
        <w:jc w:val="both"/>
        <w:rPr>
          <w:rFonts w:ascii="Times New Roman" w:hAnsi="Times New Roman" w:cs="Times New Roman"/>
          <w:b/>
        </w:rPr>
      </w:pPr>
      <w:r>
        <w:rPr>
          <w:rFonts w:cs="Times New Roman" w:ascii="Times New Roman" w:hAnsi="Times New Roman"/>
          <w:b/>
        </w:rPr>
        <w:tab/>
      </w:r>
    </w:p>
    <w:p>
      <w:pPr>
        <w:pStyle w:val="Normal"/>
        <w:jc w:val="center"/>
        <w:rPr>
          <w:rFonts w:ascii="Times New Roman" w:hAnsi="Times New Roman" w:cs="Times New Roman"/>
          <w:b/>
        </w:rPr>
      </w:pPr>
      <w:r>
        <w:rPr>
          <w:rFonts w:cs="Times New Roman" w:ascii="Times New Roman" w:hAnsi="Times New Roman"/>
          <w:b/>
        </w:rPr>
        <w:t>6. TEISĖ ATLIKTI PATIKRINIMĄ</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jc w:val="center"/>
        <w:rPr>
          <w:rFonts w:ascii="Times New Roman" w:hAnsi="Times New Roman" w:cs="Times New Roman"/>
          <w:b/>
        </w:rPr>
      </w:pPr>
      <w:r>
        <w:rPr>
          <w:rFonts w:cs="Times New Roman" w:ascii="Times New Roman" w:hAnsi="Times New Roman"/>
          <w:b/>
        </w:rPr>
        <w:t>7. ATSAKOMYBĖ IR KOMPENSACIJOS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color w:val="212121"/>
        </w:rPr>
      </w:pPr>
      <w:r>
        <w:rPr>
          <w:rFonts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color w:val="212121"/>
        </w:rPr>
        <w:t>8. BAIGIAMOSIOS NUOSTATOS</w:t>
      </w:r>
    </w:p>
    <w:p>
      <w:pPr>
        <w:pStyle w:val="Normal"/>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before="0" w:after="0"/>
        <w:ind w:left="0"/>
        <w:contextualSpacing/>
        <w:jc w:val="both"/>
        <w:rPr>
          <w:rFonts w:ascii="Times New Roman" w:hAnsi="Times New Roman" w:cs="Times New Roman"/>
        </w:rPr>
      </w:pPr>
      <w:r>
        <w:rPr>
          <w:rFonts w:cs="Times New Roman" w:ascii="Times New Roman" w:hAnsi="Times New Roman"/>
        </w:rPr>
        <w:t xml:space="preserve">8.1.1. Siuntos pristatymo momentu, jeigu pristatymas teikiamas kurjerių (siuntų) tarnybos. </w:t>
      </w:r>
    </w:p>
    <w:p>
      <w:pPr>
        <w:pStyle w:val="ListParagraph"/>
        <w:spacing w:before="0" w:after="0"/>
        <w:ind w:left="0"/>
        <w:contextualSpacing/>
        <w:jc w:val="both"/>
        <w:rPr>
          <w:rFonts w:ascii="Times New Roman" w:hAnsi="Times New Roman" w:cs="Times New Roman"/>
        </w:rPr>
      </w:pPr>
      <w:r>
        <w:rPr>
          <w:rFonts w:cs="Times New Roman" w:ascii="Times New Roman" w:hAnsi="Times New Roman"/>
        </w:rPr>
        <w:t>8.1.2. 3 (trečią) darbo dieną nuo tos dienos, kai pranešimas buvo pateiktas paštui, kai siunčiama registruotu paštu.</w:t>
      </w:r>
    </w:p>
    <w:p>
      <w:pPr>
        <w:pStyle w:val="ListParagraph"/>
        <w:spacing w:before="0" w:after="0"/>
        <w:ind w:left="0"/>
        <w:contextualSpacing/>
        <w:jc w:val="both"/>
        <w:rPr>
          <w:rFonts w:ascii="Times New Roman" w:hAnsi="Times New Roman" w:cs="Times New Roman"/>
        </w:rPr>
      </w:pPr>
      <w:r>
        <w:rPr>
          <w:rFonts w:cs="Times New Roman" w:ascii="Times New Roman" w:hAnsi="Times New Roman"/>
        </w:rPr>
        <w:t xml:space="preserve">8.1.3. Šaliai patvirtinus gavimą, kai informacija siunčiama el. paštu.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rPr>
      </w:pPr>
      <w:r>
        <w:rPr>
          <w:rFonts w:cs="Times New Roman" w:ascii="Times New Roman" w:hAnsi="Times New Roman"/>
          <w:b/>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8.4. Sutartis sudaryta dviem egzemplioriais, turinčiais vienodą juridinę galią, po vieną egzempliorių kiekvienai iš Šalių.</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rPr>
      </w:pPr>
      <w:r>
        <w:rPr>
          <w:rFonts w:cs="Times New Roman" w:ascii="Times New Roman" w:hAnsi="Times New Roman"/>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rPr>
      </w:pPr>
      <w:r>
        <w:rPr>
          <w:rFonts w:cs="Times New Roman" w:ascii="Times New Roman" w:hAnsi="Times New Roman"/>
          <w:b/>
        </w:rPr>
        <w:t>9. ŠALIŲ REKVIZITAI IR PARAŠAI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rPr>
      </w:pPr>
      <w:r>
        <w:rPr>
          <w:rFonts w:cs="Times New Roman" w:ascii="Times New Roman" w:hAnsi="Times New Roman"/>
          <w:b/>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7"/>
        <w:gridCol w:w="4926"/>
      </w:tblGrid>
      <w:tr>
        <w:trPr/>
        <w:tc>
          <w:tcPr>
            <w:tcW w:w="5387" w:type="dxa"/>
            <w:tcBorders/>
          </w:tcPr>
          <w:p>
            <w:pPr>
              <w:pStyle w:val="NoSpacing1"/>
              <w:rPr>
                <w:b/>
                <w:bCs/>
              </w:rPr>
            </w:pPr>
            <w:r>
              <w:rPr>
                <w:b/>
                <w:bCs/>
              </w:rPr>
              <w:t>Duomenų valdytojas:</w:t>
            </w:r>
          </w:p>
        </w:tc>
        <w:tc>
          <w:tcPr>
            <w:tcW w:w="4926" w:type="dxa"/>
            <w:tcBorders/>
          </w:tcPr>
          <w:p>
            <w:pPr>
              <w:pStyle w:val="NoSpacing1"/>
              <w:rPr>
                <w:b/>
                <w:bCs/>
              </w:rPr>
            </w:pPr>
            <w:r>
              <w:rPr>
                <w:b/>
                <w:bCs/>
              </w:rPr>
              <w:t>Duomenų tvarkytojas:</w:t>
            </w:r>
          </w:p>
        </w:tc>
      </w:tr>
      <w:tr>
        <w:trPr/>
        <w:tc>
          <w:tcPr>
            <w:tcW w:w="5387" w:type="dxa"/>
            <w:tcBorders/>
          </w:tcPr>
          <w:p>
            <w:pPr>
              <w:pStyle w:val="NoSpacing1"/>
              <w:rPr/>
            </w:pPr>
            <w:r>
              <w:rPr/>
              <w:t>Pirkėjas rekvizitai</w:t>
            </w:r>
          </w:p>
        </w:tc>
        <w:tc>
          <w:tcPr>
            <w:tcW w:w="4926" w:type="dxa"/>
            <w:tcBorders/>
          </w:tcPr>
          <w:p>
            <w:pPr>
              <w:pStyle w:val="NoSpacing1"/>
              <w:rPr/>
            </w:pPr>
            <w:r>
              <w:rPr/>
              <w:t>Paslaugų teikėjo rekvizitai</w:t>
            </w:r>
          </w:p>
        </w:tc>
      </w:tr>
      <w:tr>
        <w:trPr>
          <w:trHeight w:val="1832" w:hRule="atLeast"/>
        </w:trPr>
        <w:tc>
          <w:tcPr>
            <w:tcW w:w="5387"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(pareigos, vardas, pavardė)</w:t>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(parašas)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A.V.</w:t>
            </w:r>
          </w:p>
          <w:p>
            <w:pPr>
              <w:pStyle w:val="NoSpacing1"/>
              <w:rPr/>
            </w:pPr>
            <w:r>
              <w:rPr/>
            </w:r>
          </w:p>
        </w:tc>
        <w:tc>
          <w:tcPr>
            <w:tcW w:w="4926"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(pareigos, vardas, pavardė)</w:t>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(parašas)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A.V.</w:t>
            </w:r>
          </w:p>
          <w:p>
            <w:pPr>
              <w:pStyle w:val="NoSpacing1"/>
              <w:rPr>
                <w:lang w:val="pt-BR"/>
              </w:rPr>
            </w:pPr>
            <w:r>
              <w:rPr>
                <w:lang w:val="pt-BR"/>
              </w:rPr>
            </w:r>
          </w:p>
        </w:tc>
      </w:tr>
    </w:tbl>
    <w:p>
      <w:pPr>
        <w:pStyle w:val="Normal"/>
        <w:tabs>
          <w:tab w:val="clear" w:pos="709"/>
          <w:tab w:val="left" w:pos="1418" w:leader="none"/>
        </w:tabs>
        <w:jc w:val="both"/>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t>Asmens duomenų tvarkymo sutarties</w:t>
      </w:r>
    </w:p>
    <w:p>
      <w:pPr>
        <w:pStyle w:val="Normal"/>
        <w:ind w:firstLine="720" w:left="5040"/>
        <w:rPr>
          <w:rFonts w:ascii="Times New Roman" w:hAnsi="Times New Roman" w:cs="Times New Roman"/>
          <w:lang w:val="pt-BR"/>
        </w:rPr>
      </w:pPr>
      <w:r>
        <w:rPr>
          <w:rFonts w:cs="Times New Roman" w:ascii="Times New Roman" w:hAnsi="Times New Roman"/>
          <w:lang w:val="pt-BR"/>
        </w:rPr>
        <w:t>1 priedas</w:t>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b/>
          <w:bCs/>
          <w:lang w:val="pt-BR"/>
        </w:rPr>
      </w:pPr>
      <w:r>
        <w:rPr>
          <w:rFonts w:cs="Times New Roman" w:ascii="Times New Roman" w:hAnsi="Times New Roman"/>
          <w:b/>
          <w:bCs/>
          <w:lang w:val="pt-BR"/>
        </w:rPr>
        <w:t xml:space="preserve">INFORMACIJA APIE PASITELKIAMUS PAGALBINIUS DUOMENŲ TVARKYTOJUS (SUBTVARKYTOJUS)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ind w:hanging="284" w:left="284"/>
        <w:rPr>
          <w:rFonts w:ascii="Times New Roman" w:hAnsi="Times New Roman" w:cs="Times New Roman"/>
          <w:b/>
          <w:bCs/>
          <w:lang w:val="pt-BR"/>
        </w:rPr>
      </w:pPr>
      <w:r>
        <w:rPr>
          <w:rFonts w:cs="Times New Roman" w:ascii="Times New Roman" w:hAnsi="Times New Roman"/>
          <w:b/>
          <w:bCs/>
          <w:lang w:val="pt-BR"/>
        </w:rPr>
        <w:t>1.</w:t>
        <w:tab/>
        <w:t>Įgalioti pagalbiniai duomenų tvarkytojai (subtvarkytojai):</w:t>
      </w:r>
    </w:p>
    <w:p>
      <w:pPr>
        <w:pStyle w:val="Normal"/>
        <w:rPr>
          <w:rFonts w:ascii="Times New Roman" w:hAnsi="Times New Roman" w:cs="Times New Roman"/>
          <w:b/>
          <w:bCs/>
          <w:lang w:val="pt-BR"/>
        </w:rPr>
      </w:pPr>
      <w:r>
        <w:rPr>
          <w:rFonts w:cs="Times New Roman" w:ascii="Times New Roman" w:hAnsi="Times New Roman"/>
          <w:b/>
          <w:bCs/>
          <w:lang w:val="pt-BR"/>
        </w:rPr>
      </w:r>
    </w:p>
    <w:p>
      <w:pPr>
        <w:pStyle w:val="Normal"/>
        <w:rPr>
          <w:rFonts w:ascii="Times New Roman" w:hAnsi="Times New Roman" w:cs="Times New Roman"/>
          <w:lang w:val="pt-BR"/>
        </w:rPr>
      </w:pPr>
      <w:r>
        <w:rPr>
          <w:rFonts w:cs="Times New Roman" w:ascii="Times New Roman" w:hAnsi="Times New Roman"/>
          <w:lang w:val="pt-BR"/>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cs="Times New Roman"/>
          <w:lang w:val="pt-BR"/>
        </w:rPr>
      </w:pPr>
      <w:r>
        <w:rPr>
          <w:rFonts w:cs="Times New Roman" w:ascii="Times New Roman" w:hAnsi="Times New Roman"/>
          <w:lang w:val="pt-BR"/>
        </w:rPr>
      </w:r>
    </w:p>
    <w:tbl>
      <w:tblPr>
        <w:tblW w:w="101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21"/>
        <w:gridCol w:w="1470"/>
        <w:gridCol w:w="2088"/>
        <w:gridCol w:w="4108"/>
      </w:tblGrid>
      <w:tr>
        <w:trPr/>
        <w:tc>
          <w:tcPr>
            <w:tcW w:w="252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Pavadinimas arba vardas, pavardė</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Įmonės kodas / individualios veiklos pažymėjimo numeris arba verslo liudijimo numeris</w:t>
            </w:r>
          </w:p>
        </w:tc>
        <w:tc>
          <w:tcPr>
            <w:tcW w:w="20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pt-BR"/>
              </w:rPr>
            </w:pPr>
            <w:r>
              <w:rPr>
                <w:rFonts w:cs="Times New Roman" w:ascii="Times New Roman" w:hAnsi="Times New Roman"/>
                <w:lang w:val="pt-BR"/>
              </w:rPr>
              <w:t>Buveinės adresas / gyvenamosios vietos adresas</w:t>
            </w:r>
          </w:p>
        </w:tc>
        <w:tc>
          <w:tcPr>
            <w:tcW w:w="41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Asmens duomenų tvarkymo aprašymas</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1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1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208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c>
          <w:tcPr>
            <w:tcW w:w="41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rPr>
      </w:pPr>
      <w:r>
        <w:rPr>
          <w:rFonts w:cs="Times New Roman" w:ascii="Times New Roman" w:hAnsi="Times New Roman"/>
          <w:b/>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rFonts w:ascii="Times New Roman" w:hAnsi="Times New Roman" w:cs="Times New Roman"/>
          <w:b/>
        </w:rPr>
      </w:pPr>
      <w:r>
        <w:rPr>
          <w:rFonts w:cs="Times New Roman" w:ascii="Times New Roman" w:hAnsi="Times New Roman"/>
          <w:b/>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7"/>
        <w:gridCol w:w="4926"/>
      </w:tblGrid>
      <w:tr>
        <w:trPr/>
        <w:tc>
          <w:tcPr>
            <w:tcW w:w="5387" w:type="dxa"/>
            <w:tcBorders/>
          </w:tcPr>
          <w:p>
            <w:pPr>
              <w:pStyle w:val="NoSpacing1"/>
              <w:rPr>
                <w:b/>
                <w:bCs/>
              </w:rPr>
            </w:pPr>
            <w:r>
              <w:rPr>
                <w:b/>
                <w:bCs/>
              </w:rPr>
              <w:t>Duomenų valdytojas:</w:t>
            </w:r>
          </w:p>
        </w:tc>
        <w:tc>
          <w:tcPr>
            <w:tcW w:w="4926" w:type="dxa"/>
            <w:tcBorders/>
          </w:tcPr>
          <w:p>
            <w:pPr>
              <w:pStyle w:val="NoSpacing1"/>
              <w:rPr>
                <w:b/>
                <w:bCs/>
              </w:rPr>
            </w:pPr>
            <w:r>
              <w:rPr>
                <w:b/>
                <w:bCs/>
              </w:rPr>
              <w:t>Duomenų tvarkytojas:</w:t>
            </w:r>
          </w:p>
        </w:tc>
      </w:tr>
      <w:tr>
        <w:trPr/>
        <w:tc>
          <w:tcPr>
            <w:tcW w:w="5387" w:type="dxa"/>
            <w:tcBorders/>
          </w:tcPr>
          <w:p>
            <w:pPr>
              <w:pStyle w:val="NoSpacing1"/>
              <w:rPr/>
            </w:pPr>
            <w:r>
              <w:rPr/>
              <w:t>Piekėjas rekvizitai</w:t>
            </w:r>
          </w:p>
        </w:tc>
        <w:tc>
          <w:tcPr>
            <w:tcW w:w="4926" w:type="dxa"/>
            <w:tcBorders/>
          </w:tcPr>
          <w:p>
            <w:pPr>
              <w:pStyle w:val="NoSpacing1"/>
              <w:rPr/>
            </w:pPr>
            <w:r>
              <w:rPr/>
              <w:t>Paslaugų teikėjo rekvizitai</w:t>
            </w:r>
          </w:p>
        </w:tc>
      </w:tr>
      <w:tr>
        <w:trPr>
          <w:trHeight w:val="1832" w:hRule="atLeast"/>
        </w:trPr>
        <w:tc>
          <w:tcPr>
            <w:tcW w:w="5387"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(pareigos, vardas, pavardė)</w:t>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(parašas)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A.V.</w:t>
            </w:r>
          </w:p>
          <w:p>
            <w:pPr>
              <w:pStyle w:val="NoSpacing1"/>
              <w:rPr/>
            </w:pPr>
            <w:r>
              <w:rPr/>
            </w:r>
          </w:p>
        </w:tc>
        <w:tc>
          <w:tcPr>
            <w:tcW w:w="4926" w:type="dxa"/>
            <w:tcBorders/>
          </w:tcPr>
          <w:p>
            <w:pPr>
              <w:pStyle w:val="NoSpacing1"/>
              <w:rPr/>
            </w:pPr>
            <w:r>
              <w:rPr/>
            </w:r>
          </w:p>
          <w:p>
            <w:pPr>
              <w:pStyle w:val="NoSpacing1"/>
              <w:rPr/>
            </w:pPr>
            <w:r>
              <w:rPr/>
            </w:r>
          </w:p>
          <w:p>
            <w:pPr>
              <w:pStyle w:val="NoSpacing1"/>
              <w:rPr/>
            </w:pPr>
            <w:r>
              <w:rPr/>
            </w:r>
          </w:p>
          <w:p>
            <w:pPr>
              <w:pStyle w:val="NoSpacing1"/>
              <w:rPr/>
            </w:pPr>
            <w:r>
              <w:rPr/>
            </w:r>
          </w:p>
          <w:p>
            <w:pPr>
              <w:pStyle w:val="NoSpacing1"/>
              <w:rPr/>
            </w:pPr>
            <w:r>
              <w:rPr/>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(pareigos, vardas, pavardė)</w:t>
            </w:r>
          </w:p>
          <w:p>
            <w:pPr>
              <w:pStyle w:val="Normal"/>
              <w:rPr>
                <w:rFonts w:ascii="Times New Roman" w:hAnsi="Times New Roman" w:cs="Times New Roman"/>
                <w:lang w:val="pt-BR"/>
              </w:rPr>
            </w:pPr>
            <w:r>
              <w:rPr>
                <w:rFonts w:cs="Times New Roman" w:ascii="Times New Roman" w:hAnsi="Times New Roman"/>
                <w:lang w:val="pt-BR"/>
              </w:rPr>
              <w:t>_________________________________</w:t>
            </w:r>
          </w:p>
          <w:p>
            <w:pPr>
              <w:pStyle w:val="Normal"/>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(parašas)</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t>A.V.</w:t>
            </w:r>
          </w:p>
          <w:p>
            <w:pPr>
              <w:pStyle w:val="NoSpacing1"/>
              <w:rPr>
                <w:lang w:val="pt-BR"/>
              </w:rPr>
            </w:pPr>
            <w:r>
              <w:rPr>
                <w:lang w:val="pt-BR"/>
              </w:rPr>
            </w:r>
          </w:p>
        </w:tc>
      </w:tr>
    </w:tbl>
    <w:p>
      <w:pPr>
        <w:pStyle w:val="Normal"/>
        <w:ind w:hanging="284" w:left="284"/>
        <w:jc w:val="both"/>
        <w:rPr>
          <w:rFonts w:ascii="Times New Roman" w:hAnsi="Times New Roman" w:cs="Times New Roman"/>
          <w:bCs/>
          <w:lang w:val="pt-BR"/>
        </w:rPr>
      </w:pPr>
      <w:r>
        <w:rPr>
          <w:rFonts w:cs="Times New Roman" w:ascii="Times New Roman" w:hAnsi="Times New Roman"/>
          <w:bCs/>
          <w:lang w:val="pt-BR"/>
        </w:rPr>
      </w:r>
    </w:p>
    <w:p>
      <w:pPr>
        <w:pStyle w:val="Normal"/>
        <w:widowControl w:val="false"/>
        <w:jc w:val="center"/>
        <w:rPr>
          <w:rFonts w:ascii="Times New Roman" w:hAnsi="Times New Roman" w:cs="Times New Roman"/>
          <w:lang w:val="pt-BR"/>
        </w:rPr>
      </w:pPr>
      <w:r>
        <w:rPr>
          <w:rFonts w:cs="Times New Roman" w:ascii="Times New Roman" w:hAnsi="Times New Roman"/>
          <w:lang w:val="pt-BR"/>
        </w:rPr>
        <w:t>___________________</w:t>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t>Asmens duomenų tvarkymo sutarties</w:t>
      </w:r>
    </w:p>
    <w:p>
      <w:pPr>
        <w:pStyle w:val="Normal"/>
        <w:ind w:firstLine="720" w:left="5040"/>
        <w:rPr>
          <w:rFonts w:ascii="Times New Roman" w:hAnsi="Times New Roman" w:cs="Times New Roman"/>
          <w:lang w:val="pt-BR"/>
        </w:rPr>
      </w:pPr>
      <w:r>
        <w:rPr>
          <w:rFonts w:cs="Times New Roman" w:ascii="Times New Roman" w:hAnsi="Times New Roman"/>
          <w:lang w:val="pt-BR"/>
        </w:rPr>
        <w:t>2 priedas</w:t>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720" w:left="5040"/>
        <w:rPr>
          <w:rFonts w:ascii="Times New Roman" w:hAnsi="Times New Roman" w:cs="Times New Roman"/>
          <w:lang w:val="pt-BR"/>
        </w:rPr>
      </w:pPr>
      <w:r>
        <w:rPr>
          <w:rFonts w:cs="Times New Roman" w:ascii="Times New Roman" w:hAnsi="Times New Roman"/>
          <w:lang w:val="pt-BR"/>
        </w:rPr>
      </w:r>
    </w:p>
    <w:p>
      <w:pPr>
        <w:pStyle w:val="Normal"/>
        <w:ind w:firstLine="426"/>
        <w:jc w:val="center"/>
        <w:rPr>
          <w:rFonts w:ascii="Times New Roman" w:hAnsi="Times New Roman" w:cs="Times New Roman"/>
          <w:b/>
          <w:bCs/>
          <w:lang w:val="pt-BR"/>
        </w:rPr>
      </w:pPr>
      <w:r>
        <w:rPr>
          <w:rFonts w:cs="Times New Roman" w:ascii="Times New Roman" w:hAnsi="Times New Roman"/>
          <w:b/>
          <w:bCs/>
          <w:lang w:val="pt-BR"/>
        </w:rPr>
        <w:t>DUOMENŲ TVARKYTOJO ĮGYVENDINAMOS ORGANIZACINĖS IR TECHNINĖS DUOMENŲ SAUGUMO PRIEMONĖS</w:t>
      </w:r>
    </w:p>
    <w:p>
      <w:pPr>
        <w:pStyle w:val="Normal"/>
        <w:ind w:firstLine="426"/>
        <w:jc w:val="center"/>
        <w:rPr>
          <w:rFonts w:ascii="Times New Roman" w:hAnsi="Times New Roman" w:cs="Times New Roman"/>
          <w:b/>
          <w:bCs/>
          <w:lang w:val="pt-BR"/>
        </w:rPr>
      </w:pPr>
      <w:r>
        <w:rPr>
          <w:rFonts w:cs="Times New Roman" w:ascii="Times New Roman" w:hAnsi="Times New Roman"/>
          <w:b/>
          <w:bCs/>
          <w:lang w:val="pt-BR"/>
        </w:rPr>
      </w:r>
    </w:p>
    <w:p>
      <w:pPr>
        <w:pStyle w:val="Normal"/>
        <w:ind w:firstLine="426"/>
        <w:rPr>
          <w:rFonts w:ascii="Times New Roman" w:hAnsi="Times New Roman" w:cs="Times New Roman"/>
          <w:lang w:val="pt-BR"/>
        </w:rPr>
      </w:pPr>
      <w:r>
        <w:rPr>
          <w:rFonts w:cs="Times New Roman" w:ascii="Times New Roman" w:hAnsi="Times New Roman"/>
          <w:lang w:val="pt-BR"/>
        </w:rPr>
      </w:r>
    </w:p>
    <w:p>
      <w:pPr>
        <w:pStyle w:val="Normal"/>
        <w:ind w:firstLine="426"/>
        <w:rPr>
          <w:rFonts w:ascii="Times New Roman" w:hAnsi="Times New Roman" w:cs="Times New Roman"/>
          <w:lang w:val="pt-BR"/>
        </w:rPr>
      </w:pPr>
      <w:r>
        <w:rPr>
          <w:rFonts w:cs="Times New Roman" w:ascii="Times New Roman" w:hAnsi="Times New Roman"/>
          <w:lang w:val="pt-BR"/>
        </w:rPr>
        <w:t>Duomenų tvarkytojas, tvarkydamas asmens duomenis, privalo įgyvendinti šias duomenų saugumo priemones:</w:t>
      </w:r>
    </w:p>
    <w:p>
      <w:pPr>
        <w:pStyle w:val="ListParagraph"/>
        <w:numPr>
          <w:ilvl w:val="0"/>
          <w:numId w:val="5"/>
        </w:numPr>
        <w:tabs>
          <w:tab w:val="left" w:pos="709" w:leader="none"/>
        </w:tabs>
        <w:suppressAutoHyphens w:val="false"/>
        <w:spacing w:before="0" w:after="0"/>
        <w:ind w:firstLine="426" w:left="0"/>
        <w:contextualSpacing/>
        <w:jc w:val="both"/>
        <w:rPr>
          <w:rFonts w:ascii="Times New Roman" w:hAnsi="Times New Roman" w:cs="Times New Roman"/>
          <w:lang w:val="pt-BR"/>
        </w:rPr>
      </w:pPr>
      <w:r>
        <w:rPr>
          <w:rFonts w:cs="Times New Roman" w:ascii="Times New Roman" w:hAnsi="Times New Roman"/>
          <w:lang w:val="pt-BR"/>
        </w:rPr>
        <w:t>asmens duomenų ir jų tvarkymo saugumas organizacijoje turi būti dokumentuotas kaip informacijos saugumo politikos dalis;</w:t>
      </w:r>
    </w:p>
    <w:p>
      <w:pPr>
        <w:pStyle w:val="ListParagraph"/>
        <w:numPr>
          <w:ilvl w:val="0"/>
          <w:numId w:val="5"/>
        </w:numPr>
        <w:tabs>
          <w:tab w:val="left" w:pos="709"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lang w:val="pt-BR"/>
        </w:rPr>
        <w:t>asmens duomenis tvarkyti gali tik tam įgaliotas darbuotojas ir</w:t>
      </w:r>
      <w:r>
        <w:rPr>
          <w:rFonts w:eastAsia="Calibri" w:cs="Times New Roman" w:ascii="Times New Roman" w:hAnsi="Times New Roman"/>
          <w:lang w:val="pt-BR"/>
        </w:rPr>
        <w:t xml:space="preserve"> prieiga prie asmens duomenų suteikiama tik tam darbuotojui</w:t>
      </w:r>
      <w:r>
        <w:rPr>
          <w:rFonts w:cs="Times New Roman" w:ascii="Times New Roman" w:hAnsi="Times New Roman"/>
          <w:lang w:val="pt-BR"/>
        </w:rPr>
        <w:t>;</w:t>
      </w:r>
      <w:r>
        <w:rPr>
          <w:rFonts w:eastAsia="Calibri" w:cs="Times New Roman" w:ascii="Times New Roman" w:hAnsi="Times New Roman"/>
          <w:lang w:val="pt-BR"/>
        </w:rPr>
        <w:t xml:space="preserve"> prieiga panaikinama jeigu pasibaigia darbo santykiai arba nebevykdomos funkcijos, susijusios su tokiu asmens duomenų tvarkymu. </w:t>
      </w:r>
      <w:r>
        <w:rPr>
          <w:rFonts w:eastAsia="Calibri" w:cs="Times New Roman" w:ascii="Times New Roman" w:hAnsi="Times New Roman"/>
        </w:rPr>
        <w:t>Prieiga panaikinama paskutinę darbo arba funkcijų vykdymo dieną;</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užtikrinama, kad darbuotojai, kuriems pavedama tvarkyti asmens duomenis būtų susipažinę su asmens duomenų tvarkymą ir jų apsaugą reglamentuojančiais teisės aktais;</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užtikrinama, kad visi su asmens duomenų tvarkymu susiję darbuotojai būtų įsipareigoję saugoti asmens duomenų paslaptį;</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prieiga prie asmens duomenų apsaugota pakankamo kompleksiškumo prisijungimo vardu ir slaptažodžiu;</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nenaudojamos bendros naudotojų paskyros;</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rPr>
        <w:t>nustatomas leistinų nepavykusių prisijungimų prie programinės įrangos skaičius;</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 xml:space="preserve">užtikrinama, kad asmens duomenų tvarkymui skirti informacinių technologijų ištekliai būtų registruoti ir apskaitomi tam skirtame registre; </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lang w:val="pt-BR"/>
        </w:rPr>
      </w:pPr>
      <w:r>
        <w:rPr>
          <w:rFonts w:eastAsia="Calibri" w:cs="Times New Roman" w:ascii="Times New Roman" w:hAnsi="Times New Roman"/>
          <w:lang w:val="pt-BR"/>
        </w:rPr>
        <w:t>asmens duomenų tvarkymui naudojama tik legali programinė įranga;</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cs="Times New Roman"/>
          <w:lang w:val="pt-BR"/>
        </w:rPr>
      </w:pPr>
      <w:r>
        <w:rPr>
          <w:rFonts w:eastAsia="Calibri" w:cs="Times New Roman" w:ascii="Times New Roman" w:hAnsi="Times New Roman"/>
          <w:lang w:val="pt-BR"/>
        </w:rPr>
        <w:t xml:space="preserve">darbo vietų kompiuteriuose įdiegta ekrano užsklanda, kuri įsijungia po 15 min. neatlikus kompiuteriu jokių veiksmų;  </w:t>
      </w:r>
    </w:p>
    <w:p>
      <w:pPr>
        <w:pStyle w:val="ListParagraph"/>
        <w:numPr>
          <w:ilvl w:val="0"/>
          <w:numId w:val="5"/>
        </w:numPr>
        <w:tabs>
          <w:tab w:val="left" w:pos="709" w:leader="none"/>
          <w:tab w:val="left" w:pos="851" w:leader="none"/>
        </w:tabs>
        <w:suppressAutoHyphens w:val="false"/>
        <w:spacing w:before="0" w:after="0"/>
        <w:ind w:firstLine="426" w:left="0"/>
        <w:contextualSpacing/>
        <w:jc w:val="both"/>
        <w:rPr>
          <w:rFonts w:ascii="Times New Roman" w:hAnsi="Times New Roman" w:eastAsia="Calibri" w:cs="Times New Roman"/>
          <w:lang w:val="pt-BR"/>
        </w:rPr>
      </w:pPr>
      <w:r>
        <w:rPr>
          <w:rFonts w:cs="Times New Roman" w:ascii="Times New Roman" w:hAnsi="Times New Roman"/>
          <w:lang w:val="pt-BR"/>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lang w:val="pt-BR"/>
        </w:rPr>
        <w:t xml:space="preserve">programinė įranga yra apsaugota nuo pagrindinių per tinklą vykdomų atakų: SQL įskverbties (angl. </w:t>
      </w:r>
      <w:r>
        <w:rPr>
          <w:rFonts w:cs="Times New Roman" w:ascii="Times New Roman" w:hAnsi="Times New Roman"/>
          <w:i/>
          <w:iCs/>
        </w:rPr>
        <w:t>SQL injection</w:t>
      </w:r>
      <w:r>
        <w:rPr>
          <w:rFonts w:cs="Times New Roman" w:ascii="Times New Roman" w:hAnsi="Times New Roman"/>
        </w:rPr>
        <w:t xml:space="preserve">), XSS (angl. </w:t>
      </w:r>
      <w:r>
        <w:rPr>
          <w:rFonts w:cs="Times New Roman" w:ascii="Times New Roman" w:hAnsi="Times New Roman"/>
          <w:i/>
          <w:iCs/>
        </w:rPr>
        <w:t>Cross-sitescripting</w:t>
      </w:r>
      <w:r>
        <w:rPr>
          <w:rFonts w:cs="Times New Roman" w:ascii="Times New Roman" w:hAnsi="Times New Roman"/>
        </w:rPr>
        <w:t xml:space="preserve">), paslaugos trikdymo atakos (angl. </w:t>
      </w:r>
      <w:r>
        <w:rPr>
          <w:rFonts w:cs="Times New Roman" w:ascii="Times New Roman" w:hAnsi="Times New Roman"/>
          <w:i/>
          <w:iCs/>
        </w:rPr>
        <w:t>DOS</w:t>
      </w:r>
      <w:r>
        <w:rPr>
          <w:rFonts w:cs="Times New Roman" w:ascii="Times New Roman" w:hAnsi="Times New Roman"/>
        </w:rPr>
        <w:t xml:space="preserve">), paskirstytosios paslaugos trikdymo atakos (angl. </w:t>
      </w:r>
      <w:r>
        <w:rPr>
          <w:rFonts w:cs="Times New Roman" w:ascii="Times New Roman" w:hAnsi="Times New Roman"/>
          <w:i/>
          <w:iCs/>
        </w:rPr>
        <w:t>DDOS</w:t>
      </w:r>
      <w:r>
        <w:rPr>
          <w:rFonts w:cs="Times New Roman" w:ascii="Times New Roman" w:hAnsi="Times New Roman"/>
        </w:rPr>
        <w:t>);</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rPr>
        <w:t>užtikrinamas saugių protokolų ir slaptažodžių naudojimas, kai asmens duomenys perduodami išoriniais duomenų perdavimo tinklais;</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cs="Times New Roman"/>
        </w:rPr>
      </w:pPr>
      <w:r>
        <w:rPr>
          <w:rFonts w:eastAsia="Calibri" w:cs="Times New Roman" w:ascii="Times New Roman" w:hAnsi="Times New Roman"/>
        </w:rPr>
        <w:t>taisant kompiuterius ne Duomenų tvarkytojo patalpose arba perduodant juos tretiesiems asmenims, informacijos kaupikliai išimami arba juose esanti informacija sunaikinama;</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eastAsia="Calibri" w:cs="Times New Roman"/>
        </w:rPr>
      </w:pPr>
      <w:r>
        <w:rPr>
          <w:rFonts w:eastAsia="Calibri" w:cs="Times New Roman" w:ascii="Times New Roman" w:hAnsi="Times New Roman"/>
        </w:rPr>
        <w:t>valdomi, fiksuojami ir dokumentuojami įvykę asmens duomenų saugumo pažeidimai;</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eastAsia="Calibri" w:cs="Times New Roman"/>
        </w:rPr>
      </w:pPr>
      <w:r>
        <w:rPr>
          <w:rFonts w:eastAsia="Calibri" w:cs="Times New Roman" w:ascii="Times New Roman" w:hAnsi="Times New Roman"/>
        </w:rPr>
        <w:t>užtikrinama asmens duomenų apsauga nuo neteisėto prisijungimo prie vidinio kompiuterinio tinklo elektroninių ryšių priemonėmis;</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eastAsia="Calibri" w:cs="Times New Roman"/>
        </w:rPr>
      </w:pPr>
      <w:r>
        <w:rPr>
          <w:rFonts w:eastAsia="Calibri" w:cs="Times New Roman" w:ascii="Times New Roman" w:hAnsi="Times New Roman"/>
        </w:rPr>
        <w:t>užtikrinamas patalpų, kuriose saugomi asmens duomenys, saugumas (apribojamas neįgaliotų asmenų patekimas į atitinkamas patalpas ir pan.);</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eastAsia="Calibri" w:cs="Times New Roman"/>
        </w:rPr>
      </w:pPr>
      <w:r>
        <w:rPr>
          <w:rFonts w:cs="Times New Roman" w:ascii="Times New Roman" w:hAnsi="Times New Roman"/>
        </w:rPr>
        <w:t>daromos atsarginės duomenų kopijos, registruojami asmens duomenų kopijavimo ir atkūrimo jų avarinio praradimo atveju veiksmai (kada ir kas atliko šiuos veiksmus);</w:t>
      </w:r>
    </w:p>
    <w:p>
      <w:pPr>
        <w:pStyle w:val="ListParagraph"/>
        <w:numPr>
          <w:ilvl w:val="0"/>
          <w:numId w:val="5"/>
        </w:numPr>
        <w:tabs>
          <w:tab w:val="clear" w:pos="709"/>
          <w:tab w:val="left" w:pos="851" w:leader="none"/>
        </w:tabs>
        <w:suppressAutoHyphens w:val="false"/>
        <w:spacing w:before="0" w:after="0"/>
        <w:ind w:firstLine="426" w:left="0"/>
        <w:contextualSpacing/>
        <w:jc w:val="both"/>
        <w:rPr>
          <w:rFonts w:ascii="Times New Roman" w:hAnsi="Times New Roman" w:cs="Times New Roman"/>
        </w:rPr>
      </w:pPr>
      <w:r>
        <w:rPr>
          <w:rFonts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ListParagraph"/>
        <w:tabs>
          <w:tab w:val="clear" w:pos="709"/>
          <w:tab w:val="left" w:pos="851" w:leader="none"/>
        </w:tabs>
        <w:spacing w:before="0" w:after="0"/>
        <w:ind w:left="426"/>
        <w:contextualSpacing/>
        <w:jc w:val="center"/>
        <w:rPr>
          <w:rFonts w:ascii="Times New Roman" w:hAnsi="Times New Roman" w:cs="Times New Roman"/>
        </w:rPr>
      </w:pPr>
      <w:r>
        <w:rPr>
          <w:rFonts w:cs="Times New Roman" w:ascii="Times New Roman" w:hAnsi="Times New Roman"/>
        </w:rPr>
        <w:t>___________________</w:t>
      </w:r>
    </w:p>
    <w:p>
      <w:pPr>
        <w:pStyle w:val="Normal"/>
        <w:jc w:val="center"/>
        <w:rPr>
          <w:b/>
          <w:bCs/>
          <w:color w:themeColor="accent6" w:themeShade="bf" w:val="961816"/>
          <w:u w:val="single"/>
          <w:lang w:val="pt-BR"/>
        </w:rPr>
      </w:pPr>
      <w:r>
        <w:rPr>
          <w:b/>
          <w:bCs/>
          <w:color w:themeColor="accent6" w:themeShade="bf" w:val="961816"/>
          <w:u w:val="single"/>
          <w:lang w:val="pt-BR"/>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5-04-28T14:32:00Z" w:initials="">
    <w:p>
      <w:pPr>
        <w:overflowPunct w:val="true"/>
        <w:rPr/>
      </w:pPr>
      <w:r>
        <w:rPr>
          <w:rFonts w:eastAsia="Segoe UI" w:cs="Tahoma"/>
          <w:color w:val="auto"/>
          <w:kern w:val="0"/>
          <w:sz w:val="20"/>
          <w:lang w:val="en-US" w:eastAsia="en-US" w:bidi="en-US"/>
        </w:rPr>
        <w:t>Netesybos turi suformuoti pagal technine specifikacija, atsizvelgiant į sutarties vykdymo metu galincias atsirasti gresmes. Siam objektui 9.2.1 punkte numatytos netesybos tik formalios ir neveiksmingos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qFormat/>
    <w:rPr>
      <w:rFonts w:cs="Mangal"/>
      <w:color w:val="000000"/>
      <w:sz w:val="20"/>
      <w:szCs w:val="18"/>
      <w:lang w:val="lt-LT"/>
    </w:rPr>
  </w:style>
  <w:style w:type="character" w:styleId="Annotationreference">
    <w:name w:val="annotation reference"/>
    <w:basedOn w:val="DefaultParagraphFont"/>
    <w:uiPriority w:val="99"/>
    <w:unhideWhenUsed/>
    <w:qFormat/>
    <w:rPr>
      <w:sz w:val="16"/>
      <w:szCs w:val="16"/>
    </w:rPr>
  </w:style>
  <w:style w:type="character" w:styleId="HTMLiankstoformatuotasDiagrama" w:customStyle="1">
    <w:name w:val="HTML iš anksto formatuotas Diagrama"/>
    <w:basedOn w:val="DefaultParagraphFont"/>
    <w:link w:val="HTMLPreformatted"/>
    <w:qFormat/>
    <w:rsid w:val="00456146"/>
    <w:rPr>
      <w:rFonts w:ascii="Courier New" w:hAnsi="Courier New" w:eastAsia="Times New Roman" w:cs="Courier New"/>
      <w:color w:val="000000"/>
      <w:szCs w:val="20"/>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Normal1" w:customStyle="1">
    <w:name w:val="Normal1"/>
    <w:qFormat/>
    <w:pPr>
      <w:widowControl/>
      <w:suppressAutoHyphens w:val="tru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link w:val="HTMLiankstoformatuotasDiagrama"/>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eastAsiaTheme="minorEastAsia" w:cs="Arial"/>
      <w:color w:val="auto"/>
      <w:kern w:val="2"/>
      <w:sz w:val="21"/>
      <w:szCs w:val="21"/>
      <w:lang w:eastAsia="lt-LT" w:val="en-US" w:bidi="hi-IN"/>
    </w:rPr>
  </w:style>
  <w:style w:type="paragraph" w:styleId="S1lygis" w:customStyle="1">
    <w:name w:val="_S 1 lygis"/>
    <w:basedOn w:val="Normal"/>
    <w:qFormat/>
    <w:rsid w:val="0073514b"/>
    <w:pPr>
      <w:numPr>
        <w:ilvl w:val="0"/>
        <w:numId w:val="3"/>
      </w:numPr>
      <w:overflowPunct w:val="tru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tru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56146"/>
    <w:rPr>
      <w:rFonts w:asciiTheme="minorHAnsi" w:hAnsiTheme="minorHAnsi" w:eastAsiaTheme="minorHAnsi" w:cstheme="minorBidi"/>
      <w:lang w:val="lv-LV"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79EB5-767B-44AD-A9E1-E62F695559C7}">
  <ds:schemaRefs>
    <ds:schemaRef ds:uri="http://schemas.microsoft.com/sharepoint/v3/contenttype/forms"/>
  </ds:schemaRefs>
</ds:datastoreItem>
</file>

<file path=customXml/itemProps2.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Application>LibreOffice/7.6.4.1$Windows_X86_64 LibreOffice_project/e19e193f88cd6c0525a17fb7a176ed8e6a3e2aa1</Application>
  <AppVersion>15.0000</AppVersion>
  <Pages>16</Pages>
  <Words>5216</Words>
  <Characters>37429</Characters>
  <CharactersWithSpaces>42542</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Juratė Miceikienė</cp:lastModifiedBy>
  <dcterms:modified xsi:type="dcterms:W3CDTF">2025-07-21T06:18:00Z</dcterms:modified>
  <cp:revision>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