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30DDD359" w:rsidR="00705BCA" w:rsidRPr="00E95480" w:rsidRDefault="00870C46" w:rsidP="00542E03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E95480">
        <w:rPr>
          <w:rFonts w:asciiTheme="majorHAnsi" w:hAnsiTheme="majorHAnsi"/>
          <w:b/>
          <w:sz w:val="24"/>
          <w:szCs w:val="24"/>
        </w:rPr>
        <w:t>ENDOSKOPINIŲ INSTRUMENTŲ RANKINIAM APRUOŠIMUI SKIRTOS AUKŠTO LYGIO DEZINFEKCIJOS PRIEMONĖS AKTYVAUS DEGUONIES PAGRINDU</w:t>
      </w:r>
      <w:r w:rsidRPr="00E95480">
        <w:rPr>
          <w:rFonts w:asciiTheme="majorHAnsi" w:hAnsiTheme="majorHAnsi"/>
        </w:rPr>
        <w:t xml:space="preserve"> </w:t>
      </w:r>
      <w:r w:rsidR="000259E5" w:rsidRPr="00E95480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0259E5" w:rsidRPr="00E95480">
        <w:rPr>
          <w:rFonts w:asciiTheme="majorHAnsi" w:hAnsiTheme="majorHAnsi"/>
          <w:b/>
          <w:sz w:val="24"/>
          <w:szCs w:val="24"/>
        </w:rPr>
        <w:t xml:space="preserve"> </w:t>
      </w:r>
    </w:p>
    <w:p w14:paraId="4566614E" w14:textId="77777777" w:rsidR="004A3C09" w:rsidRPr="00E95480" w:rsidRDefault="004A3C09" w:rsidP="00921321">
      <w:pPr>
        <w:shd w:val="clear" w:color="auto" w:fill="FFFFFF"/>
        <w:tabs>
          <w:tab w:val="left" w:pos="252"/>
        </w:tabs>
        <w:spacing w:after="0"/>
        <w:ind w:left="308" w:hanging="280"/>
        <w:jc w:val="both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3917801" w14:textId="717F5BC6" w:rsidR="00870C46" w:rsidRPr="00E95480" w:rsidRDefault="00870C46" w:rsidP="00E95480">
      <w:pPr>
        <w:numPr>
          <w:ilvl w:val="0"/>
          <w:numId w:val="21"/>
        </w:numPr>
        <w:spacing w:after="0" w:line="259" w:lineRule="auto"/>
        <w:ind w:hanging="332"/>
        <w:contextualSpacing/>
        <w:jc w:val="both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Endoskopinių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instrumentų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rankiniam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apruošimui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skirta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aukšto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lygio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dezinfekcijos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priemonė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aktyvaus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deguonies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E95480">
        <w:rPr>
          <w:rFonts w:asciiTheme="majorHAnsi" w:hAnsiTheme="majorHAnsi"/>
          <w:b/>
          <w:sz w:val="24"/>
          <w:szCs w:val="24"/>
          <w:lang w:val="en-US"/>
        </w:rPr>
        <w:t>pagrindu</w:t>
      </w:r>
      <w:proofErr w:type="spellEnd"/>
      <w:r w:rsidRPr="00E95480">
        <w:rPr>
          <w:rFonts w:asciiTheme="majorHAnsi" w:hAnsiTheme="majorHAnsi"/>
          <w:b/>
          <w:sz w:val="24"/>
          <w:szCs w:val="24"/>
          <w:lang w:val="en-US"/>
        </w:rPr>
        <w:t>:</w:t>
      </w:r>
    </w:p>
    <w:p w14:paraId="3EB5853F" w14:textId="77777777" w:rsidR="00870C46" w:rsidRPr="00E95480" w:rsidRDefault="00870C46" w:rsidP="00E95480">
      <w:pPr>
        <w:numPr>
          <w:ilvl w:val="0"/>
          <w:numId w:val="20"/>
        </w:numPr>
        <w:spacing w:after="0" w:line="259" w:lineRule="auto"/>
        <w:ind w:left="252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veiklioji medžiaga – natrio </w:t>
      </w:r>
      <w:proofErr w:type="spellStart"/>
      <w:r w:rsidRPr="00E95480">
        <w:rPr>
          <w:rFonts w:asciiTheme="majorHAnsi" w:hAnsiTheme="majorHAnsi"/>
          <w:sz w:val="24"/>
          <w:szCs w:val="24"/>
        </w:rPr>
        <w:t>perkarbonatas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ir aktyvatorius arba lygiavertė;</w:t>
      </w:r>
    </w:p>
    <w:p w14:paraId="54C59548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sudėtyje neturi aldehidų ir </w:t>
      </w:r>
      <w:proofErr w:type="spellStart"/>
      <w:r w:rsidRPr="00E95480">
        <w:rPr>
          <w:rFonts w:asciiTheme="majorHAnsi" w:hAnsiTheme="majorHAnsi"/>
          <w:sz w:val="24"/>
          <w:szCs w:val="24"/>
        </w:rPr>
        <w:t>fenolių</w:t>
      </w:r>
      <w:proofErr w:type="spellEnd"/>
      <w:r w:rsidRPr="00E95480">
        <w:rPr>
          <w:rFonts w:asciiTheme="majorHAnsi" w:hAnsiTheme="majorHAnsi"/>
          <w:sz w:val="24"/>
          <w:szCs w:val="24"/>
        </w:rPr>
        <w:t>;</w:t>
      </w:r>
    </w:p>
    <w:p w14:paraId="3AFCCB5D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bCs/>
          <w:caps/>
          <w:sz w:val="24"/>
          <w:szCs w:val="24"/>
          <w:u w:val="single"/>
        </w:rPr>
      </w:pPr>
      <w:r w:rsidRPr="00E95480">
        <w:rPr>
          <w:rFonts w:asciiTheme="majorHAnsi" w:hAnsiTheme="majorHAnsi"/>
          <w:sz w:val="24"/>
          <w:szCs w:val="24"/>
        </w:rPr>
        <w:t xml:space="preserve">pasižymi baktericidiniu (atitinka LST EN 13727 ir LST EN 14561 arba lygiavertį), </w:t>
      </w:r>
      <w:proofErr w:type="spellStart"/>
      <w:r w:rsidRPr="00E95480">
        <w:rPr>
          <w:rFonts w:asciiTheme="majorHAnsi" w:hAnsiTheme="majorHAnsi"/>
          <w:sz w:val="24"/>
          <w:szCs w:val="24"/>
        </w:rPr>
        <w:t>mikobaktericidiniu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(atitinka LST EN 14348 ir LST EN 14563 arba lygiavertį), </w:t>
      </w:r>
      <w:proofErr w:type="spellStart"/>
      <w:r w:rsidRPr="00E95480">
        <w:rPr>
          <w:rFonts w:asciiTheme="majorHAnsi" w:hAnsiTheme="majorHAnsi"/>
          <w:sz w:val="24"/>
          <w:szCs w:val="24"/>
        </w:rPr>
        <w:t>fungicidiniu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(LST EN 14562 arba lygiavertį), </w:t>
      </w:r>
      <w:proofErr w:type="spellStart"/>
      <w:r w:rsidRPr="00E95480">
        <w:rPr>
          <w:rFonts w:asciiTheme="majorHAnsi" w:hAnsiTheme="majorHAnsi"/>
          <w:sz w:val="24"/>
          <w:szCs w:val="24"/>
        </w:rPr>
        <w:t>virucidiniu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(atitinka LST EN 14476 ir LST EN 17111</w:t>
      </w:r>
      <w:r w:rsidRPr="00E95480">
        <w:rPr>
          <w:rFonts w:asciiTheme="majorHAnsi" w:eastAsia="Times New Roman" w:hAnsiTheme="majorHAnsi"/>
          <w:sz w:val="24"/>
          <w:szCs w:val="24"/>
          <w:lang w:eastAsia="lt-LT"/>
        </w:rPr>
        <w:t xml:space="preserve"> (pilnas </w:t>
      </w:r>
      <w:proofErr w:type="spellStart"/>
      <w:r w:rsidRPr="00E95480">
        <w:rPr>
          <w:rFonts w:asciiTheme="majorHAnsi" w:eastAsia="Times New Roman" w:hAnsiTheme="majorHAnsi"/>
          <w:sz w:val="24"/>
          <w:szCs w:val="24"/>
          <w:lang w:eastAsia="lt-LT"/>
        </w:rPr>
        <w:t>virucidinis</w:t>
      </w:r>
      <w:proofErr w:type="spellEnd"/>
      <w:r w:rsidRPr="00E95480">
        <w:rPr>
          <w:rFonts w:asciiTheme="majorHAnsi" w:eastAsia="Times New Roman" w:hAnsiTheme="majorHAnsi"/>
          <w:sz w:val="24"/>
          <w:szCs w:val="24"/>
          <w:lang w:eastAsia="lt-LT"/>
        </w:rPr>
        <w:t xml:space="preserve"> aktyvumas) </w:t>
      </w:r>
      <w:r w:rsidRPr="00E95480">
        <w:rPr>
          <w:rFonts w:asciiTheme="majorHAnsi" w:hAnsiTheme="majorHAnsi"/>
          <w:sz w:val="24"/>
          <w:szCs w:val="24"/>
        </w:rPr>
        <w:t xml:space="preserve">arba lygiavertį) – pateikti atitikimą standartams patvirtinančius dokumentus (sertifikatus); </w:t>
      </w:r>
    </w:p>
    <w:p w14:paraId="0F129152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bCs/>
          <w:sz w:val="24"/>
          <w:szCs w:val="24"/>
        </w:rPr>
        <w:t xml:space="preserve">pasižymi </w:t>
      </w:r>
      <w:proofErr w:type="spellStart"/>
      <w:r w:rsidRPr="00E95480">
        <w:rPr>
          <w:rFonts w:asciiTheme="majorHAnsi" w:hAnsiTheme="majorHAnsi"/>
          <w:bCs/>
          <w:sz w:val="24"/>
          <w:szCs w:val="24"/>
        </w:rPr>
        <w:t>sporicidiniu</w:t>
      </w:r>
      <w:proofErr w:type="spellEnd"/>
      <w:r w:rsidRPr="00E95480">
        <w:rPr>
          <w:rFonts w:asciiTheme="majorHAnsi" w:hAnsiTheme="majorHAnsi"/>
          <w:bCs/>
          <w:sz w:val="24"/>
          <w:szCs w:val="24"/>
        </w:rPr>
        <w:t xml:space="preserve"> </w:t>
      </w:r>
      <w:r w:rsidRPr="00E95480">
        <w:rPr>
          <w:rFonts w:asciiTheme="majorHAnsi" w:hAnsiTheme="majorHAnsi"/>
          <w:sz w:val="24"/>
          <w:szCs w:val="24"/>
        </w:rPr>
        <w:t>(</w:t>
      </w:r>
      <w:r w:rsidRPr="00E95480">
        <w:rPr>
          <w:rFonts w:asciiTheme="majorHAnsi" w:hAnsiTheme="majorHAnsi"/>
          <w:i/>
          <w:sz w:val="24"/>
          <w:szCs w:val="24"/>
        </w:rPr>
        <w:t xml:space="preserve">B. </w:t>
      </w:r>
      <w:proofErr w:type="spellStart"/>
      <w:r w:rsidRPr="00E95480">
        <w:rPr>
          <w:rFonts w:asciiTheme="majorHAnsi" w:hAnsiTheme="majorHAnsi"/>
          <w:i/>
          <w:sz w:val="24"/>
          <w:szCs w:val="24"/>
        </w:rPr>
        <w:t>subtilis</w:t>
      </w:r>
      <w:proofErr w:type="spellEnd"/>
      <w:r w:rsidRPr="00E95480">
        <w:rPr>
          <w:rFonts w:asciiTheme="majorHAnsi" w:hAnsiTheme="majorHAnsi"/>
          <w:i/>
          <w:sz w:val="24"/>
          <w:szCs w:val="24"/>
        </w:rPr>
        <w:t xml:space="preserve">, B. </w:t>
      </w:r>
      <w:proofErr w:type="spellStart"/>
      <w:r w:rsidRPr="00E95480">
        <w:rPr>
          <w:rFonts w:asciiTheme="majorHAnsi" w:hAnsiTheme="majorHAnsi"/>
          <w:i/>
          <w:sz w:val="24"/>
          <w:szCs w:val="24"/>
        </w:rPr>
        <w:t>cereus</w:t>
      </w:r>
      <w:proofErr w:type="spellEnd"/>
      <w:r w:rsidRPr="00E95480">
        <w:rPr>
          <w:rFonts w:asciiTheme="majorHAnsi" w:hAnsiTheme="majorHAnsi"/>
          <w:i/>
          <w:sz w:val="24"/>
          <w:szCs w:val="24"/>
        </w:rPr>
        <w:t xml:space="preserve">) </w:t>
      </w:r>
      <w:r w:rsidRPr="00E95480">
        <w:rPr>
          <w:rFonts w:asciiTheme="majorHAnsi" w:hAnsiTheme="majorHAnsi"/>
          <w:bCs/>
          <w:sz w:val="24"/>
          <w:szCs w:val="24"/>
        </w:rPr>
        <w:t>veikimu (</w:t>
      </w:r>
      <w:r w:rsidRPr="00E95480">
        <w:rPr>
          <w:rFonts w:asciiTheme="majorHAnsi" w:hAnsiTheme="majorHAnsi"/>
          <w:sz w:val="24"/>
          <w:szCs w:val="24"/>
        </w:rPr>
        <w:t xml:space="preserve">atitinka LST EN 17126:2019 pateikti atitikimą standartui patvirtinančius sertifikatus; </w:t>
      </w:r>
    </w:p>
    <w:p w14:paraId="565DA4CB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ekspozicija </w:t>
      </w:r>
      <w:proofErr w:type="spellStart"/>
      <w:r w:rsidRPr="00E95480">
        <w:rPr>
          <w:rFonts w:asciiTheme="majorHAnsi" w:hAnsiTheme="majorHAnsi"/>
          <w:sz w:val="24"/>
          <w:szCs w:val="24"/>
        </w:rPr>
        <w:t>sporicidiniam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(</w:t>
      </w:r>
      <w:r w:rsidRPr="00E95480">
        <w:rPr>
          <w:rFonts w:asciiTheme="majorHAnsi" w:hAnsiTheme="majorHAnsi"/>
          <w:i/>
          <w:sz w:val="24"/>
          <w:szCs w:val="24"/>
        </w:rPr>
        <w:t xml:space="preserve">B. </w:t>
      </w:r>
      <w:proofErr w:type="spellStart"/>
      <w:r w:rsidRPr="00E95480">
        <w:rPr>
          <w:rFonts w:asciiTheme="majorHAnsi" w:hAnsiTheme="majorHAnsi"/>
          <w:i/>
          <w:sz w:val="24"/>
          <w:szCs w:val="24"/>
        </w:rPr>
        <w:t>subtilis</w:t>
      </w:r>
      <w:proofErr w:type="spellEnd"/>
      <w:r w:rsidRPr="00E95480">
        <w:rPr>
          <w:rFonts w:asciiTheme="majorHAnsi" w:hAnsiTheme="majorHAnsi"/>
          <w:i/>
          <w:sz w:val="24"/>
          <w:szCs w:val="24"/>
        </w:rPr>
        <w:t xml:space="preserve">, B. </w:t>
      </w:r>
      <w:proofErr w:type="spellStart"/>
      <w:r w:rsidRPr="00E95480">
        <w:rPr>
          <w:rFonts w:asciiTheme="majorHAnsi" w:hAnsiTheme="majorHAnsi"/>
          <w:i/>
          <w:sz w:val="24"/>
          <w:szCs w:val="24"/>
        </w:rPr>
        <w:t>cereus</w:t>
      </w:r>
      <w:proofErr w:type="spellEnd"/>
      <w:r w:rsidRPr="00E95480">
        <w:rPr>
          <w:rFonts w:asciiTheme="majorHAnsi" w:hAnsiTheme="majorHAnsi"/>
          <w:i/>
          <w:sz w:val="24"/>
          <w:szCs w:val="24"/>
        </w:rPr>
        <w:t xml:space="preserve">) </w:t>
      </w:r>
      <w:r w:rsidRPr="00E95480">
        <w:rPr>
          <w:rFonts w:asciiTheme="majorHAnsi" w:hAnsiTheme="majorHAnsi"/>
          <w:sz w:val="24"/>
          <w:szCs w:val="24"/>
        </w:rPr>
        <w:t>efektui ≤ 15 min;</w:t>
      </w:r>
    </w:p>
    <w:p w14:paraId="36BB3E3F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caps/>
          <w:sz w:val="24"/>
          <w:szCs w:val="24"/>
          <w:u w:val="single"/>
        </w:rPr>
      </w:pPr>
      <w:r w:rsidRPr="00E95480">
        <w:rPr>
          <w:rFonts w:asciiTheme="majorHAnsi" w:hAnsiTheme="majorHAnsi"/>
          <w:sz w:val="24"/>
          <w:szCs w:val="24"/>
        </w:rPr>
        <w:t>skirta dezinfekuoti šilumai jautrius plastiko, gumos gaminius bei metalinius instrumentus;</w:t>
      </w:r>
    </w:p>
    <w:p w14:paraId="484FD020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skirta dezinfekuoti lanksčius ir kietus endoskopus (pateikti priemonės gamintojo patvirtinimą, kad  tinka </w:t>
      </w:r>
      <w:proofErr w:type="spellStart"/>
      <w:r w:rsidRPr="00E95480">
        <w:rPr>
          <w:rFonts w:asciiTheme="majorHAnsi" w:hAnsiTheme="majorHAnsi"/>
          <w:sz w:val="24"/>
          <w:szCs w:val="24"/>
        </w:rPr>
        <w:t>Olympus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ir </w:t>
      </w:r>
      <w:proofErr w:type="spellStart"/>
      <w:r w:rsidRPr="00E95480">
        <w:rPr>
          <w:rFonts w:asciiTheme="majorHAnsi" w:hAnsiTheme="majorHAnsi"/>
          <w:sz w:val="24"/>
          <w:szCs w:val="24"/>
        </w:rPr>
        <w:t>Karl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95480">
        <w:rPr>
          <w:rFonts w:asciiTheme="majorHAnsi" w:hAnsiTheme="majorHAnsi"/>
          <w:sz w:val="24"/>
          <w:szCs w:val="24"/>
        </w:rPr>
        <w:t>Storz</w:t>
      </w:r>
      <w:proofErr w:type="spellEnd"/>
      <w:r w:rsidRPr="00E95480">
        <w:rPr>
          <w:rFonts w:asciiTheme="majorHAnsi" w:hAnsiTheme="majorHAnsi"/>
          <w:sz w:val="24"/>
          <w:szCs w:val="24"/>
        </w:rPr>
        <w:t xml:space="preserve"> endoskopų aukšto lygio dezinfekcijai);</w:t>
      </w:r>
    </w:p>
    <w:p w14:paraId="38F04247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>tinkamas naudoti ultragarso vonelėse;</w:t>
      </w:r>
    </w:p>
    <w:p w14:paraId="742B71C9" w14:textId="77777777" w:rsidR="00870C46" w:rsidRPr="00E95480" w:rsidRDefault="00870C46" w:rsidP="00E95480">
      <w:pPr>
        <w:numPr>
          <w:ilvl w:val="0"/>
          <w:numId w:val="20"/>
        </w:numPr>
        <w:tabs>
          <w:tab w:val="left" w:pos="0"/>
          <w:tab w:val="left" w:pos="210"/>
          <w:tab w:val="left" w:pos="308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>pateikti saugos duomenų lapus;</w:t>
      </w:r>
    </w:p>
    <w:p w14:paraId="41B91D9C" w14:textId="77777777" w:rsidR="00870C46" w:rsidRPr="00E95480" w:rsidRDefault="00870C46" w:rsidP="00E95480">
      <w:pPr>
        <w:numPr>
          <w:ilvl w:val="0"/>
          <w:numId w:val="20"/>
        </w:numPr>
        <w:tabs>
          <w:tab w:val="left" w:pos="0"/>
          <w:tab w:val="left" w:pos="210"/>
          <w:tab w:val="left" w:pos="308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>pateikti priemonės naudojimo instrukciją lietuvių ir originalo kalbomis;</w:t>
      </w:r>
    </w:p>
    <w:p w14:paraId="75B1D198" w14:textId="065AD543" w:rsidR="00870C46" w:rsidRPr="00E95480" w:rsidRDefault="00E95480" w:rsidP="00E95480">
      <w:pPr>
        <w:numPr>
          <w:ilvl w:val="0"/>
          <w:numId w:val="12"/>
        </w:numPr>
        <w:tabs>
          <w:tab w:val="left" w:pos="142"/>
          <w:tab w:val="left" w:pos="210"/>
          <w:tab w:val="left" w:pos="252"/>
          <w:tab w:val="num" w:pos="284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870C46" w:rsidRPr="00E95480">
        <w:rPr>
          <w:rFonts w:asciiTheme="majorHAnsi" w:hAnsiTheme="majorHAnsi"/>
          <w:sz w:val="24"/>
          <w:szCs w:val="24"/>
        </w:rPr>
        <w:t xml:space="preserve">pateikti </w:t>
      </w:r>
      <w:r w:rsidR="00870C46" w:rsidRPr="00E95480">
        <w:rPr>
          <w:rFonts w:asciiTheme="majorHAnsi" w:hAnsiTheme="majorHAnsi"/>
          <w:bCs/>
          <w:iCs/>
          <w:sz w:val="24"/>
          <w:szCs w:val="24"/>
        </w:rPr>
        <w:t xml:space="preserve">atitikties </w:t>
      </w:r>
      <w:r w:rsidR="00870C46" w:rsidRPr="00E95480">
        <w:rPr>
          <w:rFonts w:asciiTheme="majorHAnsi" w:hAnsiTheme="majorHAnsi"/>
          <w:sz w:val="24"/>
          <w:szCs w:val="24"/>
          <w:lang w:val="x-none" w:eastAsia="x-none"/>
        </w:rPr>
        <w:t>reglament</w:t>
      </w:r>
      <w:r w:rsidR="00870C46" w:rsidRPr="00E95480">
        <w:rPr>
          <w:rFonts w:asciiTheme="majorHAnsi" w:hAnsiTheme="majorHAnsi"/>
          <w:sz w:val="24"/>
          <w:szCs w:val="24"/>
          <w:lang w:eastAsia="x-none"/>
        </w:rPr>
        <w:t>ui</w:t>
      </w:r>
      <w:r w:rsidR="00870C46" w:rsidRPr="00E95480">
        <w:rPr>
          <w:rFonts w:asciiTheme="majorHAnsi" w:hAnsiTheme="majorHAnsi"/>
          <w:sz w:val="24"/>
          <w:szCs w:val="24"/>
          <w:lang w:val="x-none" w:eastAsia="x-none"/>
        </w:rPr>
        <w:t xml:space="preserve"> </w:t>
      </w:r>
      <w:r w:rsidR="00870C46" w:rsidRPr="00E95480">
        <w:rPr>
          <w:rFonts w:asciiTheme="majorHAnsi" w:hAnsiTheme="majorHAnsi"/>
          <w:sz w:val="24"/>
          <w:szCs w:val="24"/>
        </w:rPr>
        <w:t xml:space="preserve">2017/745/ES (MPR) arba lygiavertį </w:t>
      </w:r>
      <w:r w:rsidR="00870C46" w:rsidRPr="00E95480">
        <w:rPr>
          <w:rFonts w:asciiTheme="majorHAnsi" w:hAnsiTheme="majorHAnsi"/>
          <w:bCs/>
          <w:iCs/>
          <w:sz w:val="24"/>
          <w:szCs w:val="24"/>
        </w:rPr>
        <w:t>sertifikatą;</w:t>
      </w:r>
      <w:r w:rsidR="00870C46" w:rsidRPr="00E95480">
        <w:rPr>
          <w:rFonts w:asciiTheme="majorHAnsi" w:hAnsiTheme="majorHAnsi"/>
          <w:sz w:val="24"/>
          <w:szCs w:val="24"/>
        </w:rPr>
        <w:t xml:space="preserve"> </w:t>
      </w:r>
    </w:p>
    <w:p w14:paraId="41C2B1F3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  <w:tab w:val="left" w:pos="308"/>
          <w:tab w:val="left" w:pos="400"/>
          <w:tab w:val="left" w:pos="140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>priemonės pavidalas – milteliai ar granulės;</w:t>
      </w:r>
    </w:p>
    <w:p w14:paraId="65318952" w14:textId="77777777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>pateikti tirpalo aktyvumo indikatorių aprašymą/naudojimo instrukciją;</w:t>
      </w:r>
    </w:p>
    <w:p w14:paraId="386E0B05" w14:textId="77777777" w:rsidR="00870C46" w:rsidRPr="00E95480" w:rsidRDefault="00870C46" w:rsidP="00E95480">
      <w:pPr>
        <w:numPr>
          <w:ilvl w:val="0"/>
          <w:numId w:val="20"/>
        </w:numPr>
        <w:tabs>
          <w:tab w:val="left" w:pos="0"/>
          <w:tab w:val="left" w:pos="210"/>
          <w:tab w:val="left" w:pos="308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70A99ECC" w14:textId="55BBA598" w:rsidR="00870C46" w:rsidRPr="00E95480" w:rsidRDefault="00870C46" w:rsidP="00E95480">
      <w:pPr>
        <w:numPr>
          <w:ilvl w:val="0"/>
          <w:numId w:val="20"/>
        </w:numPr>
        <w:tabs>
          <w:tab w:val="left" w:pos="210"/>
          <w:tab w:val="left" w:pos="308"/>
          <w:tab w:val="left" w:pos="400"/>
          <w:tab w:val="left" w:pos="1400"/>
        </w:tabs>
        <w:spacing w:after="0" w:line="259" w:lineRule="auto"/>
        <w:ind w:left="210" w:hanging="332"/>
        <w:rPr>
          <w:rFonts w:asciiTheme="majorHAnsi" w:hAnsiTheme="majorHAnsi"/>
          <w:bCs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tirpalo aktyvumo nustatymo indikatorius – </w:t>
      </w:r>
      <w:r w:rsidR="00E95480">
        <w:rPr>
          <w:rFonts w:asciiTheme="majorHAnsi" w:hAnsiTheme="majorHAnsi"/>
          <w:sz w:val="24"/>
          <w:szCs w:val="24"/>
        </w:rPr>
        <w:t>1000</w:t>
      </w:r>
      <w:r w:rsidRPr="00E9548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E95480">
        <w:rPr>
          <w:rFonts w:asciiTheme="majorHAnsi" w:hAnsiTheme="majorHAnsi"/>
          <w:sz w:val="24"/>
          <w:szCs w:val="24"/>
        </w:rPr>
        <w:t>vnt</w:t>
      </w:r>
      <w:proofErr w:type="spellEnd"/>
      <w:r w:rsidRPr="00E95480">
        <w:rPr>
          <w:rFonts w:asciiTheme="majorHAnsi" w:hAnsiTheme="majorHAnsi"/>
          <w:bCs/>
          <w:sz w:val="24"/>
          <w:szCs w:val="24"/>
        </w:rPr>
        <w:t>;</w:t>
      </w:r>
    </w:p>
    <w:p w14:paraId="363DEC19" w14:textId="5CD098C8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atsparias drėgmei (laminuotas) instrukcijas lietuvių kalba – </w:t>
      </w:r>
      <w:r w:rsidR="00E95480">
        <w:rPr>
          <w:rFonts w:asciiTheme="majorHAnsi" w:hAnsiTheme="majorHAnsi"/>
          <w:sz w:val="24"/>
          <w:szCs w:val="24"/>
        </w:rPr>
        <w:t>1</w:t>
      </w:r>
      <w:r w:rsidRPr="00E95480">
        <w:rPr>
          <w:rFonts w:asciiTheme="majorHAnsi" w:hAnsiTheme="majorHAnsi"/>
          <w:sz w:val="24"/>
          <w:szCs w:val="24"/>
        </w:rPr>
        <w:t>0 vnt.;</w:t>
      </w:r>
    </w:p>
    <w:p w14:paraId="00975BD2" w14:textId="5B55C264" w:rsidR="00870C46" w:rsidRPr="00E95480" w:rsidRDefault="00870C46" w:rsidP="00E95480">
      <w:pPr>
        <w:numPr>
          <w:ilvl w:val="0"/>
          <w:numId w:val="20"/>
        </w:numPr>
        <w:tabs>
          <w:tab w:val="left" w:pos="210"/>
        </w:tabs>
        <w:spacing w:after="0" w:line="259" w:lineRule="auto"/>
        <w:ind w:left="210" w:hanging="332"/>
        <w:contextualSpacing/>
        <w:jc w:val="both"/>
        <w:rPr>
          <w:rFonts w:asciiTheme="majorHAnsi" w:hAnsiTheme="majorHAnsi"/>
          <w:sz w:val="24"/>
          <w:szCs w:val="24"/>
        </w:rPr>
      </w:pPr>
      <w:r w:rsidRPr="00E95480">
        <w:rPr>
          <w:rFonts w:asciiTheme="majorHAnsi" w:hAnsiTheme="majorHAnsi"/>
          <w:sz w:val="24"/>
          <w:szCs w:val="24"/>
        </w:rPr>
        <w:t xml:space="preserve">atsparius drėgmei talpų žymėjimui lipdukus – </w:t>
      </w:r>
      <w:r w:rsidR="00E95480">
        <w:rPr>
          <w:rFonts w:asciiTheme="majorHAnsi" w:hAnsiTheme="majorHAnsi"/>
          <w:sz w:val="24"/>
          <w:szCs w:val="24"/>
        </w:rPr>
        <w:t>100</w:t>
      </w:r>
      <w:r w:rsidRPr="00E95480">
        <w:rPr>
          <w:rFonts w:asciiTheme="majorHAnsi" w:hAnsiTheme="majorHAnsi"/>
          <w:sz w:val="24"/>
          <w:szCs w:val="24"/>
        </w:rPr>
        <w:t xml:space="preserve"> vnt.</w:t>
      </w:r>
    </w:p>
    <w:p w14:paraId="49AA2782" w14:textId="77777777" w:rsidR="00870C46" w:rsidRPr="00E95480" w:rsidRDefault="00870C46" w:rsidP="00E95480">
      <w:pPr>
        <w:tabs>
          <w:tab w:val="left" w:pos="210"/>
          <w:tab w:val="left" w:pos="426"/>
        </w:tabs>
        <w:spacing w:after="0"/>
        <w:ind w:left="210" w:hanging="332"/>
        <w:jc w:val="both"/>
        <w:rPr>
          <w:rFonts w:asciiTheme="majorHAnsi" w:hAnsiTheme="majorHAnsi"/>
          <w:i/>
          <w:sz w:val="24"/>
          <w:szCs w:val="24"/>
        </w:rPr>
      </w:pPr>
      <w:r w:rsidRPr="00E95480">
        <w:rPr>
          <w:rFonts w:asciiTheme="majorHAnsi" w:hAnsiTheme="majorHAnsi"/>
          <w:i/>
          <w:sz w:val="24"/>
          <w:szCs w:val="24"/>
        </w:rPr>
        <w:t>Orientacinis poreikis: 522 kg.</w:t>
      </w:r>
    </w:p>
    <w:p w14:paraId="2A993336" w14:textId="4D50887B" w:rsidR="00921321" w:rsidRPr="00E95480" w:rsidRDefault="00921321" w:rsidP="00E95480">
      <w:pPr>
        <w:tabs>
          <w:tab w:val="left" w:pos="284"/>
          <w:tab w:val="left" w:pos="851"/>
        </w:tabs>
        <w:spacing w:after="0" w:line="240" w:lineRule="auto"/>
        <w:ind w:hanging="332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</w:p>
    <w:p w14:paraId="22CA86B5" w14:textId="77777777" w:rsidR="00515098" w:rsidRPr="00E95480" w:rsidRDefault="00515098" w:rsidP="00E95480">
      <w:pPr>
        <w:tabs>
          <w:tab w:val="left" w:pos="284"/>
          <w:tab w:val="left" w:pos="851"/>
        </w:tabs>
        <w:spacing w:after="0" w:line="240" w:lineRule="auto"/>
        <w:ind w:hanging="332"/>
        <w:contextualSpacing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</w:p>
    <w:p w14:paraId="524E65E0" w14:textId="77777777" w:rsidR="00921321" w:rsidRPr="00E95480" w:rsidRDefault="00921321" w:rsidP="00E95480">
      <w:pPr>
        <w:tabs>
          <w:tab w:val="left" w:pos="252"/>
          <w:tab w:val="left" w:pos="284"/>
          <w:tab w:val="left" w:pos="448"/>
          <w:tab w:val="left" w:pos="532"/>
        </w:tabs>
        <w:spacing w:after="0" w:line="240" w:lineRule="auto"/>
        <w:ind w:left="308" w:hanging="332"/>
        <w:contextualSpacing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</w:p>
    <w:p w14:paraId="1139EEE0" w14:textId="77777777" w:rsidR="00261D92" w:rsidRPr="00E95480" w:rsidRDefault="00261D92" w:rsidP="00E95480">
      <w:pPr>
        <w:tabs>
          <w:tab w:val="left" w:pos="252"/>
        </w:tabs>
        <w:autoSpaceDE w:val="0"/>
        <w:autoSpaceDN w:val="0"/>
        <w:adjustRightInd w:val="0"/>
        <w:spacing w:after="0" w:line="240" w:lineRule="auto"/>
        <w:ind w:left="308" w:hanging="332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E95480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46389DAE" w14:textId="77777777" w:rsidR="00261D92" w:rsidRPr="00E95480" w:rsidRDefault="00261D92" w:rsidP="00E95480">
      <w:pPr>
        <w:tabs>
          <w:tab w:val="left" w:pos="252"/>
        </w:tabs>
        <w:spacing w:after="0" w:line="240" w:lineRule="auto"/>
        <w:ind w:hanging="332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261D92" w:rsidRPr="00E95480" w:rsidSect="00E95480">
      <w:pgSz w:w="11906" w:h="16838"/>
      <w:pgMar w:top="1135" w:right="707" w:bottom="426" w:left="993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E37CF" w14:textId="77777777" w:rsidR="00AA243E" w:rsidRDefault="00AA243E" w:rsidP="006E47B4">
      <w:pPr>
        <w:spacing w:after="0" w:line="240" w:lineRule="auto"/>
      </w:pPr>
      <w:r>
        <w:separator/>
      </w:r>
    </w:p>
  </w:endnote>
  <w:endnote w:type="continuationSeparator" w:id="0">
    <w:p w14:paraId="5E70FDAB" w14:textId="77777777" w:rsidR="00AA243E" w:rsidRDefault="00AA243E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C8FD8" w14:textId="77777777" w:rsidR="00AA243E" w:rsidRDefault="00AA243E" w:rsidP="006E47B4">
      <w:pPr>
        <w:spacing w:after="0" w:line="240" w:lineRule="auto"/>
      </w:pPr>
      <w:r>
        <w:separator/>
      </w:r>
    </w:p>
  </w:footnote>
  <w:footnote w:type="continuationSeparator" w:id="0">
    <w:p w14:paraId="7BDC92F3" w14:textId="77777777" w:rsidR="00AA243E" w:rsidRDefault="00AA243E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1EE"/>
    <w:multiLevelType w:val="hybridMultilevel"/>
    <w:tmpl w:val="94FAE876"/>
    <w:lvl w:ilvl="0" w:tplc="28EC62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29051EE"/>
    <w:multiLevelType w:val="hybridMultilevel"/>
    <w:tmpl w:val="BAF6EA20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BD4ABE"/>
    <w:multiLevelType w:val="hybridMultilevel"/>
    <w:tmpl w:val="4E685976"/>
    <w:lvl w:ilvl="0" w:tplc="089CAD72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 w15:restartNumberingAfterBreak="0">
    <w:nsid w:val="16C82D9D"/>
    <w:multiLevelType w:val="hybridMultilevel"/>
    <w:tmpl w:val="212ACBD8"/>
    <w:lvl w:ilvl="0" w:tplc="089CAD72">
      <w:start w:val="1"/>
      <w:numFmt w:val="bullet"/>
      <w:lvlText w:val=""/>
      <w:lvlJc w:val="left"/>
      <w:pPr>
        <w:ind w:left="598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7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261F3FE1"/>
    <w:multiLevelType w:val="hybridMultilevel"/>
    <w:tmpl w:val="9EA81A64"/>
    <w:lvl w:ilvl="0" w:tplc="089CAD72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9" w15:restartNumberingAfterBreak="0">
    <w:nsid w:val="2D5304EB"/>
    <w:multiLevelType w:val="hybridMultilevel"/>
    <w:tmpl w:val="BE0EAEF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 w15:restartNumberingAfterBreak="0">
    <w:nsid w:val="307248A0"/>
    <w:multiLevelType w:val="hybridMultilevel"/>
    <w:tmpl w:val="C2420A04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14A6F3B"/>
    <w:multiLevelType w:val="hybridMultilevel"/>
    <w:tmpl w:val="52365CF8"/>
    <w:lvl w:ilvl="0" w:tplc="EFE6CA7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B4567"/>
    <w:multiLevelType w:val="hybridMultilevel"/>
    <w:tmpl w:val="9FA60A00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4" w15:restartNumberingAfterBreak="0">
    <w:nsid w:val="592062CE"/>
    <w:multiLevelType w:val="hybridMultilevel"/>
    <w:tmpl w:val="79BC9886"/>
    <w:lvl w:ilvl="0" w:tplc="089CAD72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6" w15:restartNumberingAfterBreak="0">
    <w:nsid w:val="614C6BD6"/>
    <w:multiLevelType w:val="hybridMultilevel"/>
    <w:tmpl w:val="67ACC3B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7D8C2B25"/>
    <w:multiLevelType w:val="hybridMultilevel"/>
    <w:tmpl w:val="CE0C54C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5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10"/>
  </w:num>
  <w:num w:numId="11">
    <w:abstractNumId w:val="18"/>
  </w:num>
  <w:num w:numId="12">
    <w:abstractNumId w:val="19"/>
  </w:num>
  <w:num w:numId="13">
    <w:abstractNumId w:val="20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11"/>
  </w:num>
  <w:num w:numId="19">
    <w:abstractNumId w:val="15"/>
  </w:num>
  <w:num w:numId="20">
    <w:abstractNumId w:val="3"/>
  </w:num>
  <w:num w:numId="2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147DC"/>
    <w:rsid w:val="00022A9F"/>
    <w:rsid w:val="00024730"/>
    <w:rsid w:val="000259E5"/>
    <w:rsid w:val="000311EE"/>
    <w:rsid w:val="00036405"/>
    <w:rsid w:val="00040DBF"/>
    <w:rsid w:val="00044F0C"/>
    <w:rsid w:val="00076F0F"/>
    <w:rsid w:val="0008477E"/>
    <w:rsid w:val="000853D0"/>
    <w:rsid w:val="00085C11"/>
    <w:rsid w:val="00087D55"/>
    <w:rsid w:val="000A1BBA"/>
    <w:rsid w:val="000A1C1C"/>
    <w:rsid w:val="000A1C26"/>
    <w:rsid w:val="000A2A48"/>
    <w:rsid w:val="000A48F3"/>
    <w:rsid w:val="000B22E6"/>
    <w:rsid w:val="000B4618"/>
    <w:rsid w:val="000C064A"/>
    <w:rsid w:val="000C7B35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3C1D"/>
    <w:rsid w:val="0013636C"/>
    <w:rsid w:val="0013787A"/>
    <w:rsid w:val="0015075D"/>
    <w:rsid w:val="00154593"/>
    <w:rsid w:val="00166694"/>
    <w:rsid w:val="0016735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1F6D91"/>
    <w:rsid w:val="00201E0B"/>
    <w:rsid w:val="002113F2"/>
    <w:rsid w:val="0021166B"/>
    <w:rsid w:val="002122EF"/>
    <w:rsid w:val="00233A8D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6C7D"/>
    <w:rsid w:val="00292633"/>
    <w:rsid w:val="002A0651"/>
    <w:rsid w:val="002A18B1"/>
    <w:rsid w:val="002B40ED"/>
    <w:rsid w:val="002B6651"/>
    <w:rsid w:val="002B6A8A"/>
    <w:rsid w:val="002C15F7"/>
    <w:rsid w:val="002C51A3"/>
    <w:rsid w:val="002C6B1A"/>
    <w:rsid w:val="002D4C68"/>
    <w:rsid w:val="002E6239"/>
    <w:rsid w:val="002F23BB"/>
    <w:rsid w:val="00302B88"/>
    <w:rsid w:val="0030693A"/>
    <w:rsid w:val="00306A49"/>
    <w:rsid w:val="0031265D"/>
    <w:rsid w:val="003259D1"/>
    <w:rsid w:val="00332826"/>
    <w:rsid w:val="0033635B"/>
    <w:rsid w:val="00343093"/>
    <w:rsid w:val="0035251E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C2F18"/>
    <w:rsid w:val="003D377B"/>
    <w:rsid w:val="003D626F"/>
    <w:rsid w:val="003D6BEC"/>
    <w:rsid w:val="003E34D7"/>
    <w:rsid w:val="004159A9"/>
    <w:rsid w:val="004173EB"/>
    <w:rsid w:val="00440489"/>
    <w:rsid w:val="00440847"/>
    <w:rsid w:val="00443A43"/>
    <w:rsid w:val="004451A7"/>
    <w:rsid w:val="00447966"/>
    <w:rsid w:val="0046346C"/>
    <w:rsid w:val="00465B87"/>
    <w:rsid w:val="00472B9E"/>
    <w:rsid w:val="004749E7"/>
    <w:rsid w:val="00477FDD"/>
    <w:rsid w:val="004819D8"/>
    <w:rsid w:val="00485154"/>
    <w:rsid w:val="00485F8F"/>
    <w:rsid w:val="00487609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4E3D"/>
    <w:rsid w:val="005022C8"/>
    <w:rsid w:val="005066BA"/>
    <w:rsid w:val="005114AD"/>
    <w:rsid w:val="005124B4"/>
    <w:rsid w:val="00515098"/>
    <w:rsid w:val="00520AC3"/>
    <w:rsid w:val="00524C87"/>
    <w:rsid w:val="00530880"/>
    <w:rsid w:val="005326AC"/>
    <w:rsid w:val="00542E03"/>
    <w:rsid w:val="00550071"/>
    <w:rsid w:val="005669AF"/>
    <w:rsid w:val="00567ADF"/>
    <w:rsid w:val="0057187F"/>
    <w:rsid w:val="00571CAD"/>
    <w:rsid w:val="00582035"/>
    <w:rsid w:val="005830E5"/>
    <w:rsid w:val="005A598A"/>
    <w:rsid w:val="005B1454"/>
    <w:rsid w:val="005C0A23"/>
    <w:rsid w:val="005C149A"/>
    <w:rsid w:val="005C425E"/>
    <w:rsid w:val="005C5260"/>
    <w:rsid w:val="005C65E5"/>
    <w:rsid w:val="005D37F4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11E8"/>
    <w:rsid w:val="0065315E"/>
    <w:rsid w:val="006572C2"/>
    <w:rsid w:val="00663069"/>
    <w:rsid w:val="006641AB"/>
    <w:rsid w:val="006641B4"/>
    <w:rsid w:val="0066478C"/>
    <w:rsid w:val="00675D65"/>
    <w:rsid w:val="0067643E"/>
    <w:rsid w:val="006773DE"/>
    <w:rsid w:val="00677D43"/>
    <w:rsid w:val="00680241"/>
    <w:rsid w:val="006805D2"/>
    <w:rsid w:val="0068510C"/>
    <w:rsid w:val="0068549B"/>
    <w:rsid w:val="00687CFB"/>
    <w:rsid w:val="0069182C"/>
    <w:rsid w:val="00694731"/>
    <w:rsid w:val="00695695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60580"/>
    <w:rsid w:val="007636E4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2E9"/>
    <w:rsid w:val="007C6E30"/>
    <w:rsid w:val="007C7F5D"/>
    <w:rsid w:val="007F0F2B"/>
    <w:rsid w:val="007F2CD0"/>
    <w:rsid w:val="00807090"/>
    <w:rsid w:val="0081359D"/>
    <w:rsid w:val="0082085F"/>
    <w:rsid w:val="008220C1"/>
    <w:rsid w:val="0082383A"/>
    <w:rsid w:val="00831A7E"/>
    <w:rsid w:val="00833D59"/>
    <w:rsid w:val="008367C7"/>
    <w:rsid w:val="00841566"/>
    <w:rsid w:val="00850B5E"/>
    <w:rsid w:val="0086023A"/>
    <w:rsid w:val="0086456F"/>
    <w:rsid w:val="00870C46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907191"/>
    <w:rsid w:val="00910B67"/>
    <w:rsid w:val="00911CA1"/>
    <w:rsid w:val="00912E1F"/>
    <w:rsid w:val="00921321"/>
    <w:rsid w:val="00922D58"/>
    <w:rsid w:val="00927250"/>
    <w:rsid w:val="0093334D"/>
    <w:rsid w:val="00935CF5"/>
    <w:rsid w:val="00936892"/>
    <w:rsid w:val="009428A4"/>
    <w:rsid w:val="00942A5D"/>
    <w:rsid w:val="009430C8"/>
    <w:rsid w:val="00953487"/>
    <w:rsid w:val="00955624"/>
    <w:rsid w:val="00963E73"/>
    <w:rsid w:val="0097491C"/>
    <w:rsid w:val="00975738"/>
    <w:rsid w:val="009760B1"/>
    <w:rsid w:val="00976B0E"/>
    <w:rsid w:val="009803C3"/>
    <w:rsid w:val="00987590"/>
    <w:rsid w:val="00994764"/>
    <w:rsid w:val="009B3C25"/>
    <w:rsid w:val="009B5628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02185"/>
    <w:rsid w:val="00A221B1"/>
    <w:rsid w:val="00A41AE9"/>
    <w:rsid w:val="00A60D98"/>
    <w:rsid w:val="00A60E44"/>
    <w:rsid w:val="00A65070"/>
    <w:rsid w:val="00A72254"/>
    <w:rsid w:val="00A851C9"/>
    <w:rsid w:val="00A85A94"/>
    <w:rsid w:val="00A86849"/>
    <w:rsid w:val="00A91292"/>
    <w:rsid w:val="00AA243E"/>
    <w:rsid w:val="00AA4AC1"/>
    <w:rsid w:val="00AA726B"/>
    <w:rsid w:val="00AB1048"/>
    <w:rsid w:val="00AB115D"/>
    <w:rsid w:val="00AB36B9"/>
    <w:rsid w:val="00AB5524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3E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B42"/>
    <w:rsid w:val="00BD5B66"/>
    <w:rsid w:val="00BE40FB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7B9B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E6F75"/>
    <w:rsid w:val="00D01E5D"/>
    <w:rsid w:val="00D02541"/>
    <w:rsid w:val="00D02B9D"/>
    <w:rsid w:val="00D26CB7"/>
    <w:rsid w:val="00D31FE0"/>
    <w:rsid w:val="00D33191"/>
    <w:rsid w:val="00D41E1C"/>
    <w:rsid w:val="00D571D6"/>
    <w:rsid w:val="00D628AA"/>
    <w:rsid w:val="00D722A5"/>
    <w:rsid w:val="00D764CE"/>
    <w:rsid w:val="00D8706B"/>
    <w:rsid w:val="00D90BFA"/>
    <w:rsid w:val="00D90D6A"/>
    <w:rsid w:val="00DA1970"/>
    <w:rsid w:val="00DB067A"/>
    <w:rsid w:val="00DD0DB6"/>
    <w:rsid w:val="00DD2F45"/>
    <w:rsid w:val="00DD73B3"/>
    <w:rsid w:val="00DE5508"/>
    <w:rsid w:val="00DE5EF4"/>
    <w:rsid w:val="00DF10E2"/>
    <w:rsid w:val="00DF7E6A"/>
    <w:rsid w:val="00E00F6B"/>
    <w:rsid w:val="00E10267"/>
    <w:rsid w:val="00E1467E"/>
    <w:rsid w:val="00E14C86"/>
    <w:rsid w:val="00E42E29"/>
    <w:rsid w:val="00E44EBC"/>
    <w:rsid w:val="00E51A19"/>
    <w:rsid w:val="00E54840"/>
    <w:rsid w:val="00E63FAB"/>
    <w:rsid w:val="00E82B40"/>
    <w:rsid w:val="00E95480"/>
    <w:rsid w:val="00EA30E1"/>
    <w:rsid w:val="00EA523B"/>
    <w:rsid w:val="00EA645F"/>
    <w:rsid w:val="00ED1051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20D9E"/>
    <w:rsid w:val="00F22A7E"/>
    <w:rsid w:val="00F31B71"/>
    <w:rsid w:val="00F33B10"/>
    <w:rsid w:val="00F4535F"/>
    <w:rsid w:val="00F52816"/>
    <w:rsid w:val="00F618C4"/>
    <w:rsid w:val="00F64BD9"/>
    <w:rsid w:val="00F6518E"/>
    <w:rsid w:val="00F74BCE"/>
    <w:rsid w:val="00F76675"/>
    <w:rsid w:val="00F76CEA"/>
    <w:rsid w:val="00F93880"/>
    <w:rsid w:val="00F93C3D"/>
    <w:rsid w:val="00F94983"/>
    <w:rsid w:val="00FA5239"/>
    <w:rsid w:val="00FB132A"/>
    <w:rsid w:val="00FB4D9E"/>
    <w:rsid w:val="00FD1AAF"/>
    <w:rsid w:val="00FD2E83"/>
    <w:rsid w:val="00FD77A8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9D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F5485-2658-4DAC-85C4-530EC68B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2024-09-09T12:57:00Z</cp:lastPrinted>
  <dcterms:created xsi:type="dcterms:W3CDTF">2024-12-10T13:22:00Z</dcterms:created>
  <dcterms:modified xsi:type="dcterms:W3CDTF">2024-12-11T08:20:00Z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