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35"/>
        <w:gridCol w:w="4658"/>
        <w:gridCol w:w="2677"/>
      </w:tblGrid>
      <w:tr w:rsidR="004F54A9" w:rsidRPr="00043F83" w14:paraId="2BA49D7C" w14:textId="77777777" w:rsidTr="004F54A9">
        <w:trPr>
          <w:tblHeader/>
        </w:trPr>
        <w:tc>
          <w:tcPr>
            <w:tcW w:w="458" w:type="dxa"/>
            <w:shd w:val="clear" w:color="auto" w:fill="auto"/>
            <w:hideMark/>
          </w:tcPr>
          <w:p w14:paraId="487427EB" w14:textId="77777777" w:rsidR="004F54A9" w:rsidRPr="00043F83" w:rsidRDefault="004F54A9" w:rsidP="004F54A9">
            <w:pPr>
              <w:spacing w:after="0" w:line="240" w:lineRule="auto"/>
              <w:ind w:left="-113" w:right="-124"/>
              <w:contextualSpacing/>
              <w:jc w:val="center"/>
              <w:rPr>
                <w:rFonts w:eastAsia="Times New Roman"/>
                <w:b/>
                <w:bCs/>
                <w:lang w:eastAsia="lt-LT"/>
              </w:rPr>
            </w:pPr>
            <w:r w:rsidRPr="00043F83">
              <w:rPr>
                <w:rFonts w:eastAsia="Times New Roman"/>
                <w:b/>
                <w:bCs/>
                <w:lang w:eastAsia="lt-LT"/>
              </w:rPr>
              <w:t>Eil. Nr.</w:t>
            </w:r>
          </w:p>
        </w:tc>
        <w:tc>
          <w:tcPr>
            <w:tcW w:w="1835" w:type="dxa"/>
            <w:shd w:val="clear" w:color="auto" w:fill="auto"/>
            <w:hideMark/>
          </w:tcPr>
          <w:p w14:paraId="2B2C322C" w14:textId="77777777" w:rsidR="004F54A9" w:rsidRPr="00043F83" w:rsidRDefault="004F54A9" w:rsidP="004F54A9">
            <w:pPr>
              <w:spacing w:after="0" w:line="240" w:lineRule="auto"/>
              <w:contextualSpacing/>
              <w:jc w:val="center"/>
              <w:rPr>
                <w:rFonts w:eastAsia="Times New Roman"/>
                <w:b/>
                <w:bCs/>
                <w:lang w:eastAsia="lt-LT"/>
              </w:rPr>
            </w:pPr>
            <w:r w:rsidRPr="00043F83">
              <w:rPr>
                <w:rFonts w:eastAsia="Times New Roman"/>
                <w:b/>
                <w:bCs/>
                <w:lang w:eastAsia="lt-LT"/>
              </w:rPr>
              <w:t>Parametrai</w:t>
            </w:r>
          </w:p>
        </w:tc>
        <w:tc>
          <w:tcPr>
            <w:tcW w:w="4658" w:type="dxa"/>
            <w:shd w:val="clear" w:color="auto" w:fill="auto"/>
            <w:hideMark/>
          </w:tcPr>
          <w:p w14:paraId="598D869E" w14:textId="77777777" w:rsidR="004F54A9" w:rsidRPr="00043F83" w:rsidRDefault="004F54A9" w:rsidP="004F54A9">
            <w:pPr>
              <w:spacing w:after="0" w:line="240" w:lineRule="auto"/>
              <w:contextualSpacing/>
              <w:jc w:val="center"/>
              <w:rPr>
                <w:rFonts w:eastAsia="Times New Roman"/>
                <w:b/>
                <w:bCs/>
                <w:lang w:eastAsia="lt-LT"/>
              </w:rPr>
            </w:pPr>
            <w:r w:rsidRPr="00043F83">
              <w:rPr>
                <w:rFonts w:eastAsia="Times New Roman"/>
                <w:b/>
                <w:bCs/>
                <w:lang w:eastAsia="lt-LT"/>
              </w:rPr>
              <w:t>Minimalūs reikalavimai</w:t>
            </w:r>
          </w:p>
        </w:tc>
        <w:tc>
          <w:tcPr>
            <w:tcW w:w="2677" w:type="dxa"/>
          </w:tcPr>
          <w:p w14:paraId="257243ED" w14:textId="77777777" w:rsidR="004F54A9" w:rsidRPr="00043F83" w:rsidRDefault="004F54A9" w:rsidP="004F54A9">
            <w:pPr>
              <w:pStyle w:val="NoSpacing"/>
              <w:contextualSpacing/>
              <w:jc w:val="center"/>
              <w:rPr>
                <w:rFonts w:ascii="Times New Roman" w:hAnsi="Times New Roman" w:cs="Times New Roman"/>
                <w:b/>
              </w:rPr>
            </w:pPr>
            <w:r w:rsidRPr="00043F83">
              <w:rPr>
                <w:rFonts w:ascii="Times New Roman" w:hAnsi="Times New Roman" w:cs="Times New Roman"/>
                <w:b/>
              </w:rPr>
              <w:t>Siūloma charakteristikos reikšmė</w:t>
            </w:r>
          </w:p>
        </w:tc>
      </w:tr>
      <w:tr w:rsidR="004F54A9" w:rsidRPr="00043F83" w14:paraId="1FCFE97A" w14:textId="77777777" w:rsidTr="004F54A9">
        <w:tc>
          <w:tcPr>
            <w:tcW w:w="458" w:type="dxa"/>
            <w:shd w:val="clear" w:color="auto" w:fill="auto"/>
            <w:hideMark/>
          </w:tcPr>
          <w:p w14:paraId="653A7556"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w:t>
            </w:r>
          </w:p>
        </w:tc>
        <w:tc>
          <w:tcPr>
            <w:tcW w:w="1835" w:type="dxa"/>
            <w:shd w:val="clear" w:color="auto" w:fill="auto"/>
            <w:hideMark/>
          </w:tcPr>
          <w:p w14:paraId="0EB4558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Gamintojas</w:t>
            </w:r>
          </w:p>
        </w:tc>
        <w:tc>
          <w:tcPr>
            <w:tcW w:w="4658" w:type="dxa"/>
            <w:shd w:val="clear" w:color="auto" w:fill="auto"/>
            <w:hideMark/>
          </w:tcPr>
          <w:p w14:paraId="374234D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gamintoją.</w:t>
            </w:r>
          </w:p>
        </w:tc>
        <w:tc>
          <w:tcPr>
            <w:tcW w:w="2677" w:type="dxa"/>
          </w:tcPr>
          <w:p w14:paraId="01F1442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3436405" w14:textId="77777777" w:rsidTr="004F54A9">
        <w:tc>
          <w:tcPr>
            <w:tcW w:w="458" w:type="dxa"/>
            <w:shd w:val="clear" w:color="auto" w:fill="auto"/>
            <w:hideMark/>
          </w:tcPr>
          <w:p w14:paraId="063CC358"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p>
        </w:tc>
        <w:tc>
          <w:tcPr>
            <w:tcW w:w="1835" w:type="dxa"/>
            <w:shd w:val="clear" w:color="auto" w:fill="auto"/>
            <w:hideMark/>
          </w:tcPr>
          <w:p w14:paraId="641EBF2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Produkto pavadinimas</w:t>
            </w:r>
          </w:p>
        </w:tc>
        <w:tc>
          <w:tcPr>
            <w:tcW w:w="4658" w:type="dxa"/>
            <w:shd w:val="clear" w:color="auto" w:fill="auto"/>
            <w:hideMark/>
          </w:tcPr>
          <w:p w14:paraId="0A9890F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produkto pavadinimą, modelį.</w:t>
            </w:r>
          </w:p>
          <w:p w14:paraId="19FD297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Pateikti nuorodą į viešai prieinamą informaciją gamintojo interneto svetainėje, kurioje pateikiama informacija apie siūlomos prekės charakteristikas.</w:t>
            </w:r>
          </w:p>
        </w:tc>
        <w:tc>
          <w:tcPr>
            <w:tcW w:w="2677" w:type="dxa"/>
          </w:tcPr>
          <w:p w14:paraId="202DAC9A"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A759278" w14:textId="77777777" w:rsidTr="004F54A9">
        <w:tc>
          <w:tcPr>
            <w:tcW w:w="458" w:type="dxa"/>
            <w:shd w:val="clear" w:color="auto" w:fill="auto"/>
            <w:hideMark/>
          </w:tcPr>
          <w:p w14:paraId="1B60BFA7"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3.</w:t>
            </w:r>
          </w:p>
        </w:tc>
        <w:tc>
          <w:tcPr>
            <w:tcW w:w="1835" w:type="dxa"/>
            <w:shd w:val="clear" w:color="auto" w:fill="auto"/>
            <w:hideMark/>
          </w:tcPr>
          <w:p w14:paraId="69A5271B"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Tarnybinių stočių tipas</w:t>
            </w:r>
          </w:p>
        </w:tc>
        <w:tc>
          <w:tcPr>
            <w:tcW w:w="4658" w:type="dxa"/>
            <w:shd w:val="clear" w:color="auto" w:fill="auto"/>
            <w:hideMark/>
          </w:tcPr>
          <w:p w14:paraId="7FDA34E9" w14:textId="1833E37C"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Pastatomas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tower</w:t>
            </w:r>
            <w:proofErr w:type="spellEnd"/>
            <w:r w:rsidRPr="00043F83">
              <w:rPr>
                <w:rFonts w:eastAsia="Times New Roman"/>
                <w:lang w:eastAsia="lt-LT"/>
              </w:rPr>
              <w:t>)</w:t>
            </w:r>
            <w:r w:rsidR="00ED2BC9">
              <w:rPr>
                <w:rFonts w:eastAsia="Times New Roman"/>
                <w:lang w:eastAsia="lt-LT"/>
              </w:rPr>
              <w:t>.</w:t>
            </w:r>
          </w:p>
          <w:p w14:paraId="712CC361" w14:textId="771A9223" w:rsidR="004F54A9"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Korpuso priekyje ir gale turi būti įmontuotas tarnybinę stotį identifikuojantis šviesinis indikatorius, valdomas mygtuku. Korpusas turi talpinti ne mažiau kaip </w:t>
            </w:r>
            <w:r w:rsidR="00D012CD">
              <w:rPr>
                <w:rFonts w:eastAsia="Times New Roman"/>
                <w:lang w:eastAsia="lt-LT"/>
              </w:rPr>
              <w:t>8</w:t>
            </w:r>
            <w:r w:rsidRPr="00043F83">
              <w:rPr>
                <w:rFonts w:eastAsia="Times New Roman"/>
                <w:lang w:eastAsia="lt-LT"/>
              </w:rPr>
              <w:t xml:space="preserve"> vnt. diskų.</w:t>
            </w:r>
            <w:r w:rsidR="002F5D80">
              <w:rPr>
                <w:rFonts w:eastAsia="Times New Roman"/>
                <w:lang w:eastAsia="lt-LT"/>
              </w:rPr>
              <w:t xml:space="preserve"> </w:t>
            </w:r>
          </w:p>
          <w:p w14:paraId="4CC61E24" w14:textId="64E5E555" w:rsidR="00DB0171" w:rsidRPr="00043F83" w:rsidRDefault="00DB0171" w:rsidP="004F54A9">
            <w:pPr>
              <w:spacing w:after="0" w:line="240" w:lineRule="auto"/>
              <w:contextualSpacing/>
              <w:jc w:val="both"/>
              <w:rPr>
                <w:rFonts w:eastAsia="Times New Roman"/>
                <w:lang w:eastAsia="lt-LT"/>
              </w:rPr>
            </w:pPr>
            <w:r>
              <w:rPr>
                <w:rFonts w:eastAsia="Times New Roman"/>
                <w:lang w:eastAsia="lt-LT"/>
              </w:rPr>
              <w:t xml:space="preserve">Gabaritai </w:t>
            </w:r>
            <w:r w:rsidR="00482493">
              <w:rPr>
                <w:rFonts w:eastAsia="Times New Roman"/>
                <w:lang w:eastAsia="lt-LT"/>
              </w:rPr>
              <w:t xml:space="preserve">ne didesni </w:t>
            </w:r>
            <w:r w:rsidR="00C40416">
              <w:rPr>
                <w:rFonts w:eastAsia="Times New Roman"/>
                <w:lang w:eastAsia="lt-LT"/>
              </w:rPr>
              <w:t>4</w:t>
            </w:r>
            <w:r w:rsidR="00E4587F">
              <w:rPr>
                <w:rFonts w:eastAsia="Times New Roman"/>
                <w:lang w:eastAsia="lt-LT"/>
              </w:rPr>
              <w:t>00</w:t>
            </w:r>
            <w:r w:rsidR="00522711">
              <w:rPr>
                <w:rFonts w:eastAsia="Times New Roman"/>
                <w:lang w:eastAsia="lt-LT"/>
              </w:rPr>
              <w:t>x200x500mm.</w:t>
            </w:r>
          </w:p>
          <w:p w14:paraId="5D506070" w14:textId="77777777" w:rsidR="004F54A9" w:rsidRPr="00043F83" w:rsidRDefault="004F54A9" w:rsidP="004F54A9">
            <w:pPr>
              <w:spacing w:after="0" w:line="240" w:lineRule="auto"/>
              <w:contextualSpacing/>
              <w:jc w:val="both"/>
              <w:rPr>
                <w:rFonts w:eastAsia="Times New Roman"/>
                <w:lang w:eastAsia="lt-LT"/>
              </w:rPr>
            </w:pPr>
          </w:p>
        </w:tc>
        <w:tc>
          <w:tcPr>
            <w:tcW w:w="2677" w:type="dxa"/>
          </w:tcPr>
          <w:p w14:paraId="6F90A0C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9216492" w14:textId="77777777" w:rsidTr="004F54A9">
        <w:tc>
          <w:tcPr>
            <w:tcW w:w="458" w:type="dxa"/>
            <w:shd w:val="clear" w:color="auto" w:fill="auto"/>
            <w:hideMark/>
          </w:tcPr>
          <w:p w14:paraId="2B80CFD9"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4.</w:t>
            </w:r>
          </w:p>
        </w:tc>
        <w:tc>
          <w:tcPr>
            <w:tcW w:w="1835" w:type="dxa"/>
            <w:shd w:val="clear" w:color="auto" w:fill="auto"/>
            <w:hideMark/>
          </w:tcPr>
          <w:p w14:paraId="07B291E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Procesorių skaičius</w:t>
            </w:r>
          </w:p>
        </w:tc>
        <w:tc>
          <w:tcPr>
            <w:tcW w:w="4658" w:type="dxa"/>
            <w:shd w:val="clear" w:color="auto" w:fill="auto"/>
            <w:hideMark/>
          </w:tcPr>
          <w:p w14:paraId="6893E4C4"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Ne mažiau 1 vnt.</w:t>
            </w:r>
          </w:p>
        </w:tc>
        <w:tc>
          <w:tcPr>
            <w:tcW w:w="2677" w:type="dxa"/>
          </w:tcPr>
          <w:p w14:paraId="0CBC269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E7D875B" w14:textId="77777777" w:rsidTr="004F54A9">
        <w:tc>
          <w:tcPr>
            <w:tcW w:w="458" w:type="dxa"/>
            <w:shd w:val="clear" w:color="auto" w:fill="auto"/>
            <w:hideMark/>
          </w:tcPr>
          <w:p w14:paraId="011BF63B"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5.</w:t>
            </w:r>
          </w:p>
        </w:tc>
        <w:tc>
          <w:tcPr>
            <w:tcW w:w="1835" w:type="dxa"/>
            <w:shd w:val="clear" w:color="auto" w:fill="auto"/>
            <w:hideMark/>
          </w:tcPr>
          <w:p w14:paraId="28C1E9F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Procesoriaus architektūra</w:t>
            </w:r>
          </w:p>
        </w:tc>
        <w:tc>
          <w:tcPr>
            <w:tcW w:w="4658" w:type="dxa"/>
            <w:shd w:val="clear" w:color="auto" w:fill="auto"/>
            <w:hideMark/>
          </w:tcPr>
          <w:p w14:paraId="50FD7944" w14:textId="25F90A6A"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x86 architektūros procesorius, palaikantis 64 bitų operacines sistemas ir taikomąsias programas, </w:t>
            </w:r>
            <w:proofErr w:type="spellStart"/>
            <w:r w:rsidRPr="00043F83">
              <w:rPr>
                <w:rFonts w:eastAsia="Times New Roman"/>
                <w:lang w:eastAsia="lt-LT"/>
              </w:rPr>
              <w:t>virtualizavimo</w:t>
            </w:r>
            <w:proofErr w:type="spellEnd"/>
            <w:r w:rsidRPr="00043F83">
              <w:rPr>
                <w:rFonts w:eastAsia="Times New Roman"/>
                <w:lang w:eastAsia="lt-LT"/>
              </w:rPr>
              <w:t xml:space="preserve"> instrukcijas aparatiniu lygmeniu.</w:t>
            </w:r>
          </w:p>
        </w:tc>
        <w:tc>
          <w:tcPr>
            <w:tcW w:w="2677" w:type="dxa"/>
          </w:tcPr>
          <w:p w14:paraId="27220098"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60224EDA" w14:textId="77777777" w:rsidTr="004F54A9">
        <w:tc>
          <w:tcPr>
            <w:tcW w:w="458" w:type="dxa"/>
            <w:shd w:val="clear" w:color="auto" w:fill="auto"/>
            <w:hideMark/>
          </w:tcPr>
          <w:p w14:paraId="10BE9A7C"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6.</w:t>
            </w:r>
          </w:p>
        </w:tc>
        <w:tc>
          <w:tcPr>
            <w:tcW w:w="1835" w:type="dxa"/>
            <w:shd w:val="clear" w:color="auto" w:fill="auto"/>
            <w:hideMark/>
          </w:tcPr>
          <w:p w14:paraId="7B393427"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Branduolių skaičius procesoriuje</w:t>
            </w:r>
          </w:p>
        </w:tc>
        <w:tc>
          <w:tcPr>
            <w:tcW w:w="4658" w:type="dxa"/>
            <w:shd w:val="clear" w:color="auto" w:fill="auto"/>
            <w:hideMark/>
          </w:tcPr>
          <w:p w14:paraId="5C92A358" w14:textId="00713B8B" w:rsidR="004F54A9" w:rsidRPr="00043F83" w:rsidRDefault="00DF7AC6" w:rsidP="004F54A9">
            <w:pPr>
              <w:spacing w:after="0" w:line="240" w:lineRule="auto"/>
              <w:contextualSpacing/>
              <w:jc w:val="both"/>
              <w:rPr>
                <w:rFonts w:eastAsia="Times New Roman"/>
                <w:lang w:eastAsia="lt-LT"/>
              </w:rPr>
            </w:pPr>
            <w:r>
              <w:rPr>
                <w:rFonts w:eastAsia="Times New Roman"/>
                <w:lang w:eastAsia="lt-LT"/>
              </w:rPr>
              <w:t>8</w:t>
            </w:r>
            <w:r w:rsidR="004F54A9" w:rsidRPr="00043F83">
              <w:rPr>
                <w:rFonts w:eastAsia="Times New Roman"/>
                <w:lang w:eastAsia="lt-LT"/>
              </w:rPr>
              <w:t>.</w:t>
            </w:r>
          </w:p>
        </w:tc>
        <w:tc>
          <w:tcPr>
            <w:tcW w:w="2677" w:type="dxa"/>
          </w:tcPr>
          <w:p w14:paraId="0091457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3BE4FAF0" w14:textId="77777777" w:rsidTr="004F54A9">
        <w:tc>
          <w:tcPr>
            <w:tcW w:w="458" w:type="dxa"/>
            <w:shd w:val="clear" w:color="auto" w:fill="auto"/>
            <w:hideMark/>
          </w:tcPr>
          <w:p w14:paraId="1F37E7A0"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7.</w:t>
            </w:r>
          </w:p>
        </w:tc>
        <w:tc>
          <w:tcPr>
            <w:tcW w:w="1835" w:type="dxa"/>
            <w:shd w:val="clear" w:color="auto" w:fill="auto"/>
            <w:hideMark/>
          </w:tcPr>
          <w:p w14:paraId="3EBDAFAE"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Procesorių našumo reikalavimai</w:t>
            </w:r>
          </w:p>
        </w:tc>
        <w:tc>
          <w:tcPr>
            <w:tcW w:w="4658" w:type="dxa"/>
            <w:shd w:val="clear" w:color="auto" w:fill="auto"/>
            <w:hideMark/>
          </w:tcPr>
          <w:p w14:paraId="0E0975CA"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Siūlomi procesoriai turi užtikrinti ne mažesnį kaip):</w:t>
            </w:r>
          </w:p>
          <w:p w14:paraId="1BF8761D" w14:textId="4DDCE8C8" w:rsidR="004F54A9" w:rsidRPr="00FD5EF8" w:rsidRDefault="004F54A9" w:rsidP="004F54A9">
            <w:pPr>
              <w:pStyle w:val="ListParagraph"/>
              <w:numPr>
                <w:ilvl w:val="0"/>
                <w:numId w:val="7"/>
              </w:numPr>
              <w:spacing w:after="0" w:line="240" w:lineRule="auto"/>
              <w:rPr>
                <w:rFonts w:ascii="Times New Roman" w:eastAsia="Times New Roman" w:hAnsi="Times New Roman" w:cs="Times New Roman"/>
                <w:lang w:eastAsia="lt-LT"/>
              </w:rPr>
            </w:pPr>
            <w:r w:rsidRPr="00ED107B">
              <w:rPr>
                <w:rFonts w:ascii="Times New Roman" w:eastAsia="Times New Roman" w:hAnsi="Times New Roman" w:cs="Times New Roman"/>
                <w:lang w:eastAsia="lt-LT"/>
              </w:rPr>
              <w:t>1</w:t>
            </w:r>
            <w:r w:rsidR="00A34D2E">
              <w:rPr>
                <w:rFonts w:ascii="Times New Roman" w:eastAsia="Times New Roman" w:hAnsi="Times New Roman" w:cs="Times New Roman"/>
                <w:lang w:eastAsia="lt-LT"/>
              </w:rPr>
              <w:t xml:space="preserve">00 </w:t>
            </w:r>
            <w:r w:rsidRPr="00FD5EF8">
              <w:rPr>
                <w:rFonts w:ascii="Times New Roman" w:eastAsia="Times New Roman" w:hAnsi="Times New Roman" w:cs="Times New Roman"/>
                <w:lang w:eastAsia="lt-LT"/>
              </w:rPr>
              <w:t xml:space="preserve">vienetų pagal </w:t>
            </w:r>
            <w:r w:rsidRPr="00FD5EF8">
              <w:rPr>
                <w:rFonts w:ascii="Times New Roman" w:eastAsia="Times New Roman" w:hAnsi="Times New Roman" w:cs="Times New Roman"/>
                <w:i/>
                <w:iCs/>
                <w:lang w:eastAsia="lt-LT"/>
              </w:rPr>
              <w:t>SPECint_rate_base2017</w:t>
            </w:r>
            <w:r w:rsidRPr="00FD5EF8">
              <w:rPr>
                <w:rFonts w:ascii="Times New Roman" w:eastAsia="Times New Roman" w:hAnsi="Times New Roman" w:cs="Times New Roman"/>
                <w:lang w:eastAsia="lt-LT"/>
              </w:rPr>
              <w:t xml:space="preserve"> testą našumą;</w:t>
            </w:r>
          </w:p>
          <w:p w14:paraId="25D80510" w14:textId="17A546A0" w:rsidR="004F54A9" w:rsidRPr="00FD5EF8" w:rsidRDefault="00A34D2E" w:rsidP="004F54A9">
            <w:pPr>
              <w:pStyle w:val="ListParagraph"/>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110</w:t>
            </w:r>
            <w:r w:rsidR="00B16CE5">
              <w:rPr>
                <w:rFonts w:ascii="Times New Roman" w:eastAsia="Times New Roman" w:hAnsi="Times New Roman" w:cs="Times New Roman"/>
                <w:lang w:eastAsia="lt-LT"/>
              </w:rPr>
              <w:t xml:space="preserve"> </w:t>
            </w:r>
            <w:r w:rsidR="004F54A9" w:rsidRPr="00FD5EF8">
              <w:rPr>
                <w:rFonts w:ascii="Times New Roman" w:eastAsia="Times New Roman" w:hAnsi="Times New Roman" w:cs="Times New Roman"/>
                <w:lang w:eastAsia="lt-LT"/>
              </w:rPr>
              <w:t xml:space="preserve">vienetų pagal </w:t>
            </w:r>
            <w:r w:rsidR="004F54A9" w:rsidRPr="00FD5EF8">
              <w:rPr>
                <w:rFonts w:ascii="Times New Roman" w:eastAsia="Times New Roman" w:hAnsi="Times New Roman" w:cs="Times New Roman"/>
                <w:i/>
                <w:iCs/>
                <w:lang w:eastAsia="lt-LT"/>
              </w:rPr>
              <w:t>SPECfp_rate_base2017</w:t>
            </w:r>
            <w:r w:rsidR="004F54A9" w:rsidRPr="00FD5EF8">
              <w:rPr>
                <w:rFonts w:ascii="Times New Roman" w:eastAsia="Times New Roman" w:hAnsi="Times New Roman" w:cs="Times New Roman"/>
                <w:lang w:eastAsia="lt-LT"/>
              </w:rPr>
              <w:t xml:space="preserve"> testą našumą.</w:t>
            </w:r>
          </w:p>
          <w:p w14:paraId="6B46F81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Rezultatai turi būti skelbiami adresu www.spec.org puslapyje ir pateikti pasiūlyme.</w:t>
            </w:r>
          </w:p>
          <w:p w14:paraId="1CA7D2C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Pateikiami našumo rezultatai turi būti išmatuoti siūlomoje tarnybinėje stotyje su siūlomu procesoriumi.</w:t>
            </w:r>
          </w:p>
          <w:p w14:paraId="6D4D3F0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procesoriaus gamintoją ir modelį.</w:t>
            </w:r>
          </w:p>
        </w:tc>
        <w:tc>
          <w:tcPr>
            <w:tcW w:w="2677" w:type="dxa"/>
          </w:tcPr>
          <w:p w14:paraId="4777041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A6F81F1" w14:textId="77777777" w:rsidTr="004F54A9">
        <w:tc>
          <w:tcPr>
            <w:tcW w:w="458" w:type="dxa"/>
            <w:shd w:val="clear" w:color="auto" w:fill="auto"/>
            <w:hideMark/>
          </w:tcPr>
          <w:p w14:paraId="5A7BAA71"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8.</w:t>
            </w:r>
          </w:p>
        </w:tc>
        <w:tc>
          <w:tcPr>
            <w:tcW w:w="1835" w:type="dxa"/>
            <w:shd w:val="clear" w:color="auto" w:fill="auto"/>
            <w:hideMark/>
          </w:tcPr>
          <w:p w14:paraId="5546A86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Operatyvioji atmintis</w:t>
            </w:r>
          </w:p>
        </w:tc>
        <w:tc>
          <w:tcPr>
            <w:tcW w:w="4658" w:type="dxa"/>
            <w:shd w:val="clear" w:color="auto" w:fill="auto"/>
            <w:hideMark/>
          </w:tcPr>
          <w:p w14:paraId="5F907094" w14:textId="77777777" w:rsidR="004F54A9"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blogiau kaip ECC DDR5-5600. </w:t>
            </w:r>
          </w:p>
          <w:p w14:paraId="12B7AB8C" w14:textId="7E971CCF" w:rsidR="00FA6406" w:rsidRPr="00043F83" w:rsidRDefault="00FA6406" w:rsidP="004F54A9">
            <w:pPr>
              <w:spacing w:after="0" w:line="240" w:lineRule="auto"/>
              <w:contextualSpacing/>
              <w:jc w:val="both"/>
              <w:rPr>
                <w:rFonts w:eastAsia="Times New Roman"/>
                <w:lang w:eastAsia="lt-LT"/>
              </w:rPr>
            </w:pPr>
          </w:p>
        </w:tc>
        <w:tc>
          <w:tcPr>
            <w:tcW w:w="2677" w:type="dxa"/>
          </w:tcPr>
          <w:p w14:paraId="2B3CE6D0" w14:textId="77777777" w:rsidR="004F54A9" w:rsidRPr="00043F83" w:rsidRDefault="004F54A9" w:rsidP="004F54A9">
            <w:pPr>
              <w:spacing w:after="0" w:line="240" w:lineRule="auto"/>
              <w:contextualSpacing/>
              <w:jc w:val="both"/>
              <w:rPr>
                <w:rFonts w:eastAsia="Times New Roman"/>
                <w:lang w:eastAsia="lt-LT"/>
              </w:rPr>
            </w:pPr>
          </w:p>
        </w:tc>
      </w:tr>
      <w:tr w:rsidR="004F54A9" w:rsidRPr="004F54A9" w14:paraId="098D35C1" w14:textId="77777777" w:rsidTr="004F54A9">
        <w:tc>
          <w:tcPr>
            <w:tcW w:w="458" w:type="dxa"/>
            <w:shd w:val="clear" w:color="auto" w:fill="auto"/>
            <w:hideMark/>
          </w:tcPr>
          <w:p w14:paraId="02D8E63A"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9.</w:t>
            </w:r>
          </w:p>
        </w:tc>
        <w:tc>
          <w:tcPr>
            <w:tcW w:w="1835" w:type="dxa"/>
            <w:shd w:val="clear" w:color="auto" w:fill="auto"/>
            <w:hideMark/>
          </w:tcPr>
          <w:p w14:paraId="5604F338"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Įdiegta operatyvioji atmintis</w:t>
            </w:r>
          </w:p>
        </w:tc>
        <w:tc>
          <w:tcPr>
            <w:tcW w:w="4658" w:type="dxa"/>
            <w:shd w:val="clear" w:color="auto" w:fill="auto"/>
            <w:hideMark/>
          </w:tcPr>
          <w:p w14:paraId="16F3955F" w14:textId="229D24D6"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w:t>
            </w:r>
            <w:r w:rsidR="00B2597E">
              <w:rPr>
                <w:rFonts w:eastAsia="Times New Roman"/>
                <w:lang w:eastAsia="lt-LT"/>
              </w:rPr>
              <w:t>64</w:t>
            </w:r>
            <w:r w:rsidRPr="00043F83">
              <w:rPr>
                <w:rFonts w:eastAsia="Times New Roman"/>
                <w:lang w:eastAsia="lt-LT"/>
              </w:rPr>
              <w:t xml:space="preserve"> GB.</w:t>
            </w:r>
          </w:p>
          <w:p w14:paraId="19B628D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Visi atminties moduliai turi būti vienodos talpos ir ne mažesni kaip 32GB</w:t>
            </w:r>
          </w:p>
        </w:tc>
        <w:tc>
          <w:tcPr>
            <w:tcW w:w="2677" w:type="dxa"/>
          </w:tcPr>
          <w:p w14:paraId="7C48A274" w14:textId="77777777" w:rsidR="004F54A9" w:rsidRPr="004F54A9" w:rsidRDefault="004F54A9" w:rsidP="004F54A9">
            <w:pPr>
              <w:spacing w:after="0" w:line="240" w:lineRule="auto"/>
              <w:contextualSpacing/>
              <w:jc w:val="both"/>
              <w:rPr>
                <w:rFonts w:eastAsia="Times New Roman"/>
                <w:lang w:val="pt-BR" w:eastAsia="lt-LT"/>
              </w:rPr>
            </w:pPr>
          </w:p>
        </w:tc>
      </w:tr>
      <w:tr w:rsidR="004F54A9" w:rsidRPr="00043F83" w14:paraId="6CBA29F2" w14:textId="77777777" w:rsidTr="004F54A9">
        <w:tc>
          <w:tcPr>
            <w:tcW w:w="458" w:type="dxa"/>
            <w:shd w:val="clear" w:color="auto" w:fill="auto"/>
            <w:hideMark/>
          </w:tcPr>
          <w:p w14:paraId="0953D91A"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10.</w:t>
            </w:r>
          </w:p>
        </w:tc>
        <w:tc>
          <w:tcPr>
            <w:tcW w:w="1835" w:type="dxa"/>
            <w:shd w:val="clear" w:color="auto" w:fill="auto"/>
            <w:hideMark/>
          </w:tcPr>
          <w:p w14:paraId="70BC5F75"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Operatyvinės atminties lizdų skaičius</w:t>
            </w:r>
          </w:p>
        </w:tc>
        <w:tc>
          <w:tcPr>
            <w:tcW w:w="4658" w:type="dxa"/>
            <w:shd w:val="clear" w:color="auto" w:fill="auto"/>
            <w:hideMark/>
          </w:tcPr>
          <w:p w14:paraId="05A7015F" w14:textId="6A9C19F1"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kaip </w:t>
            </w:r>
            <w:r w:rsidR="00BA79B8">
              <w:rPr>
                <w:rFonts w:eastAsia="Times New Roman"/>
                <w:lang w:eastAsia="lt-LT"/>
              </w:rPr>
              <w:t>4</w:t>
            </w:r>
            <w:r w:rsidRPr="00043F83">
              <w:rPr>
                <w:rFonts w:eastAsia="Times New Roman"/>
                <w:lang w:eastAsia="lt-LT"/>
              </w:rPr>
              <w:t xml:space="preserve"> vnt.</w:t>
            </w:r>
            <w:r w:rsidR="00BA79B8">
              <w:rPr>
                <w:rFonts w:eastAsia="Times New Roman"/>
                <w:lang w:eastAsia="lt-LT"/>
              </w:rPr>
              <w:t xml:space="preserve"> </w:t>
            </w:r>
          </w:p>
        </w:tc>
        <w:tc>
          <w:tcPr>
            <w:tcW w:w="2677" w:type="dxa"/>
          </w:tcPr>
          <w:p w14:paraId="72EC4258"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1707327" w14:textId="77777777" w:rsidTr="004F54A9">
        <w:tc>
          <w:tcPr>
            <w:tcW w:w="458" w:type="dxa"/>
            <w:shd w:val="clear" w:color="auto" w:fill="auto"/>
            <w:hideMark/>
          </w:tcPr>
          <w:p w14:paraId="3CE80C0B"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11.</w:t>
            </w:r>
          </w:p>
        </w:tc>
        <w:tc>
          <w:tcPr>
            <w:tcW w:w="1835" w:type="dxa"/>
            <w:shd w:val="clear" w:color="auto" w:fill="auto"/>
            <w:hideMark/>
          </w:tcPr>
          <w:p w14:paraId="2D22E7D3"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 xml:space="preserve">Diskų adapteris </w:t>
            </w:r>
          </w:p>
        </w:tc>
        <w:tc>
          <w:tcPr>
            <w:tcW w:w="4658" w:type="dxa"/>
            <w:shd w:val="clear" w:color="auto" w:fill="auto"/>
            <w:hideMark/>
          </w:tcPr>
          <w:p w14:paraId="2F245DB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Vidinis ne prastesnis nei 12 </w:t>
            </w:r>
            <w:proofErr w:type="spellStart"/>
            <w:r w:rsidRPr="00043F83">
              <w:rPr>
                <w:rFonts w:eastAsia="Times New Roman"/>
                <w:lang w:eastAsia="lt-LT"/>
              </w:rPr>
              <w:t>Gb</w:t>
            </w:r>
            <w:proofErr w:type="spellEnd"/>
            <w:r w:rsidRPr="00043F83">
              <w:rPr>
                <w:rFonts w:eastAsia="Times New Roman"/>
                <w:lang w:eastAsia="lt-LT"/>
              </w:rPr>
              <w:t xml:space="preserve">/s </w:t>
            </w:r>
            <w:proofErr w:type="spellStart"/>
            <w:r w:rsidRPr="00043F83">
              <w:rPr>
                <w:rFonts w:eastAsia="Times New Roman"/>
                <w:i/>
                <w:iCs/>
                <w:lang w:eastAsia="lt-LT"/>
              </w:rPr>
              <w:t>Serial-Attached</w:t>
            </w:r>
            <w:proofErr w:type="spellEnd"/>
            <w:r w:rsidRPr="00043F83">
              <w:rPr>
                <w:rFonts w:eastAsia="Times New Roman"/>
                <w:i/>
                <w:iCs/>
                <w:lang w:eastAsia="lt-LT"/>
              </w:rPr>
              <w:t xml:space="preserve"> SCSI</w:t>
            </w:r>
            <w:r w:rsidRPr="00043F83">
              <w:rPr>
                <w:rFonts w:eastAsia="Times New Roman"/>
                <w:lang w:eastAsia="lt-LT"/>
              </w:rPr>
              <w:t xml:space="preserve"> (SAS) diskų adapteris.</w:t>
            </w:r>
          </w:p>
          <w:p w14:paraId="212C546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Palaikantis RAID </w:t>
            </w:r>
            <w:r w:rsidRPr="00043F83">
              <w:t xml:space="preserve"> </w:t>
            </w:r>
            <w:r w:rsidRPr="00043F83">
              <w:rPr>
                <w:rFonts w:eastAsia="Times New Roman"/>
                <w:lang w:eastAsia="lt-LT"/>
              </w:rPr>
              <w:t>0, 1, 10.</w:t>
            </w:r>
          </w:p>
          <w:p w14:paraId="3CAED73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Valdiklis turi turėti galimybę dirbti HBA ir RAID režimu vienu metu.</w:t>
            </w:r>
          </w:p>
        </w:tc>
        <w:tc>
          <w:tcPr>
            <w:tcW w:w="2677" w:type="dxa"/>
          </w:tcPr>
          <w:p w14:paraId="1A837D73"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175EEE0C" w14:textId="77777777" w:rsidTr="004F54A9">
        <w:tc>
          <w:tcPr>
            <w:tcW w:w="458" w:type="dxa"/>
            <w:shd w:val="clear" w:color="auto" w:fill="auto"/>
            <w:hideMark/>
          </w:tcPr>
          <w:p w14:paraId="11FE78DC"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12.</w:t>
            </w:r>
          </w:p>
        </w:tc>
        <w:tc>
          <w:tcPr>
            <w:tcW w:w="1835" w:type="dxa"/>
            <w:shd w:val="clear" w:color="auto" w:fill="auto"/>
            <w:hideMark/>
          </w:tcPr>
          <w:p w14:paraId="6A6F53A8"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Diskai</w:t>
            </w:r>
          </w:p>
        </w:tc>
        <w:tc>
          <w:tcPr>
            <w:tcW w:w="4658" w:type="dxa"/>
            <w:shd w:val="clear" w:color="auto" w:fill="auto"/>
            <w:hideMark/>
          </w:tcPr>
          <w:p w14:paraId="4CBC883C" w14:textId="203B13A8" w:rsidR="004F54A9" w:rsidRPr="00FD5EF8" w:rsidRDefault="004F54A9" w:rsidP="004F54A9">
            <w:pPr>
              <w:pStyle w:val="ListParagraph"/>
              <w:numPr>
                <w:ilvl w:val="0"/>
                <w:numId w:val="5"/>
              </w:numPr>
              <w:spacing w:after="0" w:line="240" w:lineRule="auto"/>
              <w:ind w:left="360"/>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ne mažiau </w:t>
            </w:r>
            <w:r w:rsidR="00D012CD">
              <w:rPr>
                <w:rFonts w:ascii="Times New Roman" w:eastAsia="Times New Roman" w:hAnsi="Times New Roman" w:cs="Times New Roman"/>
                <w:lang w:eastAsia="lt-LT"/>
              </w:rPr>
              <w:t>4</w:t>
            </w:r>
            <w:r w:rsidRPr="00FD5EF8">
              <w:rPr>
                <w:rFonts w:ascii="Times New Roman" w:eastAsia="Times New Roman" w:hAnsi="Times New Roman" w:cs="Times New Roman"/>
                <w:lang w:eastAsia="lt-LT"/>
              </w:rPr>
              <w:t xml:space="preserve"> x </w:t>
            </w:r>
            <w:r w:rsidR="002B5C08">
              <w:rPr>
                <w:rFonts w:ascii="Times New Roman" w:eastAsia="Times New Roman" w:hAnsi="Times New Roman" w:cs="Times New Roman"/>
                <w:lang w:eastAsia="lt-LT"/>
              </w:rPr>
              <w:t xml:space="preserve">ne mažiau </w:t>
            </w:r>
            <w:r w:rsidRPr="00FD5EF8">
              <w:rPr>
                <w:rFonts w:ascii="Times New Roman" w:eastAsia="Times New Roman" w:hAnsi="Times New Roman" w:cs="Times New Roman"/>
                <w:lang w:eastAsia="lt-LT"/>
              </w:rPr>
              <w:t>1,9TB talpos 2.5“ SSD keičiami darbo metu (</w:t>
            </w:r>
            <w:proofErr w:type="spellStart"/>
            <w:r w:rsidRPr="00FD5EF8">
              <w:rPr>
                <w:rFonts w:ascii="Times New Roman" w:eastAsia="Times New Roman" w:hAnsi="Times New Roman" w:cs="Times New Roman"/>
                <w:lang w:eastAsia="lt-LT"/>
              </w:rPr>
              <w:t>ang</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hot</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swap</w:t>
            </w:r>
            <w:proofErr w:type="spellEnd"/>
            <w:r w:rsidRPr="00FD5EF8">
              <w:rPr>
                <w:rFonts w:ascii="Times New Roman" w:eastAsia="Times New Roman" w:hAnsi="Times New Roman" w:cs="Times New Roman"/>
                <w:lang w:eastAsia="lt-LT"/>
              </w:rPr>
              <w:t>);</w:t>
            </w:r>
          </w:p>
        </w:tc>
        <w:tc>
          <w:tcPr>
            <w:tcW w:w="2677" w:type="dxa"/>
          </w:tcPr>
          <w:p w14:paraId="77C33897"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3A920A5" w14:textId="77777777" w:rsidTr="004F54A9">
        <w:tc>
          <w:tcPr>
            <w:tcW w:w="458" w:type="dxa"/>
            <w:shd w:val="clear" w:color="auto" w:fill="auto"/>
            <w:hideMark/>
          </w:tcPr>
          <w:p w14:paraId="2FDEF922"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13.</w:t>
            </w:r>
          </w:p>
        </w:tc>
        <w:tc>
          <w:tcPr>
            <w:tcW w:w="1835" w:type="dxa"/>
            <w:shd w:val="clear" w:color="auto" w:fill="auto"/>
            <w:hideMark/>
          </w:tcPr>
          <w:p w14:paraId="18085EB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Tinklo sąsajos</w:t>
            </w:r>
          </w:p>
        </w:tc>
        <w:tc>
          <w:tcPr>
            <w:tcW w:w="4658" w:type="dxa"/>
            <w:shd w:val="clear" w:color="auto" w:fill="auto"/>
          </w:tcPr>
          <w:p w14:paraId="1426C317"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 xml:space="preserve">Ne mažiau kaip 2 vnt. 1G Base-T </w:t>
            </w:r>
            <w:proofErr w:type="spellStart"/>
            <w:r w:rsidRPr="00043F83">
              <w:rPr>
                <w:rFonts w:eastAsia="Times New Roman"/>
                <w:lang w:eastAsia="lt-LT"/>
              </w:rPr>
              <w:t>Ethernet</w:t>
            </w:r>
            <w:proofErr w:type="spellEnd"/>
            <w:r w:rsidRPr="00043F83">
              <w:rPr>
                <w:rFonts w:eastAsia="Times New Roman"/>
                <w:lang w:eastAsia="lt-LT"/>
              </w:rPr>
              <w:t xml:space="preserve"> prievadai.</w:t>
            </w:r>
          </w:p>
        </w:tc>
        <w:tc>
          <w:tcPr>
            <w:tcW w:w="2677" w:type="dxa"/>
          </w:tcPr>
          <w:p w14:paraId="2E1701B4"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A2C2B95" w14:textId="77777777" w:rsidTr="004F54A9">
        <w:tc>
          <w:tcPr>
            <w:tcW w:w="458" w:type="dxa"/>
            <w:shd w:val="clear" w:color="auto" w:fill="auto"/>
            <w:hideMark/>
          </w:tcPr>
          <w:p w14:paraId="4A563401"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14.</w:t>
            </w:r>
          </w:p>
        </w:tc>
        <w:tc>
          <w:tcPr>
            <w:tcW w:w="1835" w:type="dxa"/>
            <w:shd w:val="clear" w:color="auto" w:fill="auto"/>
            <w:hideMark/>
          </w:tcPr>
          <w:p w14:paraId="6815F0F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Išorinės ir vidinės įvedimo / išvedimo jungtys</w:t>
            </w:r>
          </w:p>
        </w:tc>
        <w:tc>
          <w:tcPr>
            <w:tcW w:w="4658" w:type="dxa"/>
            <w:shd w:val="clear" w:color="auto" w:fill="auto"/>
            <w:hideMark/>
          </w:tcPr>
          <w:p w14:paraId="2CC91A94"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ne mažiau kaip 4 USB 3.2 (iš jų ne mažiau nei 1 vnt. turi būti priekyje ir ne mažiau kaip 1 vnt. turi būti viduje);</w:t>
            </w:r>
          </w:p>
          <w:p w14:paraId="3A0D6F1E"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1 vnt. 1Gb sąsaja, dedikuota nuotoliniam valdymui, turi būti gale;</w:t>
            </w:r>
          </w:p>
          <w:p w14:paraId="306C9316" w14:textId="77777777" w:rsidR="004F54A9" w:rsidRPr="00FD5EF8" w:rsidRDefault="004F54A9" w:rsidP="004F54A9">
            <w:pPr>
              <w:pStyle w:val="ListParagraph"/>
              <w:numPr>
                <w:ilvl w:val="0"/>
                <w:numId w:val="4"/>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1 vnt. USB sąsaja, dedikuota nuotoliniam valdymui, turi būti priekyje;</w:t>
            </w:r>
          </w:p>
          <w:p w14:paraId="50538DE1" w14:textId="77777777" w:rsidR="004F54A9" w:rsidRPr="00FD5EF8" w:rsidRDefault="004F54A9" w:rsidP="004F54A9">
            <w:pPr>
              <w:pStyle w:val="ListParagraph"/>
              <w:numPr>
                <w:ilvl w:val="0"/>
                <w:numId w:val="3"/>
              </w:numPr>
              <w:spacing w:after="0" w:line="240" w:lineRule="auto"/>
              <w:ind w:left="360"/>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- 1 prievadas monitoriui.</w:t>
            </w:r>
          </w:p>
        </w:tc>
        <w:tc>
          <w:tcPr>
            <w:tcW w:w="2677" w:type="dxa"/>
          </w:tcPr>
          <w:p w14:paraId="3076D73E"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49E254B1" w14:textId="77777777" w:rsidTr="004F54A9">
        <w:tc>
          <w:tcPr>
            <w:tcW w:w="458" w:type="dxa"/>
            <w:shd w:val="clear" w:color="auto" w:fill="auto"/>
            <w:hideMark/>
          </w:tcPr>
          <w:p w14:paraId="6B90C699"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16.</w:t>
            </w:r>
          </w:p>
        </w:tc>
        <w:tc>
          <w:tcPr>
            <w:tcW w:w="1835" w:type="dxa"/>
            <w:shd w:val="clear" w:color="auto" w:fill="auto"/>
            <w:hideMark/>
          </w:tcPr>
          <w:p w14:paraId="2C1FC2C3" w14:textId="77777777" w:rsidR="004F54A9" w:rsidRPr="00043F83" w:rsidRDefault="004F54A9" w:rsidP="004F54A9">
            <w:pPr>
              <w:spacing w:after="0" w:line="240" w:lineRule="auto"/>
              <w:contextualSpacing/>
              <w:rPr>
                <w:rFonts w:eastAsia="Times New Roman"/>
                <w:lang w:eastAsia="lt-LT"/>
              </w:rPr>
            </w:pPr>
            <w:proofErr w:type="spellStart"/>
            <w:r w:rsidRPr="00043F83">
              <w:rPr>
                <w:rFonts w:eastAsia="Times New Roman"/>
                <w:lang w:eastAsia="lt-LT"/>
              </w:rPr>
              <w:t>Video</w:t>
            </w:r>
            <w:proofErr w:type="spellEnd"/>
            <w:r w:rsidRPr="00043F83">
              <w:rPr>
                <w:rFonts w:eastAsia="Times New Roman"/>
                <w:lang w:eastAsia="lt-LT"/>
              </w:rPr>
              <w:t xml:space="preserve"> adapteris</w:t>
            </w:r>
          </w:p>
        </w:tc>
        <w:tc>
          <w:tcPr>
            <w:tcW w:w="4658" w:type="dxa"/>
            <w:shd w:val="clear" w:color="auto" w:fill="auto"/>
            <w:hideMark/>
          </w:tcPr>
          <w:p w14:paraId="597F6AF6"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Integruotas</w:t>
            </w:r>
          </w:p>
        </w:tc>
        <w:tc>
          <w:tcPr>
            <w:tcW w:w="2677" w:type="dxa"/>
          </w:tcPr>
          <w:p w14:paraId="08373B1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142725B" w14:textId="77777777" w:rsidTr="004F54A9">
        <w:tc>
          <w:tcPr>
            <w:tcW w:w="458" w:type="dxa"/>
            <w:shd w:val="clear" w:color="auto" w:fill="auto"/>
            <w:hideMark/>
          </w:tcPr>
          <w:p w14:paraId="0AD7EFC2"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17.</w:t>
            </w:r>
          </w:p>
        </w:tc>
        <w:tc>
          <w:tcPr>
            <w:tcW w:w="1835" w:type="dxa"/>
            <w:shd w:val="clear" w:color="auto" w:fill="auto"/>
            <w:hideMark/>
          </w:tcPr>
          <w:p w14:paraId="191596B5"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Išplėtimo galimybės</w:t>
            </w:r>
          </w:p>
        </w:tc>
        <w:tc>
          <w:tcPr>
            <w:tcW w:w="4658" w:type="dxa"/>
            <w:shd w:val="clear" w:color="auto" w:fill="auto"/>
            <w:hideMark/>
          </w:tcPr>
          <w:p w14:paraId="6C435E3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ne mažiau kaip 2 PCI-e 5.0 pilno aukščio.</w:t>
            </w:r>
          </w:p>
        </w:tc>
        <w:tc>
          <w:tcPr>
            <w:tcW w:w="2677" w:type="dxa"/>
          </w:tcPr>
          <w:p w14:paraId="6F815FBB"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044EDBB6" w14:textId="77777777" w:rsidTr="004F54A9">
        <w:tc>
          <w:tcPr>
            <w:tcW w:w="458" w:type="dxa"/>
            <w:shd w:val="clear" w:color="auto" w:fill="auto"/>
            <w:hideMark/>
          </w:tcPr>
          <w:p w14:paraId="7D29FCC6"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18.</w:t>
            </w:r>
          </w:p>
        </w:tc>
        <w:tc>
          <w:tcPr>
            <w:tcW w:w="1835" w:type="dxa"/>
            <w:shd w:val="clear" w:color="auto" w:fill="auto"/>
            <w:hideMark/>
          </w:tcPr>
          <w:p w14:paraId="4ED33176"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Maitinimo šaltinis</w:t>
            </w:r>
          </w:p>
        </w:tc>
        <w:tc>
          <w:tcPr>
            <w:tcW w:w="4658" w:type="dxa"/>
            <w:shd w:val="clear" w:color="auto" w:fill="auto"/>
            <w:hideMark/>
          </w:tcPr>
          <w:p w14:paraId="171D6DB0"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Ne mažiau kaip du, ne didesnio kaip 1000W galingumo ir ne mažesnio kaip 96% efektyvumo, dubliuojantys vienas kitą maitinimo šaltiniai, keičiami darbo metu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hot</w:t>
            </w:r>
            <w:proofErr w:type="spellEnd"/>
            <w:r w:rsidRPr="00043F83">
              <w:rPr>
                <w:rFonts w:eastAsia="Times New Roman"/>
                <w:i/>
                <w:iCs/>
                <w:lang w:eastAsia="lt-LT"/>
              </w:rPr>
              <w:t xml:space="preserve"> </w:t>
            </w:r>
            <w:proofErr w:type="spellStart"/>
            <w:r w:rsidRPr="00043F83">
              <w:rPr>
                <w:rFonts w:eastAsia="Times New Roman"/>
                <w:i/>
                <w:iCs/>
                <w:lang w:eastAsia="lt-LT"/>
              </w:rPr>
              <w:t>plug</w:t>
            </w:r>
            <w:proofErr w:type="spellEnd"/>
            <w:r w:rsidRPr="00043F83">
              <w:rPr>
                <w:rFonts w:eastAsia="Times New Roman"/>
                <w:lang w:eastAsia="lt-LT"/>
              </w:rPr>
              <w:t xml:space="preserve">). </w:t>
            </w:r>
          </w:p>
          <w:p w14:paraId="5F05A90A"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Tarnybinės stoties maitinimo šaltinio galingumas turi būti pakankamas užtikrinti tarnybinės stoties darbingumą nemažinant greitaveikos net ir sutrikus vieno iš šaltinių veiklai.</w:t>
            </w:r>
          </w:p>
          <w:p w14:paraId="7732D5F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Pritaikyti maitinti iš 230 V 50Hz kintamos srovės elektros tinklo.</w:t>
            </w:r>
          </w:p>
          <w:p w14:paraId="74489105"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Nurodyti maitinimo šaltinių galią.</w:t>
            </w:r>
          </w:p>
        </w:tc>
        <w:tc>
          <w:tcPr>
            <w:tcW w:w="2677" w:type="dxa"/>
          </w:tcPr>
          <w:p w14:paraId="1EF0508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49DBB57" w14:textId="77777777" w:rsidTr="004F54A9">
        <w:tc>
          <w:tcPr>
            <w:tcW w:w="458" w:type="dxa"/>
            <w:shd w:val="clear" w:color="auto" w:fill="auto"/>
            <w:hideMark/>
          </w:tcPr>
          <w:p w14:paraId="604F8837"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19.</w:t>
            </w:r>
          </w:p>
        </w:tc>
        <w:tc>
          <w:tcPr>
            <w:tcW w:w="1835" w:type="dxa"/>
            <w:shd w:val="clear" w:color="auto" w:fill="auto"/>
            <w:hideMark/>
          </w:tcPr>
          <w:p w14:paraId="6629A18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Aušinimas</w:t>
            </w:r>
          </w:p>
        </w:tc>
        <w:tc>
          <w:tcPr>
            <w:tcW w:w="4658" w:type="dxa"/>
            <w:shd w:val="clear" w:color="auto" w:fill="auto"/>
            <w:hideMark/>
          </w:tcPr>
          <w:p w14:paraId="6626F2C3"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Dubliuotų ventiliatorių sistema (N+1).</w:t>
            </w:r>
          </w:p>
          <w:p w14:paraId="7F3C158D"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Keičiami darbo metu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hot</w:t>
            </w:r>
            <w:proofErr w:type="spellEnd"/>
            <w:r w:rsidRPr="00043F83">
              <w:rPr>
                <w:rFonts w:eastAsia="Times New Roman"/>
                <w:i/>
                <w:iCs/>
                <w:lang w:eastAsia="lt-LT"/>
              </w:rPr>
              <w:t xml:space="preserve"> </w:t>
            </w:r>
            <w:proofErr w:type="spellStart"/>
            <w:r w:rsidRPr="00043F83">
              <w:rPr>
                <w:rFonts w:eastAsia="Times New Roman"/>
                <w:i/>
                <w:iCs/>
                <w:lang w:eastAsia="lt-LT"/>
              </w:rPr>
              <w:t>swap</w:t>
            </w:r>
            <w:proofErr w:type="spellEnd"/>
            <w:r w:rsidRPr="00043F83">
              <w:rPr>
                <w:rFonts w:eastAsia="Times New Roman"/>
                <w:lang w:eastAsia="lt-LT"/>
              </w:rPr>
              <w:t>).</w:t>
            </w:r>
          </w:p>
        </w:tc>
        <w:tc>
          <w:tcPr>
            <w:tcW w:w="2677" w:type="dxa"/>
          </w:tcPr>
          <w:p w14:paraId="3F13C5F2"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989C5C0" w14:textId="77777777" w:rsidTr="004F54A9">
        <w:tc>
          <w:tcPr>
            <w:tcW w:w="458" w:type="dxa"/>
            <w:shd w:val="clear" w:color="auto" w:fill="auto"/>
            <w:hideMark/>
          </w:tcPr>
          <w:p w14:paraId="6228DE0E"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20.</w:t>
            </w:r>
          </w:p>
        </w:tc>
        <w:tc>
          <w:tcPr>
            <w:tcW w:w="1835" w:type="dxa"/>
            <w:shd w:val="clear" w:color="auto" w:fill="auto"/>
            <w:hideMark/>
          </w:tcPr>
          <w:p w14:paraId="54DBBD3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Nuotolinio valdymo adapteris</w:t>
            </w:r>
          </w:p>
        </w:tc>
        <w:tc>
          <w:tcPr>
            <w:tcW w:w="4658" w:type="dxa"/>
            <w:shd w:val="clear" w:color="auto" w:fill="auto"/>
            <w:hideMark/>
          </w:tcPr>
          <w:p w14:paraId="0CF5CF2E"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Nepriklausomas nuo operacinės sistemos, veikiantis be agentų.</w:t>
            </w:r>
          </w:p>
          <w:p w14:paraId="4D19CB09"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 xml:space="preserve">Turi būti: </w:t>
            </w:r>
          </w:p>
          <w:p w14:paraId="718F025E"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Tarnybinės stoties nutolęs valdymas per WEB naršyklę;</w:t>
            </w:r>
          </w:p>
          <w:p w14:paraId="165AB1C8"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Tekstinė ir grafinė konsolės;</w:t>
            </w:r>
          </w:p>
          <w:p w14:paraId="3063133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3E4B204"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Virtualus CD - ROM ir KVM palaikymas;</w:t>
            </w:r>
          </w:p>
          <w:p w14:paraId="578E348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Kerberos</w:t>
            </w:r>
            <w:proofErr w:type="spellEnd"/>
            <w:r w:rsidRPr="00FD5EF8">
              <w:rPr>
                <w:rFonts w:ascii="Times New Roman" w:eastAsia="Times New Roman" w:hAnsi="Times New Roman" w:cs="Times New Roman"/>
                <w:lang w:eastAsia="lt-LT"/>
              </w:rPr>
              <w:t xml:space="preserve"> saugumo protokolo palaikymas;</w:t>
            </w:r>
          </w:p>
          <w:p w14:paraId="0581AFD5"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MS </w:t>
            </w:r>
            <w:proofErr w:type="spellStart"/>
            <w:r w:rsidRPr="00FD5EF8">
              <w:rPr>
                <w:rFonts w:ascii="Times New Roman" w:eastAsia="Times New Roman" w:hAnsi="Times New Roman" w:cs="Times New Roman"/>
                <w:lang w:eastAsia="lt-LT"/>
              </w:rPr>
              <w:t>Active</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Directory</w:t>
            </w:r>
            <w:proofErr w:type="spellEnd"/>
            <w:r w:rsidRPr="00FD5EF8">
              <w:rPr>
                <w:rFonts w:ascii="Times New Roman" w:eastAsia="Times New Roman" w:hAnsi="Times New Roman" w:cs="Times New Roman"/>
                <w:lang w:eastAsia="lt-LT"/>
              </w:rPr>
              <w:t xml:space="preserve"> palaikymas;</w:t>
            </w:r>
          </w:p>
          <w:p w14:paraId="5B4325DD"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Nuotolinis tarnybinės stoties įjungimas/išjungimas;</w:t>
            </w:r>
          </w:p>
          <w:p w14:paraId="3A1084EC"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Galimybė prisijungi ne mažiau kaip 15 nutolusių vartotojų vienu metu ir dalintis konsolės seansu;</w:t>
            </w:r>
          </w:p>
          <w:p w14:paraId="26C83252"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Aparatinės dalies temperatūros, CPU, operatyvinės atminties, vidinių diskų būklės stebėjimas ir automatinis SNMP pranešimų siuntimas administratoriui ir gamintojo servisui.</w:t>
            </w:r>
          </w:p>
          <w:p w14:paraId="693F2C6F"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turi būti užtikrinama  nuotolinio valdymo raktų apsauga nuo </w:t>
            </w:r>
            <w:proofErr w:type="spellStart"/>
            <w:r w:rsidRPr="00FD5EF8">
              <w:rPr>
                <w:rFonts w:ascii="Times New Roman" w:eastAsia="Times New Roman" w:hAnsi="Times New Roman" w:cs="Times New Roman"/>
                <w:lang w:eastAsia="lt-LT"/>
              </w:rPr>
              <w:t>priegos</w:t>
            </w:r>
            <w:proofErr w:type="spellEnd"/>
            <w:r w:rsidRPr="00FD5EF8">
              <w:rPr>
                <w:rFonts w:ascii="Times New Roman" w:eastAsia="Times New Roman" w:hAnsi="Times New Roman" w:cs="Times New Roman"/>
                <w:lang w:eastAsia="lt-LT"/>
              </w:rPr>
              <w:t xml:space="preserve"> per PCI magistralę </w:t>
            </w:r>
          </w:p>
          <w:p w14:paraId="37988474"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apsauga nuo nuotolinio valdymo adapterio perprogramavimo atakų (</w:t>
            </w:r>
            <w:proofErr w:type="spellStart"/>
            <w:r w:rsidRPr="00FD5EF8">
              <w:rPr>
                <w:rFonts w:ascii="Times New Roman" w:eastAsia="Times New Roman" w:hAnsi="Times New Roman" w:cs="Times New Roman"/>
                <w:lang w:eastAsia="lt-LT"/>
              </w:rPr>
              <w:t>t.y</w:t>
            </w:r>
            <w:proofErr w:type="spellEnd"/>
            <w:r w:rsidRPr="00FD5EF8">
              <w:rPr>
                <w:rFonts w:ascii="Times New Roman" w:eastAsia="Times New Roman" w:hAnsi="Times New Roman" w:cs="Times New Roman"/>
                <w:lang w:eastAsia="lt-LT"/>
              </w:rPr>
              <w:t xml:space="preserve">. ribojamas sėkmingų tiek nesėkmingu perprogramavimo bandymų 24 valandų </w:t>
            </w:r>
            <w:proofErr w:type="spellStart"/>
            <w:r w:rsidRPr="00FD5EF8">
              <w:rPr>
                <w:rFonts w:ascii="Times New Roman" w:eastAsia="Times New Roman" w:hAnsi="Times New Roman" w:cs="Times New Roman"/>
                <w:lang w:eastAsia="lt-LT"/>
              </w:rPr>
              <w:t>laikogtarpyje</w:t>
            </w:r>
            <w:proofErr w:type="spellEnd"/>
            <w:r w:rsidRPr="00FD5EF8">
              <w:rPr>
                <w:rFonts w:ascii="Times New Roman" w:eastAsia="Times New Roman" w:hAnsi="Times New Roman" w:cs="Times New Roman"/>
                <w:lang w:eastAsia="lt-LT"/>
              </w:rPr>
              <w:t>)</w:t>
            </w:r>
          </w:p>
          <w:p w14:paraId="711E1FB8" w14:textId="77777777" w:rsidR="004F54A9" w:rsidRPr="00FD5EF8" w:rsidRDefault="004F54A9" w:rsidP="004F54A9">
            <w:pPr>
              <w:pStyle w:val="ListParagraph"/>
              <w:numPr>
                <w:ilvl w:val="0"/>
                <w:numId w:val="2"/>
              </w:numPr>
              <w:spacing w:after="0" w:line="240" w:lineRule="auto"/>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 nuotolinio valdymo adapteris privalo </w:t>
            </w:r>
            <w:proofErr w:type="spellStart"/>
            <w:r w:rsidRPr="00FD5EF8">
              <w:rPr>
                <w:rFonts w:ascii="Times New Roman" w:eastAsia="Times New Roman" w:hAnsi="Times New Roman" w:cs="Times New Roman"/>
                <w:lang w:eastAsia="lt-LT"/>
              </w:rPr>
              <w:t>stebebėti</w:t>
            </w:r>
            <w:proofErr w:type="spellEnd"/>
            <w:r w:rsidRPr="00FD5EF8">
              <w:rPr>
                <w:rFonts w:ascii="Times New Roman" w:eastAsia="Times New Roman" w:hAnsi="Times New Roman" w:cs="Times New Roman"/>
                <w:lang w:eastAsia="lt-LT"/>
              </w:rPr>
              <w:t xml:space="preserve"> tarnybinės stoties komponenčių apkrovos parametrus ir rekomenduoti BIOS parametrų nustatymus optimaliausiam tarnybines stoties darbui arba maksimaliam našumui.</w:t>
            </w:r>
          </w:p>
        </w:tc>
        <w:tc>
          <w:tcPr>
            <w:tcW w:w="2677" w:type="dxa"/>
          </w:tcPr>
          <w:p w14:paraId="2BB3BDEC"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A10D20D" w14:textId="77777777" w:rsidTr="004F54A9">
        <w:tc>
          <w:tcPr>
            <w:tcW w:w="458" w:type="dxa"/>
            <w:shd w:val="clear" w:color="auto" w:fill="auto"/>
            <w:hideMark/>
          </w:tcPr>
          <w:p w14:paraId="25742760"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22.</w:t>
            </w:r>
          </w:p>
        </w:tc>
        <w:tc>
          <w:tcPr>
            <w:tcW w:w="1835" w:type="dxa"/>
            <w:shd w:val="clear" w:color="auto" w:fill="auto"/>
            <w:hideMark/>
          </w:tcPr>
          <w:p w14:paraId="7417526E"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Gamintojo valdymo ir administravimo programinė įranga</w:t>
            </w:r>
          </w:p>
        </w:tc>
        <w:tc>
          <w:tcPr>
            <w:tcW w:w="4658" w:type="dxa"/>
            <w:shd w:val="clear" w:color="auto" w:fill="auto"/>
            <w:hideMark/>
          </w:tcPr>
          <w:p w14:paraId="3DC24DE2" w14:textId="77777777" w:rsidR="004F54A9" w:rsidRPr="00043F83" w:rsidRDefault="004F54A9" w:rsidP="004F54A9">
            <w:r w:rsidRPr="00043F83">
              <w:t>Turi būti pateikta tarnybinės stoties valdymo ir stebėjimo programinė įranga ar paslauga, turinti šias galimybes:</w:t>
            </w:r>
          </w:p>
          <w:p w14:paraId="62329DC2"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centralizuotas tarnybinių stočių inventoriaus sekimas;</w:t>
            </w:r>
          </w:p>
          <w:p w14:paraId="4ADB0054"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tarybinių stočių programinės įrangos versijų stebėjimas ir tinkamų versijų rekomendacijos;</w:t>
            </w:r>
          </w:p>
          <w:p w14:paraId="4EA88316"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tarnybinių stočių programinės įrangos atnaujinimas;</w:t>
            </w:r>
          </w:p>
          <w:p w14:paraId="31B9C466"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tarybinių stočių diskų posistemės konfigūravimas;</w:t>
            </w:r>
          </w:p>
          <w:p w14:paraId="3EB05BFD"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operacinės sistemos diegimas;</w:t>
            </w:r>
          </w:p>
          <w:p w14:paraId="0EC5D813"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automatinis gedimų ir incidentų registravimas gamintojo palaikymo portale;</w:t>
            </w:r>
          </w:p>
          <w:p w14:paraId="56FEF83D"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 xml:space="preserve">integracija su </w:t>
            </w:r>
            <w:proofErr w:type="spellStart"/>
            <w:r w:rsidRPr="00043F83">
              <w:rPr>
                <w:rFonts w:ascii="Times New Roman" w:hAnsi="Times New Roman" w:cs="Times New Roman"/>
              </w:rPr>
              <w:t>VMware</w:t>
            </w:r>
            <w:proofErr w:type="spellEnd"/>
            <w:r w:rsidRPr="00043F83">
              <w:rPr>
                <w:rFonts w:ascii="Times New Roman" w:hAnsi="Times New Roman" w:cs="Times New Roman"/>
              </w:rPr>
              <w:t xml:space="preserve"> </w:t>
            </w:r>
            <w:proofErr w:type="spellStart"/>
            <w:r w:rsidRPr="00043F83">
              <w:rPr>
                <w:rFonts w:ascii="Times New Roman" w:hAnsi="Times New Roman" w:cs="Times New Roman"/>
              </w:rPr>
              <w:t>vCenter</w:t>
            </w:r>
            <w:proofErr w:type="spellEnd"/>
            <w:r w:rsidRPr="00043F83">
              <w:rPr>
                <w:rFonts w:ascii="Times New Roman" w:hAnsi="Times New Roman" w:cs="Times New Roman"/>
              </w:rPr>
              <w:t xml:space="preserve"> </w:t>
            </w:r>
            <w:proofErr w:type="spellStart"/>
            <w:r w:rsidRPr="00043F83">
              <w:rPr>
                <w:rFonts w:ascii="Times New Roman" w:hAnsi="Times New Roman" w:cs="Times New Roman"/>
              </w:rPr>
              <w:t>Lifecycle</w:t>
            </w:r>
            <w:proofErr w:type="spellEnd"/>
            <w:r w:rsidRPr="00043F83">
              <w:rPr>
                <w:rFonts w:ascii="Times New Roman" w:hAnsi="Times New Roman" w:cs="Times New Roman"/>
              </w:rPr>
              <w:t xml:space="preserve"> Manager (</w:t>
            </w:r>
            <w:proofErr w:type="spellStart"/>
            <w:r w:rsidRPr="00043F83">
              <w:rPr>
                <w:rFonts w:ascii="Times New Roman" w:hAnsi="Times New Roman" w:cs="Times New Roman"/>
              </w:rPr>
              <w:t>vLCM</w:t>
            </w:r>
            <w:proofErr w:type="spellEnd"/>
            <w:r w:rsidRPr="00043F83">
              <w:rPr>
                <w:rFonts w:ascii="Times New Roman" w:hAnsi="Times New Roman" w:cs="Times New Roman"/>
              </w:rPr>
              <w:t>);</w:t>
            </w:r>
          </w:p>
          <w:p w14:paraId="0E8623DD"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REST API palaikymas;</w:t>
            </w:r>
          </w:p>
          <w:p w14:paraId="4B1A97BF" w14:textId="77777777" w:rsidR="004F54A9" w:rsidRPr="00043F83"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visų atliekamų veiksmų įrašų archyvas audito tikslais, saugomas visą įrangos naudojimo laikotarpį ir apsaugotas nuo pakeitimų.</w:t>
            </w:r>
          </w:p>
          <w:p w14:paraId="563C58A5" w14:textId="77777777" w:rsidR="004F54A9" w:rsidRDefault="004F54A9" w:rsidP="004F54A9">
            <w:pPr>
              <w:pStyle w:val="ListParagraph"/>
              <w:numPr>
                <w:ilvl w:val="0"/>
                <w:numId w:val="1"/>
              </w:numPr>
              <w:spacing w:after="0" w:line="240" w:lineRule="auto"/>
              <w:ind w:left="357" w:hanging="357"/>
              <w:contextualSpacing w:val="0"/>
              <w:rPr>
                <w:rFonts w:ascii="Times New Roman" w:hAnsi="Times New Roman" w:cs="Times New Roman"/>
              </w:rPr>
            </w:pPr>
            <w:r w:rsidRPr="00043F83">
              <w:rPr>
                <w:rFonts w:ascii="Times New Roman" w:hAnsi="Times New Roman" w:cs="Times New Roman"/>
              </w:rPr>
              <w:t>galimybė ti</w:t>
            </w:r>
            <w:r>
              <w:rPr>
                <w:rFonts w:ascii="Times New Roman" w:hAnsi="Times New Roman" w:cs="Times New Roman"/>
              </w:rPr>
              <w:t>e</w:t>
            </w:r>
            <w:r w:rsidRPr="00043F83">
              <w:rPr>
                <w:rFonts w:ascii="Times New Roman" w:hAnsi="Times New Roman" w:cs="Times New Roman"/>
              </w:rPr>
              <w:t xml:space="preserve">siogiai integruoti su </w:t>
            </w:r>
            <w:proofErr w:type="spellStart"/>
            <w:r w:rsidRPr="00043F83">
              <w:rPr>
                <w:rFonts w:ascii="Times New Roman" w:hAnsi="Times New Roman" w:cs="Times New Roman"/>
              </w:rPr>
              <w:t>ServiceNow</w:t>
            </w:r>
            <w:proofErr w:type="spellEnd"/>
            <w:r w:rsidRPr="00043F83">
              <w:rPr>
                <w:rFonts w:ascii="Times New Roman" w:hAnsi="Times New Roman" w:cs="Times New Roman"/>
              </w:rPr>
              <w:t>.</w:t>
            </w:r>
          </w:p>
          <w:p w14:paraId="64219F1C" w14:textId="77777777" w:rsidR="004F54A9" w:rsidRPr="00F511BA" w:rsidRDefault="004F54A9" w:rsidP="004F54A9">
            <w:pPr>
              <w:spacing w:before="100" w:beforeAutospacing="1" w:after="100" w:afterAutospacing="1" w:line="240" w:lineRule="auto"/>
            </w:pPr>
            <w:r w:rsidRPr="00F511BA">
              <w:t>Galima siūlyti duomenų centre diegiamą programinę įrangą arba debesijos paslaugomis paremtą paslaugą. Jei siūloma vietoje diegiama programinė įranga, turi būti papildomai pateikti visi reikiami dubliuoti aparatinės įrangos resursai. Programinės įrangos ar paslaugos licencija gali būti ir nuolatinė („</w:t>
            </w:r>
            <w:proofErr w:type="spellStart"/>
            <w:r w:rsidRPr="00F511BA">
              <w:t>perpetual</w:t>
            </w:r>
            <w:proofErr w:type="spellEnd"/>
            <w:r w:rsidRPr="00F511BA">
              <w:t>“) arba prenumeratos tipo („</w:t>
            </w:r>
            <w:proofErr w:type="spellStart"/>
            <w:r w:rsidRPr="00F511BA">
              <w:t>subscription</w:t>
            </w:r>
            <w:proofErr w:type="spellEnd"/>
            <w:r w:rsidRPr="00F511BA">
              <w:t>“) ir turi galioti visą tarnybinės stoties garantijos laikotarpį.</w:t>
            </w:r>
          </w:p>
          <w:p w14:paraId="78E1E7F5" w14:textId="77777777" w:rsidR="004F54A9" w:rsidRPr="00043F83" w:rsidRDefault="004F54A9" w:rsidP="004F54A9">
            <w:r w:rsidRPr="00043F83">
              <w:t>Pateikta programinė įranga ar paslauga turės būti pilnai sudiegta ir sukonfigūruota tolimesniam perkančiosios organizacijos naudojimui.</w:t>
            </w:r>
          </w:p>
          <w:p w14:paraId="0D8CACB3" w14:textId="77777777" w:rsidR="004F54A9" w:rsidRPr="00043F83" w:rsidRDefault="004F54A9" w:rsidP="004F54A9">
            <w:pPr>
              <w:spacing w:after="0" w:line="240" w:lineRule="auto"/>
              <w:contextualSpacing/>
              <w:jc w:val="both"/>
              <w:rPr>
                <w:rFonts w:eastAsia="Times New Roman"/>
                <w:lang w:eastAsia="lt-LT"/>
              </w:rPr>
            </w:pPr>
          </w:p>
        </w:tc>
        <w:tc>
          <w:tcPr>
            <w:tcW w:w="2677" w:type="dxa"/>
          </w:tcPr>
          <w:p w14:paraId="68CA0AE5"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3D8A9CD5" w14:textId="77777777" w:rsidTr="004F54A9">
        <w:tc>
          <w:tcPr>
            <w:tcW w:w="458" w:type="dxa"/>
            <w:shd w:val="clear" w:color="auto" w:fill="auto"/>
            <w:hideMark/>
          </w:tcPr>
          <w:p w14:paraId="625714E9" w14:textId="77777777"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24.</w:t>
            </w:r>
          </w:p>
        </w:tc>
        <w:tc>
          <w:tcPr>
            <w:tcW w:w="1835" w:type="dxa"/>
            <w:shd w:val="clear" w:color="auto" w:fill="auto"/>
            <w:hideMark/>
          </w:tcPr>
          <w:p w14:paraId="41CA26D4"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Suderinamumas</w:t>
            </w:r>
          </w:p>
        </w:tc>
        <w:tc>
          <w:tcPr>
            <w:tcW w:w="4658" w:type="dxa"/>
            <w:shd w:val="clear" w:color="auto" w:fill="auto"/>
            <w:hideMark/>
          </w:tcPr>
          <w:p w14:paraId="03407A5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Tarnybinė stotis turi būti sertifikuota darbui šiomis operacinėmis sistemomis:</w:t>
            </w:r>
          </w:p>
          <w:p w14:paraId="5BA247F3" w14:textId="548687AC"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Windows Server;</w:t>
            </w:r>
          </w:p>
          <w:p w14:paraId="7BAF2824"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VMware</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vSphere</w:t>
            </w:r>
            <w:proofErr w:type="spellEnd"/>
            <w:r w:rsidRPr="00FD5EF8">
              <w:rPr>
                <w:rFonts w:ascii="Times New Roman" w:eastAsia="Times New Roman" w:hAnsi="Times New Roman" w:cs="Times New Roman"/>
                <w:lang w:eastAsia="lt-LT"/>
              </w:rPr>
              <w:t>;</w:t>
            </w:r>
          </w:p>
          <w:p w14:paraId="09A3EF62"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proofErr w:type="spellStart"/>
            <w:r w:rsidRPr="00FD5EF8">
              <w:rPr>
                <w:rFonts w:ascii="Times New Roman" w:eastAsia="Times New Roman" w:hAnsi="Times New Roman" w:cs="Times New Roman"/>
                <w:lang w:eastAsia="lt-LT"/>
              </w:rPr>
              <w:t>Red</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Hat</w:t>
            </w:r>
            <w:proofErr w:type="spellEnd"/>
            <w:r w:rsidRPr="00FD5EF8">
              <w:rPr>
                <w:rFonts w:ascii="Times New Roman" w:eastAsia="Times New Roman" w:hAnsi="Times New Roman" w:cs="Times New Roman"/>
                <w:lang w:eastAsia="lt-LT"/>
              </w:rPr>
              <w:t xml:space="preserve"> </w:t>
            </w:r>
            <w:proofErr w:type="spellStart"/>
            <w:r w:rsidRPr="00FD5EF8">
              <w:rPr>
                <w:rFonts w:ascii="Times New Roman" w:eastAsia="Times New Roman" w:hAnsi="Times New Roman" w:cs="Times New Roman"/>
                <w:lang w:eastAsia="lt-LT"/>
              </w:rPr>
              <w:t>Enterprise</w:t>
            </w:r>
            <w:proofErr w:type="spellEnd"/>
            <w:r w:rsidRPr="00FD5EF8">
              <w:rPr>
                <w:rFonts w:ascii="Times New Roman" w:eastAsia="Times New Roman" w:hAnsi="Times New Roman" w:cs="Times New Roman"/>
                <w:lang w:eastAsia="lt-LT"/>
              </w:rPr>
              <w:t xml:space="preserve"> Linux (RHEL)</w:t>
            </w:r>
          </w:p>
          <w:p w14:paraId="71233147" w14:textId="77777777" w:rsidR="004F54A9"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eastAsia="lt-LT"/>
              </w:rPr>
              <w:t xml:space="preserve">SUSE Linux </w:t>
            </w:r>
            <w:proofErr w:type="spellStart"/>
            <w:r w:rsidRPr="00FD5EF8">
              <w:rPr>
                <w:rFonts w:ascii="Times New Roman" w:eastAsia="Times New Roman" w:hAnsi="Times New Roman" w:cs="Times New Roman"/>
                <w:lang w:eastAsia="lt-LT"/>
              </w:rPr>
              <w:t>Enterprise</w:t>
            </w:r>
            <w:proofErr w:type="spellEnd"/>
            <w:r w:rsidRPr="00FD5EF8">
              <w:rPr>
                <w:rFonts w:ascii="Times New Roman" w:eastAsia="Times New Roman" w:hAnsi="Times New Roman" w:cs="Times New Roman"/>
                <w:lang w:eastAsia="lt-LT"/>
              </w:rPr>
              <w:t xml:space="preserve"> Server (SLES)</w:t>
            </w:r>
          </w:p>
          <w:p w14:paraId="6E267736" w14:textId="77777777" w:rsidR="004F54A9" w:rsidRPr="00FD5EF8" w:rsidRDefault="004F54A9" w:rsidP="004F54A9">
            <w:pPr>
              <w:pStyle w:val="ListParagraph"/>
              <w:numPr>
                <w:ilvl w:val="0"/>
                <w:numId w:val="1"/>
              </w:numPr>
              <w:spacing w:after="0" w:line="240" w:lineRule="auto"/>
              <w:jc w:val="both"/>
              <w:rPr>
                <w:rFonts w:ascii="Times New Roman" w:eastAsia="Times New Roman" w:hAnsi="Times New Roman" w:cs="Times New Roman"/>
                <w:lang w:eastAsia="lt-LT"/>
              </w:rPr>
            </w:pPr>
            <w:r w:rsidRPr="00FD5EF8">
              <w:rPr>
                <w:rFonts w:ascii="Times New Roman" w:eastAsia="Times New Roman" w:hAnsi="Times New Roman" w:cs="Times New Roman"/>
                <w:lang w:val="en-US" w:eastAsia="lt-LT"/>
              </w:rPr>
              <w:t>Canonical Ubuntu</w:t>
            </w:r>
          </w:p>
        </w:tc>
        <w:tc>
          <w:tcPr>
            <w:tcW w:w="2677" w:type="dxa"/>
          </w:tcPr>
          <w:p w14:paraId="54B84DB9"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2B1AF729" w14:textId="77777777" w:rsidTr="004F54A9">
        <w:tc>
          <w:tcPr>
            <w:tcW w:w="458" w:type="dxa"/>
            <w:shd w:val="clear" w:color="auto" w:fill="auto"/>
          </w:tcPr>
          <w:p w14:paraId="09AF5D11" w14:textId="24E83E26" w:rsidR="004F54A9" w:rsidRPr="00043F83" w:rsidRDefault="004A35C9" w:rsidP="004F54A9">
            <w:pPr>
              <w:spacing w:after="0" w:line="240" w:lineRule="auto"/>
              <w:ind w:left="-113" w:right="-124"/>
              <w:contextualSpacing/>
              <w:jc w:val="center"/>
              <w:rPr>
                <w:rFonts w:eastAsia="Times New Roman"/>
                <w:lang w:eastAsia="lt-LT"/>
              </w:rPr>
            </w:pPr>
            <w:r>
              <w:rPr>
                <w:rFonts w:eastAsia="Times New Roman"/>
                <w:lang w:eastAsia="lt-LT"/>
              </w:rPr>
              <w:t>25.</w:t>
            </w:r>
          </w:p>
        </w:tc>
        <w:tc>
          <w:tcPr>
            <w:tcW w:w="1835" w:type="dxa"/>
            <w:shd w:val="clear" w:color="auto" w:fill="auto"/>
          </w:tcPr>
          <w:p w14:paraId="279205CE" w14:textId="60885E98" w:rsidR="004F54A9" w:rsidRPr="00043F83" w:rsidRDefault="00E64B97" w:rsidP="004F54A9">
            <w:pPr>
              <w:spacing w:after="0" w:line="240" w:lineRule="auto"/>
              <w:contextualSpacing/>
              <w:rPr>
                <w:rFonts w:eastAsia="Times New Roman"/>
                <w:lang w:eastAsia="lt-LT"/>
              </w:rPr>
            </w:pPr>
            <w:r>
              <w:rPr>
                <w:rFonts w:eastAsia="Times New Roman"/>
                <w:lang w:eastAsia="lt-LT"/>
              </w:rPr>
              <w:t>Programinė įranga</w:t>
            </w:r>
          </w:p>
        </w:tc>
        <w:tc>
          <w:tcPr>
            <w:tcW w:w="4658" w:type="dxa"/>
            <w:shd w:val="clear" w:color="auto" w:fill="auto"/>
          </w:tcPr>
          <w:p w14:paraId="27F58542" w14:textId="5E3D4C27" w:rsidR="004F54A9" w:rsidRPr="00043F83" w:rsidRDefault="00D00BFB" w:rsidP="004F54A9">
            <w:pPr>
              <w:spacing w:after="0" w:line="240" w:lineRule="auto"/>
              <w:contextualSpacing/>
              <w:jc w:val="both"/>
              <w:rPr>
                <w:rFonts w:eastAsia="Times New Roman"/>
                <w:lang w:eastAsia="lt-LT"/>
              </w:rPr>
            </w:pPr>
            <w:r>
              <w:rPr>
                <w:rFonts w:eastAsia="Times New Roman"/>
                <w:lang w:eastAsia="lt-LT"/>
              </w:rPr>
              <w:t>Komplektuojamas</w:t>
            </w:r>
            <w:r w:rsidR="005F2A02">
              <w:rPr>
                <w:rFonts w:eastAsia="Times New Roman"/>
                <w:lang w:eastAsia="lt-LT"/>
              </w:rPr>
              <w:t xml:space="preserve"> Windows </w:t>
            </w:r>
            <w:r w:rsidR="00896469">
              <w:rPr>
                <w:rFonts w:eastAsia="Times New Roman"/>
                <w:lang w:eastAsia="lt-LT"/>
              </w:rPr>
              <w:t>S</w:t>
            </w:r>
            <w:r w:rsidR="005F2A02">
              <w:rPr>
                <w:rFonts w:eastAsia="Times New Roman"/>
                <w:lang w:eastAsia="lt-LT"/>
              </w:rPr>
              <w:t xml:space="preserve">erver </w:t>
            </w:r>
            <w:r w:rsidR="00896469">
              <w:rPr>
                <w:rFonts w:eastAsia="Times New Roman"/>
                <w:lang w:eastAsia="lt-LT"/>
              </w:rPr>
              <w:t>naujausia versija.</w:t>
            </w:r>
          </w:p>
        </w:tc>
        <w:tc>
          <w:tcPr>
            <w:tcW w:w="2677" w:type="dxa"/>
          </w:tcPr>
          <w:p w14:paraId="1105EB27"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512D13E" w14:textId="77777777" w:rsidTr="004F54A9">
        <w:tc>
          <w:tcPr>
            <w:tcW w:w="458" w:type="dxa"/>
            <w:shd w:val="clear" w:color="auto" w:fill="auto"/>
            <w:hideMark/>
          </w:tcPr>
          <w:p w14:paraId="44889804" w14:textId="2DC20EE5"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r w:rsidR="00896469">
              <w:rPr>
                <w:rFonts w:eastAsia="Times New Roman"/>
                <w:lang w:eastAsia="lt-LT"/>
              </w:rPr>
              <w:t>6</w:t>
            </w:r>
            <w:r w:rsidRPr="00043F83">
              <w:rPr>
                <w:rFonts w:eastAsia="Times New Roman"/>
                <w:lang w:eastAsia="lt-LT"/>
              </w:rPr>
              <w:t>.</w:t>
            </w:r>
          </w:p>
        </w:tc>
        <w:tc>
          <w:tcPr>
            <w:tcW w:w="1835" w:type="dxa"/>
            <w:shd w:val="clear" w:color="auto" w:fill="auto"/>
            <w:hideMark/>
          </w:tcPr>
          <w:p w14:paraId="473CAD2A"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Gamintojo garantija</w:t>
            </w:r>
          </w:p>
        </w:tc>
        <w:tc>
          <w:tcPr>
            <w:tcW w:w="4658" w:type="dxa"/>
            <w:shd w:val="clear" w:color="auto" w:fill="auto"/>
            <w:hideMark/>
          </w:tcPr>
          <w:p w14:paraId="7DCC0AAE"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Įrangai turi būti suteikta ne mažiau 60 mėnesių gamintojo garantija.</w:t>
            </w:r>
            <w:r>
              <w:rPr>
                <w:rFonts w:eastAsia="Times New Roman"/>
                <w:lang w:eastAsia="lt-LT"/>
              </w:rPr>
              <w:t xml:space="preserve"> </w:t>
            </w:r>
            <w:r w:rsidRPr="00043F83">
              <w:rPr>
                <w:rFonts w:eastAsia="Times New Roman"/>
                <w:lang w:eastAsia="lt-LT"/>
              </w:rPr>
              <w:t>Reakcijos laikas į pranešimą apie gedimą turi būti ne ilgiau kaip sekanti darbo diena.</w:t>
            </w:r>
          </w:p>
          <w:p w14:paraId="17C2C10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gamintojo priešlaikinė garantija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Pre-failure</w:t>
            </w:r>
            <w:proofErr w:type="spellEnd"/>
            <w:r w:rsidRPr="00043F83">
              <w:rPr>
                <w:rFonts w:eastAsia="Times New Roman"/>
                <w:i/>
                <w:iCs/>
                <w:lang w:eastAsia="lt-LT"/>
              </w:rPr>
              <w:t>)</w:t>
            </w:r>
            <w:r w:rsidRPr="00043F83">
              <w:rPr>
                <w:rFonts w:eastAsia="Times New Roman"/>
                <w:lang w:eastAsia="lt-LT"/>
              </w:rPr>
              <w:t xml:space="preserve"> procesoriams, operatyvinei atminčiai ir standiesiems diskams. Sugedę diskai tiekėjui negrąžinami.</w:t>
            </w:r>
          </w:p>
          <w:p w14:paraId="2574014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Gamintojo garantuojamas nemokamas dalių tiekimas ir nemokami taisymo darbai atliekami įrangos eksploatavimo vietoje.</w:t>
            </w:r>
          </w:p>
          <w:p w14:paraId="6E621BE4"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Turi būti užtikrinamas automatinis informavimo apie gedimus siuntimas gamintojo servisui. Šis funkcionalumas turi būti užtikrinamas nuotolinio valdymo adapterio galimybėmis ir neturi reikalauti jokios papildomos programinės įrangos.</w:t>
            </w:r>
          </w:p>
          <w:p w14:paraId="44D4F9E1"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Visi anksčiau išvardyti reikalavimai privalo būti garantuojami gamintojo. Kartu su pasiūlymu pateikti tai liudijantį gamintojo patvirtinimą, kad šiame pirkime įgyjamai įrangai galios aukščiau nurodytas gamintojo garantinis aptarnavimas, jame taip pat nurodant komplektuojamus papildomus gamintojo techninės priežiūros paketų kodus ir pavadinimus.</w:t>
            </w:r>
          </w:p>
        </w:tc>
        <w:tc>
          <w:tcPr>
            <w:tcW w:w="2677" w:type="dxa"/>
          </w:tcPr>
          <w:p w14:paraId="398316EA"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5C2B2BAB" w14:textId="77777777" w:rsidTr="004F54A9">
        <w:tc>
          <w:tcPr>
            <w:tcW w:w="458" w:type="dxa"/>
            <w:shd w:val="clear" w:color="auto" w:fill="auto"/>
            <w:hideMark/>
          </w:tcPr>
          <w:p w14:paraId="6DF2273D" w14:textId="1E542C72"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r w:rsidR="00896469">
              <w:rPr>
                <w:rFonts w:eastAsia="Times New Roman"/>
                <w:lang w:eastAsia="lt-LT"/>
              </w:rPr>
              <w:t>7</w:t>
            </w:r>
            <w:r w:rsidRPr="00043F83">
              <w:rPr>
                <w:rFonts w:eastAsia="Times New Roman"/>
                <w:lang w:eastAsia="lt-LT"/>
              </w:rPr>
              <w:t>.</w:t>
            </w:r>
          </w:p>
        </w:tc>
        <w:tc>
          <w:tcPr>
            <w:tcW w:w="1835" w:type="dxa"/>
            <w:shd w:val="clear" w:color="auto" w:fill="auto"/>
            <w:hideMark/>
          </w:tcPr>
          <w:p w14:paraId="7DD848C4"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Surinkimo reikalavimai</w:t>
            </w:r>
          </w:p>
        </w:tc>
        <w:tc>
          <w:tcPr>
            <w:tcW w:w="4658" w:type="dxa"/>
            <w:shd w:val="clear" w:color="auto" w:fill="auto"/>
            <w:hideMark/>
          </w:tcPr>
          <w:p w14:paraId="6D6C7FE9"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Siūloma įranga turi būti nauja ir anksčiau nenaudota.</w:t>
            </w:r>
          </w:p>
          <w:p w14:paraId="7673FF75" w14:textId="77777777" w:rsidR="004F54A9" w:rsidRPr="00043F83" w:rsidRDefault="004F54A9" w:rsidP="004F54A9">
            <w:pPr>
              <w:spacing w:after="0" w:line="240" w:lineRule="auto"/>
              <w:contextualSpacing/>
              <w:jc w:val="both"/>
              <w:rPr>
                <w:rFonts w:eastAsia="Times New Roman"/>
                <w:lang w:eastAsia="lt-LT"/>
              </w:rPr>
            </w:pPr>
            <w:proofErr w:type="spellStart"/>
            <w:r w:rsidRPr="00043F83">
              <w:rPr>
                <w:rFonts w:eastAsia="Times New Roman"/>
                <w:lang w:eastAsia="lt-LT"/>
              </w:rPr>
              <w:t>Gamykliškai</w:t>
            </w:r>
            <w:proofErr w:type="spellEnd"/>
            <w:r w:rsidRPr="00043F83">
              <w:rPr>
                <w:rFonts w:eastAsia="Times New Roman"/>
                <w:lang w:eastAsia="lt-LT"/>
              </w:rPr>
              <w:t xml:space="preserve"> atnaujinti (</w:t>
            </w:r>
            <w:proofErr w:type="spellStart"/>
            <w:r w:rsidRPr="00043F83">
              <w:rPr>
                <w:rFonts w:eastAsia="Times New Roman"/>
                <w:lang w:eastAsia="lt-LT"/>
              </w:rPr>
              <w:t>ang</w:t>
            </w:r>
            <w:proofErr w:type="spellEnd"/>
            <w:r w:rsidRPr="00043F83">
              <w:rPr>
                <w:rFonts w:eastAsia="Times New Roman"/>
                <w:lang w:eastAsia="lt-LT"/>
              </w:rPr>
              <w:t xml:space="preserve">. </w:t>
            </w:r>
            <w:proofErr w:type="spellStart"/>
            <w:r w:rsidRPr="00043F83">
              <w:rPr>
                <w:rFonts w:eastAsia="Times New Roman"/>
                <w:i/>
                <w:iCs/>
                <w:lang w:eastAsia="lt-LT"/>
              </w:rPr>
              <w:t>renew</w:t>
            </w:r>
            <w:proofErr w:type="spellEnd"/>
            <w:r w:rsidRPr="00043F83">
              <w:rPr>
                <w:rFonts w:eastAsia="Times New Roman"/>
                <w:i/>
                <w:iCs/>
                <w:lang w:eastAsia="lt-LT"/>
              </w:rPr>
              <w:t xml:space="preserve">, </w:t>
            </w:r>
            <w:proofErr w:type="spellStart"/>
            <w:r w:rsidRPr="00043F83">
              <w:rPr>
                <w:rFonts w:eastAsia="Times New Roman"/>
                <w:i/>
                <w:iCs/>
                <w:lang w:eastAsia="lt-LT"/>
              </w:rPr>
              <w:t>refurbished</w:t>
            </w:r>
            <w:proofErr w:type="spellEnd"/>
            <w:r w:rsidRPr="00043F83">
              <w:rPr>
                <w:rFonts w:eastAsia="Times New Roman"/>
                <w:i/>
                <w:iCs/>
                <w:lang w:eastAsia="lt-LT"/>
              </w:rPr>
              <w:t xml:space="preserve">, </w:t>
            </w:r>
            <w:proofErr w:type="spellStart"/>
            <w:r w:rsidRPr="00043F83">
              <w:rPr>
                <w:rFonts w:eastAsia="Times New Roman"/>
                <w:i/>
                <w:iCs/>
                <w:lang w:eastAsia="lt-LT"/>
              </w:rPr>
              <w:t>remarketed</w:t>
            </w:r>
            <w:proofErr w:type="spellEnd"/>
            <w:r w:rsidRPr="00043F83">
              <w:rPr>
                <w:rFonts w:eastAsia="Times New Roman"/>
                <w:lang w:eastAsia="lt-LT"/>
              </w:rPr>
              <w:t>) komponentai neleistini.</w:t>
            </w:r>
          </w:p>
          <w:p w14:paraId="5B1C2868"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Visos komplektuojamos tarnybinės stoties dalys privalo būti komplektuojamos tarnybinės stoties gamintojo ir pažymėtos gamintojo gamykliniais kodais.</w:t>
            </w:r>
          </w:p>
        </w:tc>
        <w:tc>
          <w:tcPr>
            <w:tcW w:w="2677" w:type="dxa"/>
          </w:tcPr>
          <w:p w14:paraId="62471630" w14:textId="77777777" w:rsidR="004F54A9" w:rsidRPr="00043F83" w:rsidRDefault="004F54A9" w:rsidP="004F54A9">
            <w:pPr>
              <w:spacing w:after="0" w:line="240" w:lineRule="auto"/>
              <w:contextualSpacing/>
              <w:jc w:val="both"/>
              <w:rPr>
                <w:rFonts w:eastAsia="Times New Roman"/>
                <w:lang w:eastAsia="lt-LT"/>
              </w:rPr>
            </w:pPr>
          </w:p>
        </w:tc>
      </w:tr>
      <w:tr w:rsidR="004F54A9" w:rsidRPr="00043F83" w14:paraId="709FB14A" w14:textId="77777777" w:rsidTr="004F54A9">
        <w:tc>
          <w:tcPr>
            <w:tcW w:w="458" w:type="dxa"/>
            <w:shd w:val="clear" w:color="auto" w:fill="auto"/>
            <w:hideMark/>
          </w:tcPr>
          <w:p w14:paraId="7F371F1A" w14:textId="29546FBA" w:rsidR="004F54A9" w:rsidRPr="00043F83" w:rsidRDefault="004F54A9" w:rsidP="004F54A9">
            <w:pPr>
              <w:spacing w:after="0" w:line="240" w:lineRule="auto"/>
              <w:ind w:left="-113" w:right="-124"/>
              <w:contextualSpacing/>
              <w:jc w:val="center"/>
              <w:rPr>
                <w:rFonts w:eastAsia="Times New Roman"/>
                <w:lang w:eastAsia="lt-LT"/>
              </w:rPr>
            </w:pPr>
            <w:r w:rsidRPr="00043F83">
              <w:rPr>
                <w:rFonts w:eastAsia="Times New Roman"/>
                <w:lang w:eastAsia="lt-LT"/>
              </w:rPr>
              <w:t>2</w:t>
            </w:r>
            <w:r w:rsidR="00896469">
              <w:rPr>
                <w:rFonts w:eastAsia="Times New Roman"/>
                <w:lang w:eastAsia="lt-LT"/>
              </w:rPr>
              <w:t>8</w:t>
            </w:r>
            <w:r w:rsidRPr="00043F83">
              <w:rPr>
                <w:rFonts w:eastAsia="Times New Roman"/>
                <w:lang w:eastAsia="lt-LT"/>
              </w:rPr>
              <w:t>.</w:t>
            </w:r>
          </w:p>
        </w:tc>
        <w:tc>
          <w:tcPr>
            <w:tcW w:w="1835" w:type="dxa"/>
            <w:shd w:val="clear" w:color="auto" w:fill="auto"/>
            <w:hideMark/>
          </w:tcPr>
          <w:p w14:paraId="00B11C70" w14:textId="77777777" w:rsidR="004F54A9" w:rsidRPr="00043F83" w:rsidRDefault="004F54A9" w:rsidP="004F54A9">
            <w:pPr>
              <w:spacing w:after="0" w:line="240" w:lineRule="auto"/>
              <w:contextualSpacing/>
              <w:rPr>
                <w:rFonts w:eastAsia="Times New Roman"/>
                <w:lang w:eastAsia="lt-LT"/>
              </w:rPr>
            </w:pPr>
            <w:r w:rsidRPr="00043F83">
              <w:rPr>
                <w:rFonts w:eastAsia="Times New Roman"/>
                <w:lang w:eastAsia="lt-LT"/>
              </w:rPr>
              <w:t>Dalių kodai</w:t>
            </w:r>
          </w:p>
        </w:tc>
        <w:tc>
          <w:tcPr>
            <w:tcW w:w="4658" w:type="dxa"/>
            <w:shd w:val="clear" w:color="auto" w:fill="auto"/>
            <w:hideMark/>
          </w:tcPr>
          <w:p w14:paraId="259CAF0F" w14:textId="77777777" w:rsidR="004F54A9" w:rsidRPr="00043F83" w:rsidRDefault="004F54A9" w:rsidP="004F54A9">
            <w:pPr>
              <w:spacing w:after="0" w:line="240" w:lineRule="auto"/>
              <w:contextualSpacing/>
              <w:jc w:val="both"/>
              <w:rPr>
                <w:rFonts w:eastAsia="Times New Roman"/>
                <w:lang w:eastAsia="lt-LT"/>
              </w:rPr>
            </w:pPr>
            <w:r w:rsidRPr="00043F83">
              <w:rPr>
                <w:rFonts w:eastAsia="Times New Roman"/>
                <w:lang w:eastAsia="lt-LT"/>
              </w:rPr>
              <w:t>Atskirame priede turi būti pateikti visų įrangą komplektuojančių dalių kodai, modeliai, trumpas aprašymas bei kiekiai.</w:t>
            </w:r>
          </w:p>
        </w:tc>
        <w:tc>
          <w:tcPr>
            <w:tcW w:w="2677" w:type="dxa"/>
          </w:tcPr>
          <w:p w14:paraId="06F49909" w14:textId="77777777" w:rsidR="004F54A9" w:rsidRPr="00043F83" w:rsidRDefault="004F54A9" w:rsidP="004F54A9">
            <w:pPr>
              <w:spacing w:after="0" w:line="240" w:lineRule="auto"/>
              <w:contextualSpacing/>
              <w:jc w:val="both"/>
              <w:rPr>
                <w:rFonts w:eastAsia="Times New Roman"/>
                <w:lang w:eastAsia="lt-LT"/>
              </w:rPr>
            </w:pPr>
          </w:p>
        </w:tc>
      </w:tr>
      <w:tr w:rsidR="00F8388D" w:rsidRPr="00043F83" w14:paraId="40E2DB65" w14:textId="77777777" w:rsidTr="004F54A9">
        <w:tc>
          <w:tcPr>
            <w:tcW w:w="458" w:type="dxa"/>
            <w:shd w:val="clear" w:color="auto" w:fill="auto"/>
          </w:tcPr>
          <w:p w14:paraId="247E17FA" w14:textId="4BAB07C8" w:rsidR="00F8388D" w:rsidRPr="00043F83" w:rsidRDefault="004D038C" w:rsidP="004F54A9">
            <w:pPr>
              <w:spacing w:after="0" w:line="240" w:lineRule="auto"/>
              <w:ind w:left="-113" w:right="-124"/>
              <w:contextualSpacing/>
              <w:jc w:val="center"/>
              <w:rPr>
                <w:rFonts w:eastAsia="Times New Roman"/>
                <w:lang w:eastAsia="lt-LT"/>
              </w:rPr>
            </w:pPr>
            <w:r>
              <w:rPr>
                <w:rFonts w:eastAsia="Times New Roman"/>
                <w:lang w:eastAsia="lt-LT"/>
              </w:rPr>
              <w:t>29.</w:t>
            </w:r>
          </w:p>
        </w:tc>
        <w:tc>
          <w:tcPr>
            <w:tcW w:w="1835" w:type="dxa"/>
            <w:shd w:val="clear" w:color="auto" w:fill="auto"/>
          </w:tcPr>
          <w:p w14:paraId="146A9316" w14:textId="46F128B1" w:rsidR="00F8388D" w:rsidRPr="00043F83" w:rsidRDefault="00FF07DF" w:rsidP="004F54A9">
            <w:pPr>
              <w:spacing w:after="0" w:line="240" w:lineRule="auto"/>
              <w:contextualSpacing/>
              <w:rPr>
                <w:rFonts w:eastAsia="Times New Roman"/>
                <w:lang w:eastAsia="lt-LT"/>
              </w:rPr>
            </w:pPr>
            <w:r>
              <w:rPr>
                <w:rFonts w:eastAsia="Times New Roman"/>
                <w:lang w:eastAsia="lt-LT"/>
              </w:rPr>
              <w:t>Saugos reikalavimai</w:t>
            </w:r>
          </w:p>
        </w:tc>
        <w:tc>
          <w:tcPr>
            <w:tcW w:w="4658" w:type="dxa"/>
            <w:shd w:val="clear" w:color="auto" w:fill="auto"/>
          </w:tcPr>
          <w:p w14:paraId="3E0D6A19" w14:textId="77777777" w:rsidR="00F8388D" w:rsidRDefault="00EC2AA9" w:rsidP="004F54A9">
            <w:pPr>
              <w:spacing w:after="0" w:line="240" w:lineRule="auto"/>
              <w:contextualSpacing/>
              <w:jc w:val="both"/>
              <w:rPr>
                <w:rFonts w:eastAsia="Times New Roman"/>
                <w:lang w:eastAsia="lt-LT"/>
              </w:rPr>
            </w:pPr>
            <w:r w:rsidRPr="00EC2AA9">
              <w:rPr>
                <w:rFonts w:eastAsia="Times New Roman"/>
                <w:lang w:eastAsia="lt-LT"/>
              </w:rPr>
              <w:t>pirkimo objektas –</w:t>
            </w:r>
            <w:r>
              <w:rPr>
                <w:rFonts w:eastAsia="Times New Roman"/>
                <w:lang w:eastAsia="lt-LT"/>
              </w:rPr>
              <w:t xml:space="preserve"> </w:t>
            </w:r>
            <w:r w:rsidRPr="00EC2AA9">
              <w:rPr>
                <w:rFonts w:eastAsia="Times New Roman"/>
                <w:lang w:eastAsia="lt-LT"/>
              </w:rPr>
              <w:t>tarnybinės stotys turi nekelti grėsmės nacionaliniam saugumui;</w:t>
            </w:r>
          </w:p>
          <w:p w14:paraId="57996E7C" w14:textId="27282BE9" w:rsidR="004D038C" w:rsidRPr="00043F83" w:rsidRDefault="004D038C" w:rsidP="004F54A9">
            <w:pPr>
              <w:spacing w:after="0" w:line="240" w:lineRule="auto"/>
              <w:contextualSpacing/>
              <w:jc w:val="both"/>
              <w:rPr>
                <w:rFonts w:eastAsia="Times New Roman"/>
                <w:lang w:eastAsia="lt-LT"/>
              </w:rPr>
            </w:pPr>
            <w:r w:rsidRPr="004D038C">
              <w:rPr>
                <w:rFonts w:eastAsia="Times New Roman"/>
                <w:lang w:eastAsia="lt-LT"/>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2677" w:type="dxa"/>
          </w:tcPr>
          <w:p w14:paraId="34306D6E" w14:textId="77777777" w:rsidR="00F8388D" w:rsidRPr="00043F83" w:rsidRDefault="00F8388D" w:rsidP="004F54A9">
            <w:pPr>
              <w:spacing w:after="0" w:line="240" w:lineRule="auto"/>
              <w:contextualSpacing/>
              <w:jc w:val="both"/>
              <w:rPr>
                <w:rFonts w:eastAsia="Times New Roman"/>
                <w:lang w:eastAsia="lt-LT"/>
              </w:rPr>
            </w:pPr>
          </w:p>
        </w:tc>
      </w:tr>
      <w:tr w:rsidR="00ED0B0B" w:rsidRPr="00043F83" w14:paraId="64544F6D" w14:textId="77777777" w:rsidTr="004F54A9">
        <w:tc>
          <w:tcPr>
            <w:tcW w:w="458" w:type="dxa"/>
            <w:shd w:val="clear" w:color="auto" w:fill="auto"/>
          </w:tcPr>
          <w:p w14:paraId="74079D76" w14:textId="76CEF3B1" w:rsidR="00ED0B0B" w:rsidRPr="00043F83" w:rsidRDefault="00FF07DF" w:rsidP="004F54A9">
            <w:pPr>
              <w:spacing w:after="0" w:line="240" w:lineRule="auto"/>
              <w:ind w:left="-113" w:right="-124"/>
              <w:contextualSpacing/>
              <w:jc w:val="center"/>
              <w:rPr>
                <w:rFonts w:eastAsia="Times New Roman"/>
                <w:lang w:eastAsia="lt-LT"/>
              </w:rPr>
            </w:pPr>
            <w:r>
              <w:rPr>
                <w:rFonts w:eastAsia="Times New Roman"/>
                <w:lang w:eastAsia="lt-LT"/>
              </w:rPr>
              <w:t>30</w:t>
            </w:r>
            <w:r w:rsidR="00ED0B0B">
              <w:rPr>
                <w:rFonts w:eastAsia="Times New Roman"/>
                <w:lang w:eastAsia="lt-LT"/>
              </w:rPr>
              <w:t>.</w:t>
            </w:r>
          </w:p>
        </w:tc>
        <w:tc>
          <w:tcPr>
            <w:tcW w:w="1835" w:type="dxa"/>
            <w:shd w:val="clear" w:color="auto" w:fill="auto"/>
          </w:tcPr>
          <w:p w14:paraId="6330ACD4" w14:textId="74327AB3" w:rsidR="00ED0B0B" w:rsidRPr="00043F83" w:rsidRDefault="00ED0B0B" w:rsidP="004F54A9">
            <w:pPr>
              <w:spacing w:after="0" w:line="240" w:lineRule="auto"/>
              <w:contextualSpacing/>
              <w:rPr>
                <w:rFonts w:eastAsia="Times New Roman"/>
                <w:lang w:eastAsia="lt-LT"/>
              </w:rPr>
            </w:pPr>
            <w:r>
              <w:rPr>
                <w:rFonts w:eastAsia="Times New Roman"/>
                <w:lang w:eastAsia="lt-LT"/>
              </w:rPr>
              <w:t>Nepertraukiamo maitinimo šaltinis</w:t>
            </w:r>
          </w:p>
        </w:tc>
        <w:tc>
          <w:tcPr>
            <w:tcW w:w="4658" w:type="dxa"/>
            <w:shd w:val="clear" w:color="auto" w:fill="auto"/>
          </w:tcPr>
          <w:p w14:paraId="5D632FAF" w14:textId="5A174F01" w:rsidR="00ED0B0B" w:rsidRPr="00043F83" w:rsidRDefault="00B8588A" w:rsidP="004F54A9">
            <w:pPr>
              <w:spacing w:after="0" w:line="240" w:lineRule="auto"/>
              <w:contextualSpacing/>
              <w:jc w:val="both"/>
              <w:rPr>
                <w:rFonts w:eastAsia="Times New Roman"/>
                <w:lang w:eastAsia="lt-LT"/>
              </w:rPr>
            </w:pPr>
            <w:r>
              <w:rPr>
                <w:rFonts w:eastAsia="Times New Roman"/>
                <w:lang w:eastAsia="lt-LT"/>
              </w:rPr>
              <w:t xml:space="preserve">Komplektuojamas ne mažiau 1000VA </w:t>
            </w:r>
            <w:r w:rsidR="00815623">
              <w:rPr>
                <w:rFonts w:eastAsia="Times New Roman"/>
                <w:lang w:eastAsia="lt-LT"/>
              </w:rPr>
              <w:t>nepertraukiamo maitinimo šaltiniu (UPS), su galimyb</w:t>
            </w:r>
            <w:r w:rsidR="00831056">
              <w:rPr>
                <w:rFonts w:eastAsia="Times New Roman"/>
                <w:lang w:eastAsia="lt-LT"/>
              </w:rPr>
              <w:t xml:space="preserve">e automatiškai </w:t>
            </w:r>
            <w:r w:rsidR="00743327">
              <w:rPr>
                <w:rFonts w:eastAsia="Times New Roman"/>
                <w:lang w:eastAsia="lt-LT"/>
              </w:rPr>
              <w:t xml:space="preserve">saugiai </w:t>
            </w:r>
            <w:r w:rsidR="00831056">
              <w:rPr>
                <w:rFonts w:eastAsia="Times New Roman"/>
                <w:lang w:eastAsia="lt-LT"/>
              </w:rPr>
              <w:t>išjungti serverį dingus maitinimui</w:t>
            </w:r>
            <w:r w:rsidR="002E1009">
              <w:rPr>
                <w:rFonts w:eastAsia="Times New Roman"/>
                <w:lang w:eastAsia="lt-LT"/>
              </w:rPr>
              <w:t xml:space="preserve"> (</w:t>
            </w:r>
            <w:proofErr w:type="spellStart"/>
            <w:r w:rsidR="00CA7C3D">
              <w:rPr>
                <w:rFonts w:eastAsia="Times New Roman"/>
                <w:lang w:eastAsia="lt-LT"/>
              </w:rPr>
              <w:t>SmartUPS</w:t>
            </w:r>
            <w:proofErr w:type="spellEnd"/>
            <w:r w:rsidR="00CA7C3D">
              <w:rPr>
                <w:rFonts w:eastAsia="Times New Roman"/>
                <w:lang w:eastAsia="lt-LT"/>
              </w:rPr>
              <w:t>)</w:t>
            </w:r>
            <w:r w:rsidR="00DB6BD3">
              <w:rPr>
                <w:rFonts w:eastAsia="Times New Roman"/>
                <w:lang w:eastAsia="lt-LT"/>
              </w:rPr>
              <w:t>.</w:t>
            </w:r>
          </w:p>
        </w:tc>
        <w:tc>
          <w:tcPr>
            <w:tcW w:w="2677" w:type="dxa"/>
          </w:tcPr>
          <w:p w14:paraId="41293147" w14:textId="77777777" w:rsidR="00ED0B0B" w:rsidRPr="00043F83" w:rsidRDefault="00ED0B0B" w:rsidP="004F54A9">
            <w:pPr>
              <w:spacing w:after="0" w:line="240" w:lineRule="auto"/>
              <w:contextualSpacing/>
              <w:jc w:val="both"/>
              <w:rPr>
                <w:rFonts w:eastAsia="Times New Roman"/>
                <w:lang w:eastAsia="lt-LT"/>
              </w:rPr>
            </w:pPr>
          </w:p>
        </w:tc>
      </w:tr>
    </w:tbl>
    <w:p w14:paraId="3929900E" w14:textId="274EF33C" w:rsidR="0089095B" w:rsidRDefault="0089095B" w:rsidP="00896469"/>
    <w:sectPr w:rsidR="008909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1D"/>
    <w:multiLevelType w:val="hybridMultilevel"/>
    <w:tmpl w:val="AFD87BD6"/>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926C9"/>
    <w:multiLevelType w:val="hybridMultilevel"/>
    <w:tmpl w:val="D3727456"/>
    <w:lvl w:ilvl="0" w:tplc="73840598">
      <w:start w:val="20"/>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6796448"/>
    <w:multiLevelType w:val="hybridMultilevel"/>
    <w:tmpl w:val="07AEE4B4"/>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9854CE"/>
    <w:multiLevelType w:val="hybridMultilevel"/>
    <w:tmpl w:val="56A2ED5A"/>
    <w:lvl w:ilvl="0" w:tplc="90D6E05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760A06"/>
    <w:multiLevelType w:val="hybridMultilevel"/>
    <w:tmpl w:val="7FD0EBA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E3885"/>
    <w:multiLevelType w:val="hybridMultilevel"/>
    <w:tmpl w:val="2250CA04"/>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71530"/>
    <w:multiLevelType w:val="hybridMultilevel"/>
    <w:tmpl w:val="2CF06562"/>
    <w:lvl w:ilvl="0" w:tplc="90D6E0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613766">
    <w:abstractNumId w:val="1"/>
  </w:num>
  <w:num w:numId="2" w16cid:durableId="687213780">
    <w:abstractNumId w:val="2"/>
  </w:num>
  <w:num w:numId="3" w16cid:durableId="360252638">
    <w:abstractNumId w:val="6"/>
  </w:num>
  <w:num w:numId="4" w16cid:durableId="521864273">
    <w:abstractNumId w:val="4"/>
  </w:num>
  <w:num w:numId="5" w16cid:durableId="1039354269">
    <w:abstractNumId w:val="5"/>
  </w:num>
  <w:num w:numId="6" w16cid:durableId="63724498">
    <w:abstractNumId w:val="0"/>
  </w:num>
  <w:num w:numId="7" w16cid:durableId="1713654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5B"/>
    <w:rsid w:val="0000357E"/>
    <w:rsid w:val="00085563"/>
    <w:rsid w:val="001A3386"/>
    <w:rsid w:val="002B5C08"/>
    <w:rsid w:val="002E1009"/>
    <w:rsid w:val="002F5D80"/>
    <w:rsid w:val="00341760"/>
    <w:rsid w:val="00482493"/>
    <w:rsid w:val="004837CB"/>
    <w:rsid w:val="004A35C9"/>
    <w:rsid w:val="004A4809"/>
    <w:rsid w:val="004D038C"/>
    <w:rsid w:val="004F54A9"/>
    <w:rsid w:val="00522711"/>
    <w:rsid w:val="00565DC2"/>
    <w:rsid w:val="005F2A02"/>
    <w:rsid w:val="00743327"/>
    <w:rsid w:val="008005A2"/>
    <w:rsid w:val="00815623"/>
    <w:rsid w:val="00831056"/>
    <w:rsid w:val="008844E5"/>
    <w:rsid w:val="0089095B"/>
    <w:rsid w:val="00896469"/>
    <w:rsid w:val="009B69B6"/>
    <w:rsid w:val="009F15A5"/>
    <w:rsid w:val="00A34D2E"/>
    <w:rsid w:val="00AB6CFB"/>
    <w:rsid w:val="00B16CE5"/>
    <w:rsid w:val="00B2597E"/>
    <w:rsid w:val="00B8588A"/>
    <w:rsid w:val="00BA79B8"/>
    <w:rsid w:val="00C40416"/>
    <w:rsid w:val="00C848BE"/>
    <w:rsid w:val="00CA7C3D"/>
    <w:rsid w:val="00D00BFB"/>
    <w:rsid w:val="00D012CD"/>
    <w:rsid w:val="00DB0171"/>
    <w:rsid w:val="00DB6BD3"/>
    <w:rsid w:val="00DF7AC6"/>
    <w:rsid w:val="00E4587F"/>
    <w:rsid w:val="00E64B97"/>
    <w:rsid w:val="00EC2AA9"/>
    <w:rsid w:val="00ED0B0B"/>
    <w:rsid w:val="00ED107B"/>
    <w:rsid w:val="00ED2BC9"/>
    <w:rsid w:val="00EE5B0A"/>
    <w:rsid w:val="00F8388D"/>
    <w:rsid w:val="00FA6406"/>
    <w:rsid w:val="00FF0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8C12"/>
  <w15:chartTrackingRefBased/>
  <w15:docId w15:val="{1E747D61-55AF-46A5-B3C7-F24E5CD7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9095B"/>
    <w:pPr>
      <w:pBdr>
        <w:bottom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89095B"/>
    <w:rPr>
      <w:rFonts w:ascii="Arial" w:eastAsia="Times New Roman" w:hAnsi="Arial" w:cs="Arial"/>
      <w:vanish/>
      <w:sz w:val="16"/>
      <w:szCs w:val="16"/>
      <w:lang w:eastAsia="lt-LT"/>
    </w:rPr>
  </w:style>
  <w:style w:type="character" w:customStyle="1" w:styleId="badge">
    <w:name w:val="badge"/>
    <w:basedOn w:val="DefaultParagraphFont"/>
    <w:rsid w:val="0089095B"/>
  </w:style>
  <w:style w:type="character" w:styleId="Hyperlink">
    <w:name w:val="Hyperlink"/>
    <w:basedOn w:val="DefaultParagraphFont"/>
    <w:uiPriority w:val="99"/>
    <w:semiHidden/>
    <w:unhideWhenUsed/>
    <w:rsid w:val="0089095B"/>
    <w:rPr>
      <w:color w:val="0000FF"/>
      <w:u w:val="single"/>
    </w:rPr>
  </w:style>
  <w:style w:type="paragraph" w:styleId="z-BottomofForm">
    <w:name w:val="HTML Bottom of Form"/>
    <w:basedOn w:val="Normal"/>
    <w:next w:val="Normal"/>
    <w:link w:val="z-BottomofFormChar"/>
    <w:hidden/>
    <w:uiPriority w:val="99"/>
    <w:semiHidden/>
    <w:unhideWhenUsed/>
    <w:rsid w:val="0089095B"/>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89095B"/>
    <w:rPr>
      <w:rFonts w:ascii="Arial" w:eastAsia="Times New Roman" w:hAnsi="Arial" w:cs="Arial"/>
      <w:vanish/>
      <w:sz w:val="16"/>
      <w:szCs w:val="16"/>
      <w:lang w:eastAsia="lt-LT"/>
    </w:rPr>
  </w:style>
  <w:style w:type="table" w:styleId="TableGrid">
    <w:name w:val="Table Grid"/>
    <w:basedOn w:val="TableNormal"/>
    <w:uiPriority w:val="39"/>
    <w:rsid w:val="00AB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4F54A9"/>
    <w:pPr>
      <w:ind w:left="720"/>
      <w:contextualSpacing/>
    </w:pPr>
    <w:rPr>
      <w:rFonts w:asciiTheme="minorHAnsi" w:hAnsiTheme="minorHAnsi" w:cstheme="minorBid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4F54A9"/>
    <w:rPr>
      <w:rFonts w:asciiTheme="minorHAnsi" w:hAnsiTheme="minorHAnsi" w:cstheme="minorBidi"/>
      <w:sz w:val="22"/>
      <w:szCs w:val="22"/>
    </w:rPr>
  </w:style>
  <w:style w:type="paragraph" w:styleId="NoSpacing">
    <w:name w:val="No Spacing"/>
    <w:uiPriority w:val="1"/>
    <w:qFormat/>
    <w:rsid w:val="004F54A9"/>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6361">
      <w:bodyDiv w:val="1"/>
      <w:marLeft w:val="0"/>
      <w:marRight w:val="0"/>
      <w:marTop w:val="0"/>
      <w:marBottom w:val="0"/>
      <w:divBdr>
        <w:top w:val="none" w:sz="0" w:space="0" w:color="auto"/>
        <w:left w:val="none" w:sz="0" w:space="0" w:color="auto"/>
        <w:bottom w:val="none" w:sz="0" w:space="0" w:color="auto"/>
        <w:right w:val="none" w:sz="0" w:space="0" w:color="auto"/>
      </w:divBdr>
      <w:divsChild>
        <w:div w:id="325016226">
          <w:marLeft w:val="0"/>
          <w:marRight w:val="0"/>
          <w:marTop w:val="0"/>
          <w:marBottom w:val="0"/>
          <w:divBdr>
            <w:top w:val="none" w:sz="0" w:space="0" w:color="auto"/>
            <w:left w:val="none" w:sz="0" w:space="0" w:color="auto"/>
            <w:bottom w:val="none" w:sz="0" w:space="0" w:color="auto"/>
            <w:right w:val="none" w:sz="0" w:space="0" w:color="auto"/>
          </w:divBdr>
        </w:div>
        <w:div w:id="324018809">
          <w:marLeft w:val="0"/>
          <w:marRight w:val="0"/>
          <w:marTop w:val="0"/>
          <w:marBottom w:val="0"/>
          <w:divBdr>
            <w:top w:val="none" w:sz="0" w:space="0" w:color="auto"/>
            <w:left w:val="none" w:sz="0" w:space="0" w:color="auto"/>
            <w:bottom w:val="none" w:sz="0" w:space="0" w:color="auto"/>
            <w:right w:val="none" w:sz="0" w:space="0" w:color="auto"/>
          </w:divBdr>
          <w:divsChild>
            <w:div w:id="2016296841">
              <w:marLeft w:val="0"/>
              <w:marRight w:val="0"/>
              <w:marTop w:val="0"/>
              <w:marBottom w:val="0"/>
              <w:divBdr>
                <w:top w:val="none" w:sz="0" w:space="0" w:color="auto"/>
                <w:left w:val="none" w:sz="0" w:space="0" w:color="auto"/>
                <w:bottom w:val="none" w:sz="0" w:space="0" w:color="auto"/>
                <w:right w:val="none" w:sz="0" w:space="0" w:color="auto"/>
              </w:divBdr>
              <w:divsChild>
                <w:div w:id="231352320">
                  <w:marLeft w:val="0"/>
                  <w:marRight w:val="0"/>
                  <w:marTop w:val="0"/>
                  <w:marBottom w:val="0"/>
                  <w:divBdr>
                    <w:top w:val="none" w:sz="0" w:space="0" w:color="auto"/>
                    <w:left w:val="none" w:sz="0" w:space="0" w:color="auto"/>
                    <w:bottom w:val="none" w:sz="0" w:space="0" w:color="auto"/>
                    <w:right w:val="none" w:sz="0" w:space="0" w:color="auto"/>
                  </w:divBdr>
                  <w:divsChild>
                    <w:div w:id="737897333">
                      <w:marLeft w:val="0"/>
                      <w:marRight w:val="0"/>
                      <w:marTop w:val="0"/>
                      <w:marBottom w:val="0"/>
                      <w:divBdr>
                        <w:top w:val="none" w:sz="0" w:space="0" w:color="auto"/>
                        <w:left w:val="none" w:sz="0" w:space="0" w:color="auto"/>
                        <w:bottom w:val="none" w:sz="0" w:space="0" w:color="auto"/>
                        <w:right w:val="none" w:sz="0" w:space="0" w:color="auto"/>
                      </w:divBdr>
                    </w:div>
                  </w:divsChild>
                </w:div>
                <w:div w:id="1385371312">
                  <w:marLeft w:val="0"/>
                  <w:marRight w:val="0"/>
                  <w:marTop w:val="0"/>
                  <w:marBottom w:val="0"/>
                  <w:divBdr>
                    <w:top w:val="single" w:sz="6" w:space="0" w:color="C0C0C0"/>
                    <w:left w:val="single" w:sz="6" w:space="8" w:color="C0C0C0"/>
                    <w:bottom w:val="single" w:sz="6" w:space="0" w:color="C0C0C0"/>
                    <w:right w:val="single" w:sz="6" w:space="15" w:color="C0C0C0"/>
                  </w:divBdr>
                  <w:divsChild>
                    <w:div w:id="182599710">
                      <w:marLeft w:val="0"/>
                      <w:marRight w:val="0"/>
                      <w:marTop w:val="0"/>
                      <w:marBottom w:val="0"/>
                      <w:divBdr>
                        <w:top w:val="none" w:sz="0" w:space="0" w:color="auto"/>
                        <w:left w:val="none" w:sz="0" w:space="0" w:color="auto"/>
                        <w:bottom w:val="none" w:sz="0" w:space="0" w:color="auto"/>
                        <w:right w:val="none" w:sz="0" w:space="0" w:color="auto"/>
                      </w:divBdr>
                    </w:div>
                  </w:divsChild>
                </w:div>
                <w:div w:id="1644970271">
                  <w:marLeft w:val="0"/>
                  <w:marRight w:val="0"/>
                  <w:marTop w:val="0"/>
                  <w:marBottom w:val="0"/>
                  <w:divBdr>
                    <w:top w:val="single" w:sz="6" w:space="0" w:color="C0C0C0"/>
                    <w:left w:val="single" w:sz="6" w:space="8" w:color="C0C0C0"/>
                    <w:bottom w:val="single" w:sz="6" w:space="0" w:color="C0C0C0"/>
                    <w:right w:val="single" w:sz="6" w:space="15" w:color="C0C0C0"/>
                  </w:divBdr>
                  <w:divsChild>
                    <w:div w:id="1558010799">
                      <w:marLeft w:val="0"/>
                      <w:marRight w:val="0"/>
                      <w:marTop w:val="0"/>
                      <w:marBottom w:val="0"/>
                      <w:divBdr>
                        <w:top w:val="none" w:sz="0" w:space="0" w:color="auto"/>
                        <w:left w:val="none" w:sz="0" w:space="0" w:color="auto"/>
                        <w:bottom w:val="none" w:sz="0" w:space="0" w:color="auto"/>
                        <w:right w:val="none" w:sz="0" w:space="0" w:color="auto"/>
                      </w:divBdr>
                    </w:div>
                  </w:divsChild>
                </w:div>
                <w:div w:id="608002682">
                  <w:marLeft w:val="0"/>
                  <w:marRight w:val="0"/>
                  <w:marTop w:val="0"/>
                  <w:marBottom w:val="0"/>
                  <w:divBdr>
                    <w:top w:val="single" w:sz="6" w:space="0" w:color="C0C0C0"/>
                    <w:left w:val="single" w:sz="6" w:space="8" w:color="C0C0C0"/>
                    <w:bottom w:val="single" w:sz="6" w:space="0" w:color="C0C0C0"/>
                    <w:right w:val="single" w:sz="6" w:space="15" w:color="C0C0C0"/>
                  </w:divBdr>
                  <w:divsChild>
                    <w:div w:id="1838035272">
                      <w:marLeft w:val="0"/>
                      <w:marRight w:val="0"/>
                      <w:marTop w:val="0"/>
                      <w:marBottom w:val="0"/>
                      <w:divBdr>
                        <w:top w:val="none" w:sz="0" w:space="0" w:color="auto"/>
                        <w:left w:val="none" w:sz="0" w:space="0" w:color="auto"/>
                        <w:bottom w:val="none" w:sz="0" w:space="0" w:color="auto"/>
                        <w:right w:val="none" w:sz="0" w:space="0" w:color="auto"/>
                      </w:divBdr>
                    </w:div>
                  </w:divsChild>
                </w:div>
                <w:div w:id="1694769615">
                  <w:marLeft w:val="0"/>
                  <w:marRight w:val="0"/>
                  <w:marTop w:val="0"/>
                  <w:marBottom w:val="0"/>
                  <w:divBdr>
                    <w:top w:val="single" w:sz="6" w:space="0" w:color="C0C0C0"/>
                    <w:left w:val="single" w:sz="6" w:space="8" w:color="C0C0C0"/>
                    <w:bottom w:val="single" w:sz="6" w:space="0" w:color="C0C0C0"/>
                    <w:right w:val="single" w:sz="6" w:space="15" w:color="C0C0C0"/>
                  </w:divBdr>
                  <w:divsChild>
                    <w:div w:id="1997369932">
                      <w:marLeft w:val="0"/>
                      <w:marRight w:val="0"/>
                      <w:marTop w:val="0"/>
                      <w:marBottom w:val="0"/>
                      <w:divBdr>
                        <w:top w:val="none" w:sz="0" w:space="0" w:color="auto"/>
                        <w:left w:val="none" w:sz="0" w:space="0" w:color="auto"/>
                        <w:bottom w:val="none" w:sz="0" w:space="0" w:color="auto"/>
                        <w:right w:val="none" w:sz="0" w:space="0" w:color="auto"/>
                      </w:divBdr>
                    </w:div>
                  </w:divsChild>
                </w:div>
                <w:div w:id="1161238387">
                  <w:marLeft w:val="0"/>
                  <w:marRight w:val="0"/>
                  <w:marTop w:val="0"/>
                  <w:marBottom w:val="0"/>
                  <w:divBdr>
                    <w:top w:val="single" w:sz="6" w:space="0" w:color="C0C0C0"/>
                    <w:left w:val="single" w:sz="6" w:space="8" w:color="C0C0C0"/>
                    <w:bottom w:val="single" w:sz="6" w:space="0" w:color="C0C0C0"/>
                    <w:right w:val="single" w:sz="6" w:space="15" w:color="C0C0C0"/>
                  </w:divBdr>
                  <w:divsChild>
                    <w:div w:id="653950209">
                      <w:marLeft w:val="0"/>
                      <w:marRight w:val="0"/>
                      <w:marTop w:val="0"/>
                      <w:marBottom w:val="0"/>
                      <w:divBdr>
                        <w:top w:val="none" w:sz="0" w:space="0" w:color="auto"/>
                        <w:left w:val="none" w:sz="0" w:space="0" w:color="auto"/>
                        <w:bottom w:val="none" w:sz="0" w:space="0" w:color="auto"/>
                        <w:right w:val="none" w:sz="0" w:space="0" w:color="auto"/>
                      </w:divBdr>
                    </w:div>
                  </w:divsChild>
                </w:div>
                <w:div w:id="214439438">
                  <w:marLeft w:val="0"/>
                  <w:marRight w:val="0"/>
                  <w:marTop w:val="0"/>
                  <w:marBottom w:val="0"/>
                  <w:divBdr>
                    <w:top w:val="single" w:sz="6" w:space="0" w:color="C0C0C0"/>
                    <w:left w:val="single" w:sz="6" w:space="8" w:color="C0C0C0"/>
                    <w:bottom w:val="single" w:sz="6" w:space="0" w:color="C0C0C0"/>
                    <w:right w:val="single" w:sz="6" w:space="15" w:color="C0C0C0"/>
                  </w:divBdr>
                  <w:divsChild>
                    <w:div w:id="443810566">
                      <w:marLeft w:val="0"/>
                      <w:marRight w:val="0"/>
                      <w:marTop w:val="0"/>
                      <w:marBottom w:val="0"/>
                      <w:divBdr>
                        <w:top w:val="none" w:sz="0" w:space="0" w:color="auto"/>
                        <w:left w:val="none" w:sz="0" w:space="0" w:color="auto"/>
                        <w:bottom w:val="none" w:sz="0" w:space="0" w:color="auto"/>
                        <w:right w:val="none" w:sz="0" w:space="0" w:color="auto"/>
                      </w:divBdr>
                    </w:div>
                  </w:divsChild>
                </w:div>
                <w:div w:id="1462722002">
                  <w:marLeft w:val="0"/>
                  <w:marRight w:val="0"/>
                  <w:marTop w:val="0"/>
                  <w:marBottom w:val="0"/>
                  <w:divBdr>
                    <w:top w:val="single" w:sz="6" w:space="0" w:color="C0C0C0"/>
                    <w:left w:val="single" w:sz="6" w:space="8" w:color="C0C0C0"/>
                    <w:bottom w:val="single" w:sz="6" w:space="0" w:color="C0C0C0"/>
                    <w:right w:val="single" w:sz="6" w:space="15" w:color="C0C0C0"/>
                  </w:divBdr>
                  <w:divsChild>
                    <w:div w:id="940796968">
                      <w:marLeft w:val="0"/>
                      <w:marRight w:val="0"/>
                      <w:marTop w:val="0"/>
                      <w:marBottom w:val="0"/>
                      <w:divBdr>
                        <w:top w:val="none" w:sz="0" w:space="0" w:color="auto"/>
                        <w:left w:val="none" w:sz="0" w:space="0" w:color="auto"/>
                        <w:bottom w:val="none" w:sz="0" w:space="0" w:color="auto"/>
                        <w:right w:val="none" w:sz="0" w:space="0" w:color="auto"/>
                      </w:divBdr>
                    </w:div>
                  </w:divsChild>
                </w:div>
                <w:div w:id="1649895579">
                  <w:marLeft w:val="0"/>
                  <w:marRight w:val="0"/>
                  <w:marTop w:val="0"/>
                  <w:marBottom w:val="0"/>
                  <w:divBdr>
                    <w:top w:val="single" w:sz="6" w:space="0" w:color="C0C0C0"/>
                    <w:left w:val="single" w:sz="6" w:space="8" w:color="C0C0C0"/>
                    <w:bottom w:val="single" w:sz="6" w:space="0" w:color="C0C0C0"/>
                    <w:right w:val="single" w:sz="6" w:space="15" w:color="C0C0C0"/>
                  </w:divBdr>
                  <w:divsChild>
                    <w:div w:id="1413620297">
                      <w:marLeft w:val="0"/>
                      <w:marRight w:val="0"/>
                      <w:marTop w:val="0"/>
                      <w:marBottom w:val="0"/>
                      <w:divBdr>
                        <w:top w:val="none" w:sz="0" w:space="0" w:color="auto"/>
                        <w:left w:val="none" w:sz="0" w:space="0" w:color="auto"/>
                        <w:bottom w:val="none" w:sz="0" w:space="0" w:color="auto"/>
                        <w:right w:val="none" w:sz="0" w:space="0" w:color="auto"/>
                      </w:divBdr>
                    </w:div>
                  </w:divsChild>
                </w:div>
                <w:div w:id="436995909">
                  <w:marLeft w:val="0"/>
                  <w:marRight w:val="0"/>
                  <w:marTop w:val="0"/>
                  <w:marBottom w:val="0"/>
                  <w:divBdr>
                    <w:top w:val="single" w:sz="6" w:space="0" w:color="C0C0C0"/>
                    <w:left w:val="single" w:sz="6" w:space="8" w:color="C0C0C0"/>
                    <w:bottom w:val="single" w:sz="6" w:space="0" w:color="C0C0C0"/>
                    <w:right w:val="single" w:sz="6" w:space="15" w:color="C0C0C0"/>
                  </w:divBdr>
                  <w:divsChild>
                    <w:div w:id="813448794">
                      <w:marLeft w:val="0"/>
                      <w:marRight w:val="0"/>
                      <w:marTop w:val="0"/>
                      <w:marBottom w:val="0"/>
                      <w:divBdr>
                        <w:top w:val="none" w:sz="0" w:space="0" w:color="auto"/>
                        <w:left w:val="none" w:sz="0" w:space="0" w:color="auto"/>
                        <w:bottom w:val="none" w:sz="0" w:space="0" w:color="auto"/>
                        <w:right w:val="none" w:sz="0" w:space="0" w:color="auto"/>
                      </w:divBdr>
                    </w:div>
                  </w:divsChild>
                </w:div>
                <w:div w:id="739639604">
                  <w:marLeft w:val="0"/>
                  <w:marRight w:val="0"/>
                  <w:marTop w:val="0"/>
                  <w:marBottom w:val="0"/>
                  <w:divBdr>
                    <w:top w:val="single" w:sz="6" w:space="0" w:color="C0C0C0"/>
                    <w:left w:val="single" w:sz="6" w:space="8" w:color="C0C0C0"/>
                    <w:bottom w:val="single" w:sz="6" w:space="0" w:color="C0C0C0"/>
                    <w:right w:val="single" w:sz="6" w:space="15" w:color="C0C0C0"/>
                  </w:divBdr>
                  <w:divsChild>
                    <w:div w:id="2061859032">
                      <w:marLeft w:val="0"/>
                      <w:marRight w:val="0"/>
                      <w:marTop w:val="0"/>
                      <w:marBottom w:val="0"/>
                      <w:divBdr>
                        <w:top w:val="none" w:sz="0" w:space="0" w:color="auto"/>
                        <w:left w:val="none" w:sz="0" w:space="0" w:color="auto"/>
                        <w:bottom w:val="none" w:sz="0" w:space="0" w:color="auto"/>
                        <w:right w:val="none" w:sz="0" w:space="0" w:color="auto"/>
                      </w:divBdr>
                    </w:div>
                  </w:divsChild>
                </w:div>
                <w:div w:id="907808810">
                  <w:marLeft w:val="0"/>
                  <w:marRight w:val="0"/>
                  <w:marTop w:val="0"/>
                  <w:marBottom w:val="0"/>
                  <w:divBdr>
                    <w:top w:val="single" w:sz="6" w:space="0" w:color="C0C0C0"/>
                    <w:left w:val="single" w:sz="6" w:space="8" w:color="C0C0C0"/>
                    <w:bottom w:val="single" w:sz="6" w:space="0" w:color="C0C0C0"/>
                    <w:right w:val="single" w:sz="6" w:space="15" w:color="C0C0C0"/>
                  </w:divBdr>
                  <w:divsChild>
                    <w:div w:id="487328166">
                      <w:marLeft w:val="0"/>
                      <w:marRight w:val="0"/>
                      <w:marTop w:val="0"/>
                      <w:marBottom w:val="0"/>
                      <w:divBdr>
                        <w:top w:val="none" w:sz="0" w:space="0" w:color="auto"/>
                        <w:left w:val="none" w:sz="0" w:space="0" w:color="auto"/>
                        <w:bottom w:val="none" w:sz="0" w:space="0" w:color="auto"/>
                        <w:right w:val="none" w:sz="0" w:space="0" w:color="auto"/>
                      </w:divBdr>
                    </w:div>
                  </w:divsChild>
                </w:div>
                <w:div w:id="2009014361">
                  <w:marLeft w:val="0"/>
                  <w:marRight w:val="0"/>
                  <w:marTop w:val="0"/>
                  <w:marBottom w:val="0"/>
                  <w:divBdr>
                    <w:top w:val="single" w:sz="6" w:space="0" w:color="C0C0C0"/>
                    <w:left w:val="single" w:sz="6" w:space="8" w:color="C0C0C0"/>
                    <w:bottom w:val="single" w:sz="6" w:space="0" w:color="C0C0C0"/>
                    <w:right w:val="single" w:sz="6" w:space="15" w:color="C0C0C0"/>
                  </w:divBdr>
                  <w:divsChild>
                    <w:div w:id="701397931">
                      <w:marLeft w:val="0"/>
                      <w:marRight w:val="0"/>
                      <w:marTop w:val="0"/>
                      <w:marBottom w:val="0"/>
                      <w:divBdr>
                        <w:top w:val="none" w:sz="0" w:space="0" w:color="auto"/>
                        <w:left w:val="none" w:sz="0" w:space="0" w:color="auto"/>
                        <w:bottom w:val="none" w:sz="0" w:space="0" w:color="auto"/>
                        <w:right w:val="none" w:sz="0" w:space="0" w:color="auto"/>
                      </w:divBdr>
                    </w:div>
                  </w:divsChild>
                </w:div>
                <w:div w:id="1545749684">
                  <w:marLeft w:val="0"/>
                  <w:marRight w:val="0"/>
                  <w:marTop w:val="0"/>
                  <w:marBottom w:val="0"/>
                  <w:divBdr>
                    <w:top w:val="single" w:sz="6" w:space="0" w:color="C0C0C0"/>
                    <w:left w:val="single" w:sz="6" w:space="8" w:color="C0C0C0"/>
                    <w:bottom w:val="single" w:sz="6" w:space="0" w:color="C0C0C0"/>
                    <w:right w:val="single" w:sz="6" w:space="15" w:color="C0C0C0"/>
                  </w:divBdr>
                  <w:divsChild>
                    <w:div w:id="113722091">
                      <w:marLeft w:val="0"/>
                      <w:marRight w:val="0"/>
                      <w:marTop w:val="0"/>
                      <w:marBottom w:val="0"/>
                      <w:divBdr>
                        <w:top w:val="none" w:sz="0" w:space="0" w:color="auto"/>
                        <w:left w:val="none" w:sz="0" w:space="0" w:color="auto"/>
                        <w:bottom w:val="none" w:sz="0" w:space="0" w:color="auto"/>
                        <w:right w:val="none" w:sz="0" w:space="0" w:color="auto"/>
                      </w:divBdr>
                    </w:div>
                  </w:divsChild>
                </w:div>
                <w:div w:id="138232617">
                  <w:marLeft w:val="0"/>
                  <w:marRight w:val="0"/>
                  <w:marTop w:val="0"/>
                  <w:marBottom w:val="0"/>
                  <w:divBdr>
                    <w:top w:val="single" w:sz="6" w:space="0" w:color="C0C0C0"/>
                    <w:left w:val="single" w:sz="6" w:space="8" w:color="C0C0C0"/>
                    <w:bottom w:val="single" w:sz="6" w:space="0" w:color="C0C0C0"/>
                    <w:right w:val="single" w:sz="6" w:space="15" w:color="C0C0C0"/>
                  </w:divBdr>
                  <w:divsChild>
                    <w:div w:id="1364289353">
                      <w:marLeft w:val="0"/>
                      <w:marRight w:val="0"/>
                      <w:marTop w:val="0"/>
                      <w:marBottom w:val="0"/>
                      <w:divBdr>
                        <w:top w:val="none" w:sz="0" w:space="0" w:color="auto"/>
                        <w:left w:val="none" w:sz="0" w:space="0" w:color="auto"/>
                        <w:bottom w:val="none" w:sz="0" w:space="0" w:color="auto"/>
                        <w:right w:val="none" w:sz="0" w:space="0" w:color="auto"/>
                      </w:divBdr>
                    </w:div>
                  </w:divsChild>
                </w:div>
                <w:div w:id="3240792">
                  <w:marLeft w:val="0"/>
                  <w:marRight w:val="0"/>
                  <w:marTop w:val="0"/>
                  <w:marBottom w:val="0"/>
                  <w:divBdr>
                    <w:top w:val="single" w:sz="6" w:space="0" w:color="C0C0C0"/>
                    <w:left w:val="single" w:sz="6" w:space="8" w:color="C0C0C0"/>
                    <w:bottom w:val="single" w:sz="6" w:space="0" w:color="C0C0C0"/>
                    <w:right w:val="single" w:sz="6" w:space="15" w:color="C0C0C0"/>
                  </w:divBdr>
                  <w:divsChild>
                    <w:div w:id="660738686">
                      <w:marLeft w:val="0"/>
                      <w:marRight w:val="0"/>
                      <w:marTop w:val="0"/>
                      <w:marBottom w:val="0"/>
                      <w:divBdr>
                        <w:top w:val="none" w:sz="0" w:space="0" w:color="auto"/>
                        <w:left w:val="none" w:sz="0" w:space="0" w:color="auto"/>
                        <w:bottom w:val="none" w:sz="0" w:space="0" w:color="auto"/>
                        <w:right w:val="none" w:sz="0" w:space="0" w:color="auto"/>
                      </w:divBdr>
                    </w:div>
                  </w:divsChild>
                </w:div>
                <w:div w:id="608975058">
                  <w:marLeft w:val="0"/>
                  <w:marRight w:val="0"/>
                  <w:marTop w:val="0"/>
                  <w:marBottom w:val="0"/>
                  <w:divBdr>
                    <w:top w:val="single" w:sz="6" w:space="0" w:color="C0C0C0"/>
                    <w:left w:val="single" w:sz="6" w:space="8" w:color="C0C0C0"/>
                    <w:bottom w:val="single" w:sz="6" w:space="0" w:color="C0C0C0"/>
                    <w:right w:val="single" w:sz="6" w:space="15" w:color="C0C0C0"/>
                  </w:divBdr>
                  <w:divsChild>
                    <w:div w:id="6760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8390">
      <w:bodyDiv w:val="1"/>
      <w:marLeft w:val="0"/>
      <w:marRight w:val="0"/>
      <w:marTop w:val="0"/>
      <w:marBottom w:val="0"/>
      <w:divBdr>
        <w:top w:val="none" w:sz="0" w:space="0" w:color="auto"/>
        <w:left w:val="none" w:sz="0" w:space="0" w:color="auto"/>
        <w:bottom w:val="none" w:sz="0" w:space="0" w:color="auto"/>
        <w:right w:val="none" w:sz="0" w:space="0" w:color="auto"/>
      </w:divBdr>
      <w:divsChild>
        <w:div w:id="155847081">
          <w:marLeft w:val="0"/>
          <w:marRight w:val="0"/>
          <w:marTop w:val="0"/>
          <w:marBottom w:val="0"/>
          <w:divBdr>
            <w:top w:val="none" w:sz="0" w:space="0" w:color="auto"/>
            <w:left w:val="none" w:sz="0" w:space="0" w:color="auto"/>
            <w:bottom w:val="none" w:sz="0" w:space="0" w:color="auto"/>
            <w:right w:val="none" w:sz="0" w:space="0" w:color="auto"/>
          </w:divBdr>
          <w:divsChild>
            <w:div w:id="858471219">
              <w:marLeft w:val="0"/>
              <w:marRight w:val="0"/>
              <w:marTop w:val="0"/>
              <w:marBottom w:val="0"/>
              <w:divBdr>
                <w:top w:val="none" w:sz="0" w:space="0" w:color="auto"/>
                <w:left w:val="none" w:sz="0" w:space="0" w:color="auto"/>
                <w:bottom w:val="none" w:sz="0" w:space="0" w:color="auto"/>
                <w:right w:val="none" w:sz="0" w:space="0" w:color="auto"/>
              </w:divBdr>
            </w:div>
          </w:divsChild>
        </w:div>
        <w:div w:id="730159655">
          <w:marLeft w:val="0"/>
          <w:marRight w:val="0"/>
          <w:marTop w:val="0"/>
          <w:marBottom w:val="0"/>
          <w:divBdr>
            <w:top w:val="none" w:sz="0" w:space="0" w:color="auto"/>
            <w:left w:val="none" w:sz="0" w:space="0" w:color="auto"/>
            <w:bottom w:val="none" w:sz="0" w:space="0" w:color="auto"/>
            <w:right w:val="none" w:sz="0" w:space="0" w:color="auto"/>
          </w:divBdr>
        </w:div>
        <w:div w:id="490873183">
          <w:marLeft w:val="0"/>
          <w:marRight w:val="0"/>
          <w:marTop w:val="0"/>
          <w:marBottom w:val="0"/>
          <w:divBdr>
            <w:top w:val="none" w:sz="0" w:space="0" w:color="auto"/>
            <w:left w:val="none" w:sz="0" w:space="0" w:color="auto"/>
            <w:bottom w:val="none" w:sz="0" w:space="0" w:color="auto"/>
            <w:right w:val="none" w:sz="0" w:space="0" w:color="auto"/>
          </w:divBdr>
        </w:div>
        <w:div w:id="1531992330">
          <w:marLeft w:val="0"/>
          <w:marRight w:val="0"/>
          <w:marTop w:val="0"/>
          <w:marBottom w:val="0"/>
          <w:divBdr>
            <w:top w:val="none" w:sz="0" w:space="0" w:color="auto"/>
            <w:left w:val="none" w:sz="0" w:space="0" w:color="auto"/>
            <w:bottom w:val="none" w:sz="0" w:space="0" w:color="auto"/>
            <w:right w:val="none" w:sz="0" w:space="0" w:color="auto"/>
          </w:divBdr>
        </w:div>
        <w:div w:id="1694647494">
          <w:marLeft w:val="0"/>
          <w:marRight w:val="0"/>
          <w:marTop w:val="0"/>
          <w:marBottom w:val="0"/>
          <w:divBdr>
            <w:top w:val="none" w:sz="0" w:space="0" w:color="auto"/>
            <w:left w:val="none" w:sz="0" w:space="0" w:color="auto"/>
            <w:bottom w:val="none" w:sz="0" w:space="0" w:color="auto"/>
            <w:right w:val="none" w:sz="0" w:space="0" w:color="auto"/>
          </w:divBdr>
        </w:div>
        <w:div w:id="175507938">
          <w:marLeft w:val="0"/>
          <w:marRight w:val="0"/>
          <w:marTop w:val="0"/>
          <w:marBottom w:val="0"/>
          <w:divBdr>
            <w:top w:val="none" w:sz="0" w:space="0" w:color="auto"/>
            <w:left w:val="none" w:sz="0" w:space="0" w:color="auto"/>
            <w:bottom w:val="none" w:sz="0" w:space="0" w:color="auto"/>
            <w:right w:val="none" w:sz="0" w:space="0" w:color="auto"/>
          </w:divBdr>
        </w:div>
        <w:div w:id="734011307">
          <w:marLeft w:val="0"/>
          <w:marRight w:val="0"/>
          <w:marTop w:val="0"/>
          <w:marBottom w:val="0"/>
          <w:divBdr>
            <w:top w:val="none" w:sz="0" w:space="0" w:color="auto"/>
            <w:left w:val="none" w:sz="0" w:space="0" w:color="auto"/>
            <w:bottom w:val="none" w:sz="0" w:space="0" w:color="auto"/>
            <w:right w:val="none" w:sz="0" w:space="0" w:color="auto"/>
          </w:divBdr>
        </w:div>
        <w:div w:id="1774471648">
          <w:marLeft w:val="0"/>
          <w:marRight w:val="0"/>
          <w:marTop w:val="0"/>
          <w:marBottom w:val="0"/>
          <w:divBdr>
            <w:top w:val="none" w:sz="0" w:space="0" w:color="auto"/>
            <w:left w:val="none" w:sz="0" w:space="0" w:color="auto"/>
            <w:bottom w:val="none" w:sz="0" w:space="0" w:color="auto"/>
            <w:right w:val="none" w:sz="0" w:space="0" w:color="auto"/>
          </w:divBdr>
        </w:div>
        <w:div w:id="938488581">
          <w:marLeft w:val="0"/>
          <w:marRight w:val="0"/>
          <w:marTop w:val="0"/>
          <w:marBottom w:val="0"/>
          <w:divBdr>
            <w:top w:val="none" w:sz="0" w:space="0" w:color="auto"/>
            <w:left w:val="none" w:sz="0" w:space="0" w:color="auto"/>
            <w:bottom w:val="none" w:sz="0" w:space="0" w:color="auto"/>
            <w:right w:val="none" w:sz="0" w:space="0" w:color="auto"/>
          </w:divBdr>
        </w:div>
        <w:div w:id="1837451567">
          <w:marLeft w:val="0"/>
          <w:marRight w:val="0"/>
          <w:marTop w:val="0"/>
          <w:marBottom w:val="0"/>
          <w:divBdr>
            <w:top w:val="none" w:sz="0" w:space="0" w:color="auto"/>
            <w:left w:val="none" w:sz="0" w:space="0" w:color="auto"/>
            <w:bottom w:val="none" w:sz="0" w:space="0" w:color="auto"/>
            <w:right w:val="none" w:sz="0" w:space="0" w:color="auto"/>
          </w:divBdr>
        </w:div>
        <w:div w:id="464468569">
          <w:marLeft w:val="0"/>
          <w:marRight w:val="0"/>
          <w:marTop w:val="0"/>
          <w:marBottom w:val="0"/>
          <w:divBdr>
            <w:top w:val="none" w:sz="0" w:space="0" w:color="auto"/>
            <w:left w:val="none" w:sz="0" w:space="0" w:color="auto"/>
            <w:bottom w:val="none" w:sz="0" w:space="0" w:color="auto"/>
            <w:right w:val="none" w:sz="0" w:space="0" w:color="auto"/>
          </w:divBdr>
        </w:div>
        <w:div w:id="346367561">
          <w:marLeft w:val="0"/>
          <w:marRight w:val="0"/>
          <w:marTop w:val="0"/>
          <w:marBottom w:val="0"/>
          <w:divBdr>
            <w:top w:val="none" w:sz="0" w:space="0" w:color="auto"/>
            <w:left w:val="none" w:sz="0" w:space="0" w:color="auto"/>
            <w:bottom w:val="none" w:sz="0" w:space="0" w:color="auto"/>
            <w:right w:val="none" w:sz="0" w:space="0" w:color="auto"/>
          </w:divBdr>
        </w:div>
        <w:div w:id="1239827196">
          <w:marLeft w:val="0"/>
          <w:marRight w:val="0"/>
          <w:marTop w:val="0"/>
          <w:marBottom w:val="0"/>
          <w:divBdr>
            <w:top w:val="none" w:sz="0" w:space="0" w:color="auto"/>
            <w:left w:val="none" w:sz="0" w:space="0" w:color="auto"/>
            <w:bottom w:val="none" w:sz="0" w:space="0" w:color="auto"/>
            <w:right w:val="none" w:sz="0" w:space="0" w:color="auto"/>
          </w:divBdr>
        </w:div>
        <w:div w:id="1392727105">
          <w:marLeft w:val="0"/>
          <w:marRight w:val="0"/>
          <w:marTop w:val="0"/>
          <w:marBottom w:val="0"/>
          <w:divBdr>
            <w:top w:val="none" w:sz="0" w:space="0" w:color="auto"/>
            <w:left w:val="none" w:sz="0" w:space="0" w:color="auto"/>
            <w:bottom w:val="none" w:sz="0" w:space="0" w:color="auto"/>
            <w:right w:val="none" w:sz="0" w:space="0" w:color="auto"/>
          </w:divBdr>
        </w:div>
        <w:div w:id="1964076723">
          <w:marLeft w:val="0"/>
          <w:marRight w:val="0"/>
          <w:marTop w:val="0"/>
          <w:marBottom w:val="0"/>
          <w:divBdr>
            <w:top w:val="none" w:sz="0" w:space="0" w:color="auto"/>
            <w:left w:val="none" w:sz="0" w:space="0" w:color="auto"/>
            <w:bottom w:val="none" w:sz="0" w:space="0" w:color="auto"/>
            <w:right w:val="none" w:sz="0" w:space="0" w:color="auto"/>
          </w:divBdr>
        </w:div>
        <w:div w:id="1775204116">
          <w:marLeft w:val="0"/>
          <w:marRight w:val="0"/>
          <w:marTop w:val="0"/>
          <w:marBottom w:val="0"/>
          <w:divBdr>
            <w:top w:val="none" w:sz="0" w:space="0" w:color="auto"/>
            <w:left w:val="none" w:sz="0" w:space="0" w:color="auto"/>
            <w:bottom w:val="none" w:sz="0" w:space="0" w:color="auto"/>
            <w:right w:val="none" w:sz="0" w:space="0" w:color="auto"/>
          </w:divBdr>
        </w:div>
        <w:div w:id="1969432246">
          <w:marLeft w:val="0"/>
          <w:marRight w:val="0"/>
          <w:marTop w:val="0"/>
          <w:marBottom w:val="0"/>
          <w:divBdr>
            <w:top w:val="none" w:sz="0" w:space="0" w:color="auto"/>
            <w:left w:val="none" w:sz="0" w:space="0" w:color="auto"/>
            <w:bottom w:val="none" w:sz="0" w:space="0" w:color="auto"/>
            <w:right w:val="none" w:sz="0" w:space="0" w:color="auto"/>
          </w:divBdr>
        </w:div>
        <w:div w:id="434904277">
          <w:marLeft w:val="0"/>
          <w:marRight w:val="0"/>
          <w:marTop w:val="0"/>
          <w:marBottom w:val="0"/>
          <w:divBdr>
            <w:top w:val="none" w:sz="0" w:space="0" w:color="auto"/>
            <w:left w:val="none" w:sz="0" w:space="0" w:color="auto"/>
            <w:bottom w:val="none" w:sz="0" w:space="0" w:color="auto"/>
            <w:right w:val="none" w:sz="0" w:space="0" w:color="auto"/>
          </w:divBdr>
        </w:div>
        <w:div w:id="604381884">
          <w:marLeft w:val="0"/>
          <w:marRight w:val="0"/>
          <w:marTop w:val="0"/>
          <w:marBottom w:val="0"/>
          <w:divBdr>
            <w:top w:val="none" w:sz="0" w:space="0" w:color="auto"/>
            <w:left w:val="none" w:sz="0" w:space="0" w:color="auto"/>
            <w:bottom w:val="none" w:sz="0" w:space="0" w:color="auto"/>
            <w:right w:val="none" w:sz="0" w:space="0" w:color="auto"/>
          </w:divBdr>
        </w:div>
        <w:div w:id="704910956">
          <w:marLeft w:val="0"/>
          <w:marRight w:val="0"/>
          <w:marTop w:val="0"/>
          <w:marBottom w:val="0"/>
          <w:divBdr>
            <w:top w:val="none" w:sz="0" w:space="0" w:color="auto"/>
            <w:left w:val="none" w:sz="0" w:space="0" w:color="auto"/>
            <w:bottom w:val="none" w:sz="0" w:space="0" w:color="auto"/>
            <w:right w:val="none" w:sz="0" w:space="0" w:color="auto"/>
          </w:divBdr>
        </w:div>
        <w:div w:id="1015307132">
          <w:marLeft w:val="0"/>
          <w:marRight w:val="0"/>
          <w:marTop w:val="0"/>
          <w:marBottom w:val="0"/>
          <w:divBdr>
            <w:top w:val="none" w:sz="0" w:space="0" w:color="auto"/>
            <w:left w:val="none" w:sz="0" w:space="0" w:color="auto"/>
            <w:bottom w:val="none" w:sz="0" w:space="0" w:color="auto"/>
            <w:right w:val="none" w:sz="0" w:space="0" w:color="auto"/>
          </w:divBdr>
        </w:div>
        <w:div w:id="1242329878">
          <w:marLeft w:val="0"/>
          <w:marRight w:val="0"/>
          <w:marTop w:val="0"/>
          <w:marBottom w:val="0"/>
          <w:divBdr>
            <w:top w:val="none" w:sz="0" w:space="0" w:color="auto"/>
            <w:left w:val="none" w:sz="0" w:space="0" w:color="auto"/>
            <w:bottom w:val="none" w:sz="0" w:space="0" w:color="auto"/>
            <w:right w:val="none" w:sz="0" w:space="0" w:color="auto"/>
          </w:divBdr>
        </w:div>
        <w:div w:id="1269852754">
          <w:marLeft w:val="0"/>
          <w:marRight w:val="0"/>
          <w:marTop w:val="0"/>
          <w:marBottom w:val="0"/>
          <w:divBdr>
            <w:top w:val="none" w:sz="0" w:space="0" w:color="auto"/>
            <w:left w:val="none" w:sz="0" w:space="0" w:color="auto"/>
            <w:bottom w:val="none" w:sz="0" w:space="0" w:color="auto"/>
            <w:right w:val="none" w:sz="0" w:space="0" w:color="auto"/>
          </w:divBdr>
        </w:div>
        <w:div w:id="2118014109">
          <w:marLeft w:val="0"/>
          <w:marRight w:val="0"/>
          <w:marTop w:val="0"/>
          <w:marBottom w:val="0"/>
          <w:divBdr>
            <w:top w:val="none" w:sz="0" w:space="0" w:color="auto"/>
            <w:left w:val="none" w:sz="0" w:space="0" w:color="auto"/>
            <w:bottom w:val="none" w:sz="0" w:space="0" w:color="auto"/>
            <w:right w:val="none" w:sz="0" w:space="0" w:color="auto"/>
          </w:divBdr>
        </w:div>
        <w:div w:id="769934213">
          <w:marLeft w:val="0"/>
          <w:marRight w:val="0"/>
          <w:marTop w:val="0"/>
          <w:marBottom w:val="0"/>
          <w:divBdr>
            <w:top w:val="none" w:sz="0" w:space="0" w:color="auto"/>
            <w:left w:val="none" w:sz="0" w:space="0" w:color="auto"/>
            <w:bottom w:val="none" w:sz="0" w:space="0" w:color="auto"/>
            <w:right w:val="none" w:sz="0" w:space="0" w:color="auto"/>
          </w:divBdr>
        </w:div>
        <w:div w:id="1568953220">
          <w:marLeft w:val="0"/>
          <w:marRight w:val="0"/>
          <w:marTop w:val="0"/>
          <w:marBottom w:val="0"/>
          <w:divBdr>
            <w:top w:val="none" w:sz="0" w:space="0" w:color="auto"/>
            <w:left w:val="none" w:sz="0" w:space="0" w:color="auto"/>
            <w:bottom w:val="none" w:sz="0" w:space="0" w:color="auto"/>
            <w:right w:val="none" w:sz="0" w:space="0" w:color="auto"/>
          </w:divBdr>
        </w:div>
        <w:div w:id="207574930">
          <w:marLeft w:val="0"/>
          <w:marRight w:val="0"/>
          <w:marTop w:val="0"/>
          <w:marBottom w:val="0"/>
          <w:divBdr>
            <w:top w:val="none" w:sz="0" w:space="0" w:color="auto"/>
            <w:left w:val="none" w:sz="0" w:space="0" w:color="auto"/>
            <w:bottom w:val="none" w:sz="0" w:space="0" w:color="auto"/>
            <w:right w:val="none" w:sz="0" w:space="0" w:color="auto"/>
          </w:divBdr>
        </w:div>
        <w:div w:id="412899317">
          <w:marLeft w:val="0"/>
          <w:marRight w:val="0"/>
          <w:marTop w:val="0"/>
          <w:marBottom w:val="0"/>
          <w:divBdr>
            <w:top w:val="none" w:sz="0" w:space="0" w:color="auto"/>
            <w:left w:val="none" w:sz="0" w:space="0" w:color="auto"/>
            <w:bottom w:val="none" w:sz="0" w:space="0" w:color="auto"/>
            <w:right w:val="none" w:sz="0" w:space="0" w:color="auto"/>
          </w:divBdr>
        </w:div>
        <w:div w:id="2035837518">
          <w:marLeft w:val="0"/>
          <w:marRight w:val="0"/>
          <w:marTop w:val="0"/>
          <w:marBottom w:val="0"/>
          <w:divBdr>
            <w:top w:val="none" w:sz="0" w:space="0" w:color="auto"/>
            <w:left w:val="none" w:sz="0" w:space="0" w:color="auto"/>
            <w:bottom w:val="none" w:sz="0" w:space="0" w:color="auto"/>
            <w:right w:val="none" w:sz="0" w:space="0" w:color="auto"/>
          </w:divBdr>
        </w:div>
        <w:div w:id="1445734508">
          <w:marLeft w:val="0"/>
          <w:marRight w:val="0"/>
          <w:marTop w:val="0"/>
          <w:marBottom w:val="0"/>
          <w:divBdr>
            <w:top w:val="none" w:sz="0" w:space="0" w:color="auto"/>
            <w:left w:val="none" w:sz="0" w:space="0" w:color="auto"/>
            <w:bottom w:val="none" w:sz="0" w:space="0" w:color="auto"/>
            <w:right w:val="none" w:sz="0" w:space="0" w:color="auto"/>
          </w:divBdr>
        </w:div>
        <w:div w:id="967079228">
          <w:marLeft w:val="0"/>
          <w:marRight w:val="0"/>
          <w:marTop w:val="0"/>
          <w:marBottom w:val="0"/>
          <w:divBdr>
            <w:top w:val="none" w:sz="0" w:space="0" w:color="auto"/>
            <w:left w:val="none" w:sz="0" w:space="0" w:color="auto"/>
            <w:bottom w:val="none" w:sz="0" w:space="0" w:color="auto"/>
            <w:right w:val="none" w:sz="0" w:space="0" w:color="auto"/>
          </w:divBdr>
        </w:div>
        <w:div w:id="996811495">
          <w:marLeft w:val="0"/>
          <w:marRight w:val="0"/>
          <w:marTop w:val="0"/>
          <w:marBottom w:val="0"/>
          <w:divBdr>
            <w:top w:val="none" w:sz="0" w:space="0" w:color="auto"/>
            <w:left w:val="none" w:sz="0" w:space="0" w:color="auto"/>
            <w:bottom w:val="none" w:sz="0" w:space="0" w:color="auto"/>
            <w:right w:val="none" w:sz="0" w:space="0" w:color="auto"/>
          </w:divBdr>
        </w:div>
        <w:div w:id="440800151">
          <w:marLeft w:val="0"/>
          <w:marRight w:val="0"/>
          <w:marTop w:val="0"/>
          <w:marBottom w:val="0"/>
          <w:divBdr>
            <w:top w:val="none" w:sz="0" w:space="0" w:color="auto"/>
            <w:left w:val="none" w:sz="0" w:space="0" w:color="auto"/>
            <w:bottom w:val="none" w:sz="0" w:space="0" w:color="auto"/>
            <w:right w:val="none" w:sz="0" w:space="0" w:color="auto"/>
          </w:divBdr>
        </w:div>
        <w:div w:id="8161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5109</Words>
  <Characters>2913</Characters>
  <Application>Microsoft Office Word</Application>
  <DocSecurity>0</DocSecurity>
  <Lines>24</Lines>
  <Paragraphs>16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Žemaitis</dc:creator>
  <cp:keywords/>
  <dc:description/>
  <cp:lastModifiedBy>Rimantas Staneika</cp:lastModifiedBy>
  <cp:revision>41</cp:revision>
  <cp:lastPrinted>2024-02-14T13:29:00Z</cp:lastPrinted>
  <dcterms:created xsi:type="dcterms:W3CDTF">2025-07-10T09:58:00Z</dcterms:created>
  <dcterms:modified xsi:type="dcterms:W3CDTF">2025-08-06T09:30:00Z</dcterms:modified>
</cp:coreProperties>
</file>