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361DD" w14:textId="657622C7" w:rsidR="00082860" w:rsidRPr="00AF269D" w:rsidRDefault="00AF269D">
      <w:pPr>
        <w:rPr>
          <w:rFonts w:ascii="Times New Roman" w:hAnsi="Times New Roman" w:cs="Times New Roman"/>
        </w:rPr>
      </w:pPr>
      <w:r w:rsidRPr="00AF269D">
        <w:rPr>
          <w:rFonts w:ascii="Times New Roman" w:hAnsi="Times New Roman" w:cs="Times New Roman"/>
        </w:rPr>
        <w:t>2024-12-11</w:t>
      </w:r>
    </w:p>
    <w:p w14:paraId="0EA76703" w14:textId="56A4B30C" w:rsidR="00AF269D" w:rsidRPr="00AF269D" w:rsidRDefault="00AF269D">
      <w:pPr>
        <w:rPr>
          <w:rFonts w:ascii="Times New Roman" w:hAnsi="Times New Roman" w:cs="Times New Roman"/>
        </w:rPr>
      </w:pPr>
      <w:r w:rsidRPr="00AF269D">
        <w:rPr>
          <w:rFonts w:ascii="Times New Roman" w:hAnsi="Times New Roman" w:cs="Times New Roman"/>
        </w:rPr>
        <w:t xml:space="preserve">Perkančioji organizacija, gavusi CVP IS priemonėmis </w:t>
      </w:r>
      <w:r w:rsidRPr="00AF269D">
        <w:rPr>
          <w:rFonts w:ascii="Times New Roman" w:hAnsi="Times New Roman" w:cs="Times New Roman"/>
        </w:rPr>
        <w:t>tiekėjų</w:t>
      </w:r>
      <w:r w:rsidRPr="00AF269D">
        <w:rPr>
          <w:rFonts w:ascii="Times New Roman" w:hAnsi="Times New Roman" w:cs="Times New Roman"/>
        </w:rPr>
        <w:t xml:space="preserve"> paklausimus, teikia atsakymus: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5240"/>
        <w:gridCol w:w="3818"/>
      </w:tblGrid>
      <w:tr w:rsidR="00AF269D" w:rsidRPr="00AF269D" w14:paraId="23681B37" w14:textId="77777777" w:rsidTr="00AF269D">
        <w:tc>
          <w:tcPr>
            <w:tcW w:w="562" w:type="dxa"/>
          </w:tcPr>
          <w:p w14:paraId="08C1D321" w14:textId="77777777" w:rsidR="00AF269D" w:rsidRPr="00AF269D" w:rsidRDefault="00AF269D" w:rsidP="00E840CC">
            <w:pPr>
              <w:pStyle w:val="Pagrindiniotekstotrauka2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69D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5" w:type="dxa"/>
          </w:tcPr>
          <w:p w14:paraId="0ECD486C" w14:textId="77777777" w:rsidR="00AF269D" w:rsidRPr="00AF269D" w:rsidRDefault="00AF269D" w:rsidP="00E840CC">
            <w:pPr>
              <w:pStyle w:val="Pagrindiniotekstotrauka2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69D">
              <w:rPr>
                <w:rFonts w:ascii="Times New Roman" w:hAnsi="Times New Roman"/>
                <w:b/>
                <w:bCs/>
                <w:sz w:val="24"/>
                <w:szCs w:val="24"/>
              </w:rPr>
              <w:t>Tiekėjo klausimas</w:t>
            </w:r>
          </w:p>
        </w:tc>
        <w:tc>
          <w:tcPr>
            <w:tcW w:w="3821" w:type="dxa"/>
          </w:tcPr>
          <w:p w14:paraId="746009E2" w14:textId="77777777" w:rsidR="00AF269D" w:rsidRPr="00AF269D" w:rsidRDefault="00AF269D" w:rsidP="00E840CC">
            <w:pPr>
              <w:pStyle w:val="Pagrindiniotekstotrauka2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69D">
              <w:rPr>
                <w:rFonts w:ascii="Times New Roman" w:hAnsi="Times New Roman"/>
                <w:b/>
                <w:bCs/>
                <w:sz w:val="24"/>
                <w:szCs w:val="24"/>
              </w:rPr>
              <w:t>Perkančiosios organizacijos atsakymas</w:t>
            </w:r>
          </w:p>
        </w:tc>
      </w:tr>
      <w:tr w:rsidR="00AF269D" w:rsidRPr="00AF269D" w14:paraId="6719A000" w14:textId="77777777" w:rsidTr="00AF269D">
        <w:tc>
          <w:tcPr>
            <w:tcW w:w="562" w:type="dxa"/>
          </w:tcPr>
          <w:p w14:paraId="6BE8C70C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14:paraId="5C290ECB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9D">
              <w:rPr>
                <w:rFonts w:ascii="Times New Roman" w:hAnsi="Times New Roman"/>
                <w:sz w:val="24"/>
                <w:szCs w:val="24"/>
              </w:rPr>
              <w:t>Ar pranešimo skaitymą konferencijoje, kuri yra akredituotos mokymų programos dalis, galima prilyginti mokymų vedimui, jei po konferencijos išduodamas kvalifikacijos tobulinimo pažymėjimą</w:t>
            </w:r>
          </w:p>
          <w:p w14:paraId="2E297044" w14:textId="77777777" w:rsidR="00AF269D" w:rsidRPr="00AF269D" w:rsidRDefault="00AF269D" w:rsidP="00E840CC">
            <w:pPr>
              <w:pStyle w:val="Pagrindiniotekstotrauka2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C4B779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43BF5D78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9D">
              <w:rPr>
                <w:rFonts w:ascii="Times New Roman" w:hAnsi="Times New Roman"/>
                <w:sz w:val="24"/>
                <w:szCs w:val="24"/>
              </w:rPr>
              <w:t>Taip. Siūlytume nurodyti skaityto pranešimo trukmę valandomis. Atsakymus rasite techninės specifikacijos 5.1.2.5. punkte, kur apibrėžiamas ugdymo įstaigų veiklos kokybės įsivertinimo ir tobulinimo turinys.</w:t>
            </w:r>
          </w:p>
          <w:p w14:paraId="1F71AD7F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69D" w:rsidRPr="00AF269D" w14:paraId="6BF5330D" w14:textId="77777777" w:rsidTr="00AF269D">
        <w:tc>
          <w:tcPr>
            <w:tcW w:w="562" w:type="dxa"/>
          </w:tcPr>
          <w:p w14:paraId="5D1C090C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9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14:paraId="17940487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9D">
              <w:rPr>
                <w:rFonts w:ascii="Times New Roman" w:hAnsi="Times New Roman"/>
                <w:sz w:val="24"/>
                <w:szCs w:val="24"/>
              </w:rPr>
              <w:t xml:space="preserve">Kokie konkrečiai mokymai bus laikomi "ugdymo įstaigų veiklos kokybės įsivertinimo ir tobulinimo mokymais"? Kokias konkrečiai veiklas, procesus, pokyčius turite mintyje? Ar vidinės veiklos tobulinimą / organizavimą? Ar vadovo veiklos tobulinimą / organizavimą? Ar tinka tema apie personalo išlaikymą ir motyvavimą? Ar tinka psichologinio klimato gerinimo / </w:t>
            </w:r>
            <w:proofErr w:type="spellStart"/>
            <w:r w:rsidRPr="00AF269D">
              <w:rPr>
                <w:rFonts w:ascii="Times New Roman" w:hAnsi="Times New Roman"/>
                <w:sz w:val="24"/>
                <w:szCs w:val="24"/>
              </w:rPr>
              <w:t>mobingo</w:t>
            </w:r>
            <w:proofErr w:type="spellEnd"/>
            <w:r w:rsidRPr="00AF269D">
              <w:rPr>
                <w:rFonts w:ascii="Times New Roman" w:hAnsi="Times New Roman"/>
                <w:sz w:val="24"/>
                <w:szCs w:val="24"/>
              </w:rPr>
              <w:t xml:space="preserve"> atpažinimo tema? Ar vis tik mokymai turi būti susiję daugiau su ugdymo veiklos tobulinimu, pvz. STEAM, spec. poreikių turinčių vaikų </w:t>
            </w:r>
            <w:proofErr w:type="spellStart"/>
            <w:r w:rsidRPr="00AF269D">
              <w:rPr>
                <w:rFonts w:ascii="Times New Roman" w:hAnsi="Times New Roman"/>
                <w:sz w:val="24"/>
                <w:szCs w:val="24"/>
              </w:rPr>
              <w:t>įtrauktis</w:t>
            </w:r>
            <w:proofErr w:type="spellEnd"/>
            <w:r w:rsidRPr="00AF269D">
              <w:rPr>
                <w:rFonts w:ascii="Times New Roman" w:hAnsi="Times New Roman"/>
                <w:sz w:val="24"/>
                <w:szCs w:val="24"/>
              </w:rPr>
              <w:t xml:space="preserve"> ir pan. Ar tiktų ugdymo įstaigos kultūros tema? Ar tiktų aplinkos išteklių panaudojimo ugdymo įstaigoje tema?</w:t>
            </w:r>
          </w:p>
          <w:p w14:paraId="247E697D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0A1ADF7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9D">
              <w:rPr>
                <w:rFonts w:ascii="Times New Roman" w:hAnsi="Times New Roman"/>
                <w:sz w:val="24"/>
                <w:szCs w:val="24"/>
              </w:rPr>
              <w:t>Taip, Jūsų minimos temos gali būti užskaitomos, kaip atitinkančios kvalifikacinius reikalavimu. Atsakymus rasite techninės specifikacijos 5.1.2.5. punkte, kur apibrėžiamas ugdymo įstaigų veiklos kokybės įsivertinimo ir tobulinimo turinys.</w:t>
            </w:r>
          </w:p>
          <w:p w14:paraId="759B9021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69D" w:rsidRPr="00AF269D" w14:paraId="1CAACA1C" w14:textId="77777777" w:rsidTr="00AF269D">
        <w:tc>
          <w:tcPr>
            <w:tcW w:w="562" w:type="dxa"/>
          </w:tcPr>
          <w:p w14:paraId="38B47DAC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9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14:paraId="7F460460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9D">
              <w:rPr>
                <w:rFonts w:ascii="Times New Roman" w:hAnsi="Times New Roman"/>
                <w:sz w:val="24"/>
                <w:szCs w:val="24"/>
              </w:rPr>
              <w:t>Pirkimo dokumentų punkte 4.2.3. "III pirkimo objekto dalis – trečios konsultacijų temos „Ugdymo turinio ir proceso vadyba“ įgyvendinimo paslaugos" yra 6 konsultacijų potemės, tačiau kvalifikaciniai reikalavimai pateikti tik 4 potemių konsultantams (konsultantas Nr. 3 dėl ĮU organizavimo ir konsultantas Nr. 4 Mokinių pažangos ir pasiekimų vertinimo). Yra dvi potemės susijusios su dirbtinio intelekto (DI) ir duomenų naudojimo etika, tačiau nenurodyti kvalifikaciniai reikalavimai šių potemių konsultantui. </w:t>
            </w:r>
          </w:p>
          <w:p w14:paraId="3C22CF5C" w14:textId="77777777" w:rsidR="00AF269D" w:rsidRPr="00AF269D" w:rsidRDefault="00AF269D" w:rsidP="00E840CC">
            <w:pPr>
              <w:pStyle w:val="Pagrindiniotekstotrauka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9D">
              <w:rPr>
                <w:rFonts w:ascii="Times New Roman" w:hAnsi="Times New Roman"/>
                <w:sz w:val="24"/>
                <w:szCs w:val="24"/>
              </w:rPr>
              <w:t>Ar galėtumėte patikslinti kokius ir kaip pateikti DI konsultanto patirtį įrodančius dokumentus? </w:t>
            </w:r>
          </w:p>
          <w:p w14:paraId="1E79D943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14:paraId="439094D7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9D">
              <w:rPr>
                <w:rFonts w:ascii="Times New Roman" w:hAnsi="Times New Roman"/>
                <w:sz w:val="24"/>
                <w:szCs w:val="24"/>
              </w:rPr>
              <w:t>DI konsultanto patirtį įrodančių dokumentų neprašoma pateikti.</w:t>
            </w:r>
          </w:p>
        </w:tc>
      </w:tr>
      <w:tr w:rsidR="00AF269D" w:rsidRPr="00AF269D" w14:paraId="13DC6AF8" w14:textId="77777777" w:rsidTr="00AF269D">
        <w:tc>
          <w:tcPr>
            <w:tcW w:w="562" w:type="dxa"/>
          </w:tcPr>
          <w:p w14:paraId="5F184B05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9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14:paraId="4202D728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9D">
              <w:rPr>
                <w:rFonts w:ascii="Times New Roman" w:hAnsi="Times New Roman"/>
                <w:sz w:val="24"/>
                <w:szCs w:val="24"/>
              </w:rPr>
              <w:t>Ar galima būtų gauti pirkimo dokumentus?</w:t>
            </w:r>
          </w:p>
        </w:tc>
        <w:tc>
          <w:tcPr>
            <w:tcW w:w="3821" w:type="dxa"/>
          </w:tcPr>
          <w:p w14:paraId="0204F94B" w14:textId="77777777" w:rsidR="00AF269D" w:rsidRPr="00AF269D" w:rsidRDefault="00AF269D" w:rsidP="00E840CC">
            <w:pPr>
              <w:pStyle w:val="Pagrindiniotekstotrauka2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69D">
              <w:rPr>
                <w:rFonts w:ascii="Times New Roman" w:hAnsi="Times New Roman"/>
                <w:sz w:val="24"/>
                <w:szCs w:val="24"/>
              </w:rPr>
              <w:t xml:space="preserve">Su Viešojo pirkimo dokumentais galim susipažinti senojoje CVP IS </w:t>
            </w:r>
            <w:hyperlink r:id="rId4" w:history="1">
              <w:r w:rsidRPr="00AF269D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Viešas pirkimas - KVALIFIKACIJOS TOBULINIMO PROGRAMŲ PARENGIMO IR ĮGYVENDINIMO PASLAUGOS</w:t>
              </w:r>
            </w:hyperlink>
          </w:p>
        </w:tc>
      </w:tr>
    </w:tbl>
    <w:p w14:paraId="32C71E26" w14:textId="77777777" w:rsidR="00AF269D" w:rsidRDefault="00AF269D">
      <w:pPr>
        <w:rPr>
          <w:rFonts w:ascii="Times New Roman" w:hAnsi="Times New Roman" w:cs="Times New Roman"/>
        </w:rPr>
      </w:pPr>
    </w:p>
    <w:p w14:paraId="48E9CA8B" w14:textId="230FDE12" w:rsidR="00AF269D" w:rsidRPr="00AF269D" w:rsidRDefault="00AF26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Viešojo pirkimo komisija</w:t>
      </w:r>
    </w:p>
    <w:sectPr w:rsidR="00AF269D" w:rsidRPr="00AF269D" w:rsidSect="00AF269D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9D"/>
    <w:rsid w:val="00082860"/>
    <w:rsid w:val="00AF269D"/>
    <w:rsid w:val="00FA1D59"/>
    <w:rsid w:val="00FA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8272"/>
  <w15:chartTrackingRefBased/>
  <w15:docId w15:val="{69F449A9-7C7A-499B-A5A1-A9BCA9F1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F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269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269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269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269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269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269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26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269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F269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269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269D"/>
    <w:rPr>
      <w:b/>
      <w:bCs/>
      <w:smallCaps/>
      <w:color w:val="0F4761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semiHidden/>
    <w:rsid w:val="00AF269D"/>
    <w:pPr>
      <w:spacing w:after="0" w:line="240" w:lineRule="auto"/>
      <w:ind w:firstLine="426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AF269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nhideWhenUsed/>
    <w:rsid w:val="00AF269D"/>
    <w:rPr>
      <w:color w:val="467886" w:themeColor="hyperlink"/>
      <w:u w:val="single"/>
    </w:rPr>
  </w:style>
  <w:style w:type="table" w:styleId="Lentelstinklelis">
    <w:name w:val="Table Grid"/>
    <w:basedOn w:val="prastojilentel"/>
    <w:rsid w:val="00AF26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Supplier/PublicPurchase/790776?B=PP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1543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Pavlovskiene</dc:creator>
  <cp:keywords/>
  <dc:description/>
  <cp:lastModifiedBy>Jolanta Pavlovskiene</cp:lastModifiedBy>
  <cp:revision>1</cp:revision>
  <dcterms:created xsi:type="dcterms:W3CDTF">2024-12-11T11:47:00Z</dcterms:created>
  <dcterms:modified xsi:type="dcterms:W3CDTF">2024-12-11T11:50:00Z</dcterms:modified>
</cp:coreProperties>
</file>