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1B9CBBCC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1C7279" w:rsidRPr="001C7279">
        <w:rPr>
          <w:rFonts w:eastAsia="Calibri"/>
          <w:b/>
          <w:bCs/>
          <w:sz w:val="22"/>
          <w:szCs w:val="22"/>
        </w:rPr>
        <w:t>ŠILDOM</w:t>
      </w:r>
      <w:r w:rsidR="001C7279">
        <w:rPr>
          <w:rFonts w:eastAsia="Calibri"/>
          <w:b/>
          <w:bCs/>
          <w:sz w:val="22"/>
          <w:szCs w:val="22"/>
        </w:rPr>
        <w:t>O</w:t>
      </w:r>
      <w:r w:rsidR="001C7279" w:rsidRPr="001C7279">
        <w:rPr>
          <w:rFonts w:eastAsia="Calibri"/>
          <w:b/>
          <w:bCs/>
          <w:sz w:val="22"/>
          <w:szCs w:val="22"/>
        </w:rPr>
        <w:t xml:space="preserve"> ELEKTRINI</w:t>
      </w:r>
      <w:r w:rsidR="001C7279">
        <w:rPr>
          <w:rFonts w:eastAsia="Calibri"/>
          <w:b/>
          <w:bCs/>
          <w:sz w:val="22"/>
          <w:szCs w:val="22"/>
        </w:rPr>
        <w:t>O</w:t>
      </w:r>
      <w:r w:rsidR="001C7279" w:rsidRPr="001C7279">
        <w:rPr>
          <w:rFonts w:eastAsia="Calibri"/>
          <w:b/>
          <w:bCs/>
          <w:sz w:val="22"/>
          <w:szCs w:val="22"/>
        </w:rPr>
        <w:t xml:space="preserve"> MASAŽO STAL</w:t>
      </w:r>
      <w:r w:rsidR="001C7279">
        <w:rPr>
          <w:rFonts w:eastAsia="Calibri"/>
          <w:b/>
          <w:bCs/>
          <w:sz w:val="22"/>
          <w:szCs w:val="22"/>
        </w:rPr>
        <w:t xml:space="preserve">O </w:t>
      </w:r>
      <w:r w:rsidR="0006031E">
        <w:rPr>
          <w:rFonts w:eastAsia="Calibri"/>
          <w:b/>
          <w:bCs/>
          <w:sz w:val="22"/>
          <w:szCs w:val="22"/>
        </w:rPr>
        <w:t>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19AC6A8A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1C7279" w:rsidRPr="001C7279">
        <w:rPr>
          <w:b/>
          <w:sz w:val="22"/>
          <w:szCs w:val="22"/>
        </w:rPr>
        <w:t>ŠILDOM</w:t>
      </w:r>
      <w:r w:rsidR="001C7279">
        <w:rPr>
          <w:b/>
          <w:sz w:val="22"/>
          <w:szCs w:val="22"/>
        </w:rPr>
        <w:t>O</w:t>
      </w:r>
      <w:r w:rsidR="001C7279" w:rsidRPr="001C7279">
        <w:rPr>
          <w:b/>
          <w:sz w:val="22"/>
          <w:szCs w:val="22"/>
        </w:rPr>
        <w:t xml:space="preserve"> ELEKTRINI</w:t>
      </w:r>
      <w:r w:rsidR="001C7279">
        <w:rPr>
          <w:b/>
          <w:sz w:val="22"/>
          <w:szCs w:val="22"/>
        </w:rPr>
        <w:t>O</w:t>
      </w:r>
      <w:r w:rsidR="001C7279" w:rsidRPr="001C7279">
        <w:rPr>
          <w:b/>
          <w:sz w:val="22"/>
          <w:szCs w:val="22"/>
        </w:rPr>
        <w:t xml:space="preserve"> MASAŽO STAL</w:t>
      </w:r>
      <w:r w:rsidR="001C7279">
        <w:rPr>
          <w:b/>
          <w:sz w:val="22"/>
          <w:szCs w:val="22"/>
        </w:rPr>
        <w:t xml:space="preserve">O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(-as)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6E839370" w:rsidR="00100CC2" w:rsidRDefault="001C7279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Š</w:t>
      </w:r>
      <w:r w:rsidRPr="001C7279">
        <w:rPr>
          <w:color w:val="000000"/>
          <w:sz w:val="22"/>
          <w:szCs w:val="22"/>
          <w:lang w:eastAsia="lt-LT"/>
        </w:rPr>
        <w:t>ildom</w:t>
      </w:r>
      <w:r>
        <w:rPr>
          <w:color w:val="000000"/>
          <w:sz w:val="22"/>
          <w:szCs w:val="22"/>
          <w:lang w:eastAsia="lt-LT"/>
        </w:rPr>
        <w:t>o</w:t>
      </w:r>
      <w:r w:rsidRPr="001C7279">
        <w:rPr>
          <w:color w:val="000000"/>
          <w:sz w:val="22"/>
          <w:szCs w:val="22"/>
          <w:lang w:eastAsia="lt-LT"/>
        </w:rPr>
        <w:t xml:space="preserve"> elektrini</w:t>
      </w:r>
      <w:r>
        <w:rPr>
          <w:color w:val="000000"/>
          <w:sz w:val="22"/>
          <w:szCs w:val="22"/>
          <w:lang w:eastAsia="lt-LT"/>
        </w:rPr>
        <w:t>o</w:t>
      </w:r>
      <w:r w:rsidRPr="001C7279">
        <w:rPr>
          <w:color w:val="000000"/>
          <w:sz w:val="22"/>
          <w:szCs w:val="22"/>
          <w:lang w:eastAsia="lt-LT"/>
        </w:rPr>
        <w:t xml:space="preserve"> masažo stal</w:t>
      </w:r>
      <w:r>
        <w:rPr>
          <w:color w:val="000000"/>
          <w:sz w:val="22"/>
          <w:szCs w:val="22"/>
          <w:lang w:eastAsia="lt-LT"/>
        </w:rPr>
        <w:t xml:space="preserve">o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>
        <w:rPr>
          <w:color w:val="000000"/>
          <w:sz w:val="22"/>
          <w:szCs w:val="22"/>
          <w:lang w:eastAsia="lt-LT"/>
        </w:rPr>
        <w:t>1</w:t>
      </w:r>
      <w:r w:rsidR="004A03D9">
        <w:rPr>
          <w:color w:val="000000"/>
          <w:sz w:val="22"/>
          <w:szCs w:val="22"/>
          <w:lang w:eastAsia="lt-LT"/>
        </w:rPr>
        <w:t xml:space="preserve"> lapa</w:t>
      </w:r>
      <w:r>
        <w:rPr>
          <w:color w:val="000000"/>
          <w:sz w:val="22"/>
          <w:szCs w:val="22"/>
          <w:lang w:eastAsia="lt-LT"/>
        </w:rPr>
        <w:t>s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FF59" w14:textId="77777777" w:rsidR="005F3471" w:rsidRDefault="005F3471" w:rsidP="00CC2050">
      <w:r>
        <w:separator/>
      </w:r>
    </w:p>
  </w:endnote>
  <w:endnote w:type="continuationSeparator" w:id="0">
    <w:p w14:paraId="283FC009" w14:textId="77777777" w:rsidR="005F3471" w:rsidRDefault="005F3471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1390" w14:textId="77777777" w:rsidR="005F3471" w:rsidRDefault="005F3471" w:rsidP="00CC2050">
      <w:r>
        <w:separator/>
      </w:r>
    </w:p>
  </w:footnote>
  <w:footnote w:type="continuationSeparator" w:id="0">
    <w:p w14:paraId="2E7F1DFB" w14:textId="77777777" w:rsidR="005F3471" w:rsidRDefault="005F3471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C7279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12707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337B"/>
    <w:rsid w:val="005D580C"/>
    <w:rsid w:val="005D7C9B"/>
    <w:rsid w:val="005E6DAD"/>
    <w:rsid w:val="005F13A6"/>
    <w:rsid w:val="005F25D1"/>
    <w:rsid w:val="005F347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D2C03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0456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47CF5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customXml/itemProps2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3</cp:revision>
  <cp:lastPrinted>2024-01-10T06:25:00Z</cp:lastPrinted>
  <dcterms:created xsi:type="dcterms:W3CDTF">2025-08-06T10:09:00Z</dcterms:created>
  <dcterms:modified xsi:type="dcterms:W3CDTF">2025-08-06T10:11:00Z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