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proofErr w:type="spellStart"/>
      <w:r w:rsidRPr="007B6DB0">
        <w:rPr>
          <w:rFonts w:eastAsia="MS Mincho"/>
          <w:b/>
          <w:bCs/>
          <w:i/>
          <w:szCs w:val="20"/>
          <w:u w:val="single"/>
          <w:lang w:val="de-DE" w:eastAsia="ar-SA"/>
        </w:rPr>
        <w:t>Sutarties</w:t>
      </w:r>
      <w:proofErr w:type="spellEnd"/>
      <w:r w:rsidRPr="007B6DB0">
        <w:rPr>
          <w:rFonts w:eastAsia="MS Mincho"/>
          <w:b/>
          <w:bCs/>
          <w:i/>
          <w:szCs w:val="20"/>
          <w:u w:val="single"/>
          <w:lang w:val="de-DE" w:eastAsia="ar-SA"/>
        </w:rPr>
        <w:t xml:space="preserve">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F353AA">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E6A10E0" w14:textId="77777777" w:rsidR="004F3EF0" w:rsidRPr="004F3EF0" w:rsidRDefault="004F3EF0" w:rsidP="004F3EF0">
            <w:pPr>
              <w:spacing w:after="0" w:line="240" w:lineRule="auto"/>
              <w:jc w:val="both"/>
              <w:rPr>
                <w:rFonts w:eastAsia="Times New Roman"/>
                <w:kern w:val="2"/>
              </w:rPr>
            </w:pPr>
            <w:r w:rsidRPr="004F3EF0">
              <w:rPr>
                <w:rFonts w:eastAsia="Times New Roman"/>
                <w:b/>
                <w:bCs/>
                <w:szCs w:val="20"/>
              </w:rPr>
              <w:t>„Keleivinis lengvasis automobilis (M1 klasė, elektromobilis) VšĮ Tytuvėnų pirminės sveikatos priežiūros centrui“</w:t>
            </w:r>
          </w:p>
        </w:tc>
      </w:tr>
      <w:tr w:rsidR="004F3EF0" w:rsidRPr="004F3EF0" w14:paraId="22C07909" w14:textId="77777777" w:rsidTr="00F353AA">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F353AA">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F353AA">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77777777" w:rsidR="004F3EF0" w:rsidRPr="004F3EF0" w:rsidRDefault="004F3EF0" w:rsidP="004F3EF0">
            <w:pPr>
              <w:spacing w:after="0" w:line="240" w:lineRule="auto"/>
              <w:jc w:val="center"/>
              <w:rPr>
                <w:rFonts w:eastAsia="Times New Roman"/>
                <w:kern w:val="2"/>
              </w:rPr>
            </w:pPr>
          </w:p>
        </w:tc>
      </w:tr>
      <w:tr w:rsidR="004F3EF0" w:rsidRPr="004F3EF0" w14:paraId="2C33C864" w14:textId="77777777" w:rsidTr="00F353AA">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F353AA">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F353AA">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F353AA">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F353AA">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F353AA">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F353AA">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F353AA">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F353AA">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F353AA">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F353AA">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F353AA">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F353AA">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F353AA">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F353AA">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F353AA">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F353AA">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F353AA">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F353AA">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F353AA">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AE2D6E" w14:textId="77777777" w:rsidR="004F3EF0" w:rsidRPr="004F3EF0" w:rsidRDefault="004F3EF0" w:rsidP="004F3EF0">
            <w:pPr>
              <w:tabs>
                <w:tab w:val="left" w:pos="1276"/>
              </w:tabs>
              <w:spacing w:after="0" w:line="240" w:lineRule="auto"/>
              <w:rPr>
                <w:rFonts w:eastAsia="Times New Roman"/>
                <w:szCs w:val="20"/>
              </w:rPr>
            </w:pPr>
            <w:r w:rsidRPr="004F3EF0">
              <w:rPr>
                <w:rFonts w:eastAsia="Times New Roman"/>
                <w:szCs w:val="20"/>
              </w:rPr>
              <w:t xml:space="preserve">VšĮ Tytuvėnų pirminės sveikatos priežiūros centro vairuotojas Jonas Buivydas, tel. +370 (427) 56 377, el. p. </w:t>
            </w:r>
            <w:proofErr w:type="spellStart"/>
            <w:r w:rsidRPr="004F3EF0">
              <w:rPr>
                <w:rFonts w:eastAsia="Times New Roman"/>
                <w:szCs w:val="20"/>
              </w:rPr>
              <w:t>info@tytuvenupspc.lt</w:t>
            </w:r>
            <w:proofErr w:type="spellEnd"/>
            <w:r w:rsidRPr="004F3EF0">
              <w:rPr>
                <w:rFonts w:eastAsia="Times New Roman"/>
                <w:szCs w:val="20"/>
              </w:rPr>
              <w:t>;</w:t>
            </w:r>
          </w:p>
          <w:p w14:paraId="57118F8E" w14:textId="77777777" w:rsidR="004F3EF0" w:rsidRPr="004F3EF0" w:rsidRDefault="004F3EF0" w:rsidP="004F3EF0">
            <w:pPr>
              <w:spacing w:after="0" w:line="240" w:lineRule="auto"/>
              <w:rPr>
                <w:rFonts w:eastAsia="Times New Roman"/>
                <w:color w:val="4472C4"/>
                <w:kern w:val="2"/>
              </w:rPr>
            </w:pPr>
          </w:p>
        </w:tc>
      </w:tr>
      <w:tr w:rsidR="004F3EF0" w:rsidRPr="004F3EF0" w14:paraId="7F39AE30"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F353AA">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DFC38B" w14:textId="77777777" w:rsidR="004F3EF0" w:rsidRPr="004F3EF0" w:rsidRDefault="004F3EF0" w:rsidP="004F3EF0">
            <w:pPr>
              <w:spacing w:after="0" w:line="240" w:lineRule="auto"/>
              <w:jc w:val="both"/>
              <w:rPr>
                <w:rFonts w:eastAsia="Times New Roman"/>
                <w:kern w:val="2"/>
                <w:szCs w:val="20"/>
              </w:rPr>
            </w:pPr>
            <w:r w:rsidRPr="004F3EF0">
              <w:rPr>
                <w:rFonts w:eastAsia="Times New Roman"/>
                <w:kern w:val="2"/>
                <w:szCs w:val="20"/>
              </w:rPr>
              <w:t xml:space="preserve">Tiekėjas įsipareigoja Sutartyje numatytomis sąlygomis perduoti Pirkėjui </w:t>
            </w:r>
            <w:r w:rsidRPr="004F3EF0">
              <w:rPr>
                <w:rFonts w:eastAsia="Times New Roman"/>
                <w:b/>
                <w:bCs/>
                <w:kern w:val="2"/>
                <w:szCs w:val="20"/>
                <w:u w:val="single"/>
              </w:rPr>
              <w:t>elektromobilį</w:t>
            </w:r>
            <w:r w:rsidRPr="004F3EF0">
              <w:rPr>
                <w:rFonts w:eastAsia="Times New Roman"/>
                <w:kern w:val="2"/>
                <w:szCs w:val="20"/>
              </w:rPr>
              <w:t xml:space="preserve"> 1 vnt. </w:t>
            </w:r>
            <w:r w:rsidRPr="004F3EF0">
              <w:rPr>
                <w:rFonts w:eastAsia="Times New Roman"/>
                <w:i/>
                <w:iCs/>
                <w:kern w:val="2"/>
                <w:szCs w:val="20"/>
              </w:rPr>
              <w:t>[</w:t>
            </w:r>
            <w:r w:rsidRPr="004F3EF0">
              <w:rPr>
                <w:rFonts w:eastAsia="Times New Roman"/>
                <w:i/>
                <w:iCs/>
                <w:kern w:val="2"/>
                <w:szCs w:val="20"/>
                <w:highlight w:val="yellow"/>
              </w:rPr>
              <w:t>automobilio markė ir modelis</w:t>
            </w:r>
            <w:r w:rsidRPr="004F3EF0">
              <w:rPr>
                <w:rFonts w:eastAsia="Times New Roman"/>
                <w:i/>
                <w:iCs/>
                <w:kern w:val="2"/>
                <w:szCs w:val="20"/>
              </w:rPr>
              <w:t>]</w:t>
            </w:r>
            <w:r w:rsidRPr="004F3EF0">
              <w:rPr>
                <w:rFonts w:eastAsia="Times New Roman"/>
                <w:kern w:val="2"/>
                <w:szCs w:val="20"/>
              </w:rPr>
              <w:t xml:space="preserve">  (toliau – Prekės).</w:t>
            </w:r>
          </w:p>
          <w:p w14:paraId="0D5DA4BC" w14:textId="433D50B8" w:rsidR="004F3EF0" w:rsidRPr="004F3EF0" w:rsidRDefault="004F3EF0" w:rsidP="004F3EF0">
            <w:pPr>
              <w:spacing w:after="0" w:line="240" w:lineRule="auto"/>
              <w:rPr>
                <w:rFonts w:eastAsia="Times New Roman"/>
                <w:color w:val="000000"/>
                <w:kern w:val="2"/>
              </w:rPr>
            </w:pPr>
            <w:r w:rsidRPr="004F3EF0">
              <w:rPr>
                <w:rFonts w:eastAsia="Times New Roman"/>
                <w:kern w:val="2"/>
                <w:szCs w:val="20"/>
              </w:rPr>
              <w:t xml:space="preserve">Išsamus Prekių aprašymas ir kiti reikalavimai tiekiamoms Prekėms nustatyti Sutarties 1 priede „Techninė specifikacija“ (toliau – Techninė specifikacija) ir Sutarties </w:t>
            </w:r>
            <w:r w:rsidR="00727CC2">
              <w:rPr>
                <w:rFonts w:eastAsia="Times New Roman"/>
                <w:kern w:val="2"/>
                <w:szCs w:val="20"/>
              </w:rPr>
              <w:t xml:space="preserve">2 </w:t>
            </w:r>
            <w:r w:rsidRPr="004F3EF0">
              <w:rPr>
                <w:rFonts w:eastAsia="Times New Roman"/>
                <w:kern w:val="2"/>
                <w:szCs w:val="20"/>
              </w:rPr>
              <w:t>priede „Pasiūlymas“</w:t>
            </w:r>
          </w:p>
        </w:tc>
      </w:tr>
      <w:tr w:rsidR="004F3EF0" w:rsidRPr="004F3EF0" w14:paraId="6FECE3EC"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77777777" w:rsidR="004F3EF0" w:rsidRPr="004F3EF0" w:rsidRDefault="004F3EF0" w:rsidP="004F3EF0">
            <w:pPr>
              <w:spacing w:after="0" w:line="240" w:lineRule="auto"/>
              <w:rPr>
                <w:rFonts w:eastAsia="Times New Roman"/>
                <w:kern w:val="2"/>
              </w:rPr>
            </w:pPr>
            <w:r w:rsidRPr="004F3EF0">
              <w:rPr>
                <w:rFonts w:eastAsia="Times New Roman"/>
                <w:b/>
                <w:bCs/>
                <w:szCs w:val="20"/>
              </w:rPr>
              <w:t xml:space="preserve">„Keleivinis lengvasis automobilis (M1 klasė, elektromobilis) VšĮ Tytuvėnų pirminės sveikatos priežiūros centrui“ </w:t>
            </w:r>
            <w:r w:rsidRPr="004F3EF0">
              <w:rPr>
                <w:rFonts w:eastAsia="Times New Roman"/>
                <w:b/>
                <w:bCs/>
                <w:szCs w:val="20"/>
                <w:highlight w:val="yellow"/>
              </w:rPr>
              <w:t>ID</w:t>
            </w:r>
            <w:r w:rsidRPr="004F3EF0">
              <w:rPr>
                <w:rFonts w:eastAsia="Times New Roman"/>
                <w:b/>
                <w:bCs/>
                <w:szCs w:val="20"/>
              </w:rPr>
              <w:t xml:space="preserve"> .....</w:t>
            </w:r>
          </w:p>
        </w:tc>
      </w:tr>
      <w:tr w:rsidR="004F3EF0" w:rsidRPr="004F3EF0" w14:paraId="10960E80"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BBF440" w14:textId="77777777" w:rsidR="004F3EF0" w:rsidRPr="004F3EF0" w:rsidRDefault="004F3EF0" w:rsidP="004F3EF0">
            <w:pPr>
              <w:spacing w:after="0" w:line="259" w:lineRule="auto"/>
              <w:rPr>
                <w:rFonts w:eastAsia="Times New Roman"/>
                <w:szCs w:val="20"/>
                <w:lang w:eastAsia="lt-LT"/>
              </w:rPr>
            </w:pPr>
            <w:r w:rsidRPr="004F3EF0">
              <w:rPr>
                <w:rFonts w:eastAsia="Times New Roman"/>
                <w:kern w:val="2"/>
                <w:szCs w:val="20"/>
              </w:rPr>
              <w:t xml:space="preserve">Europos Sąjungos lėšomis bendrai finansuojamo projekto Nr. </w:t>
            </w:r>
            <w:r w:rsidRPr="004F3EF0">
              <w:rPr>
                <w:rFonts w:eastAsia="Times New Roman"/>
                <w:szCs w:val="20"/>
                <w:lang w:eastAsia="lt-LT"/>
              </w:rPr>
              <w:t>26-538-P-0002, pavadinimas „Ilgalaikės priežiūros paslaugų plėtra Kelmės rajone“</w:t>
            </w:r>
          </w:p>
        </w:tc>
      </w:tr>
      <w:tr w:rsidR="004F3EF0" w:rsidRPr="004F3EF0" w14:paraId="7031B08D" w14:textId="77777777" w:rsidTr="00F353AA">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F353AA">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C6DBF02" w14:textId="77777777" w:rsidR="004F3EF0" w:rsidRPr="004F3EF0" w:rsidRDefault="004F3EF0" w:rsidP="004F3EF0">
            <w:pPr>
              <w:spacing w:after="0" w:line="259" w:lineRule="auto"/>
              <w:jc w:val="both"/>
              <w:rPr>
                <w:rFonts w:eastAsia="Times New Roman"/>
                <w:szCs w:val="20"/>
              </w:rPr>
            </w:pPr>
            <w:r w:rsidRPr="004F3EF0">
              <w:rPr>
                <w:rFonts w:eastAsia="Times New Roman"/>
                <w:kern w:val="2"/>
                <w:szCs w:val="20"/>
              </w:rPr>
              <w:t xml:space="preserve">Tiekėjas Prekę įsipareigoja pristatyti </w:t>
            </w:r>
            <w:r w:rsidRPr="004F3EF0">
              <w:rPr>
                <w:rFonts w:eastAsia="Times New Roman"/>
                <w:b/>
                <w:bCs/>
                <w:kern w:val="2"/>
                <w:szCs w:val="20"/>
              </w:rPr>
              <w:t>ne vėliau kaip per 6</w:t>
            </w:r>
            <w:r w:rsidRPr="004F3EF0">
              <w:rPr>
                <w:rFonts w:eastAsia="Times New Roman"/>
                <w:b/>
                <w:bCs/>
                <w:szCs w:val="20"/>
              </w:rPr>
              <w:t xml:space="preserve"> mėnesius</w:t>
            </w:r>
            <w:r w:rsidRPr="004F3EF0">
              <w:rPr>
                <w:rFonts w:eastAsia="Times New Roman"/>
                <w:szCs w:val="20"/>
              </w:rPr>
              <w:t xml:space="preserve"> </w:t>
            </w:r>
            <w:r w:rsidRPr="004F3EF0">
              <w:rPr>
                <w:rFonts w:eastAsia="Times New Roman"/>
                <w:kern w:val="2"/>
                <w:szCs w:val="20"/>
              </w:rPr>
              <w:t xml:space="preserve">nuo Sutarties įsigaliojimo dienos šiuo adresu: </w:t>
            </w:r>
            <w:r w:rsidRPr="004F3EF0">
              <w:rPr>
                <w:rFonts w:eastAsia="Times New Roman"/>
                <w:bCs/>
                <w:szCs w:val="20"/>
              </w:rPr>
              <w:t>J. Basanavičiaus g. 6, Tytuvėnai, 86486 Kelmės r.</w:t>
            </w:r>
          </w:p>
        </w:tc>
      </w:tr>
      <w:tr w:rsidR="004F3EF0" w:rsidRPr="004F3EF0" w14:paraId="689AFF25"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5286C6" w14:textId="77777777" w:rsidR="004F3EF0" w:rsidRPr="004F3EF0" w:rsidRDefault="004F3EF0" w:rsidP="004F3EF0">
            <w:pPr>
              <w:spacing w:after="0" w:line="259" w:lineRule="auto"/>
              <w:jc w:val="both"/>
              <w:rPr>
                <w:rFonts w:eastAsia="Times New Roman"/>
                <w:kern w:val="2"/>
                <w:szCs w:val="20"/>
              </w:rPr>
            </w:pPr>
            <w:r w:rsidRPr="004F3EF0">
              <w:rPr>
                <w:rFonts w:eastAsia="Times New Roman"/>
                <w:b/>
                <w:bCs/>
                <w:kern w:val="2"/>
                <w:szCs w:val="20"/>
              </w:rPr>
              <w:t>Kartu su Prekėmis pateikiami šie dokumentai</w:t>
            </w:r>
            <w:r w:rsidRPr="004F3EF0">
              <w:rPr>
                <w:rFonts w:eastAsia="Times New Roman"/>
                <w:kern w:val="2"/>
                <w:szCs w:val="20"/>
              </w:rPr>
              <w:t xml:space="preserve">: </w:t>
            </w:r>
          </w:p>
          <w:p w14:paraId="02092C94" w14:textId="77777777" w:rsidR="004F3EF0" w:rsidRPr="004F3EF0" w:rsidRDefault="004F3EF0" w:rsidP="004F3EF0">
            <w:pPr>
              <w:spacing w:after="0" w:line="259" w:lineRule="auto"/>
              <w:jc w:val="both"/>
              <w:rPr>
                <w:rFonts w:eastAsia="Times New Roman"/>
                <w:szCs w:val="20"/>
              </w:rPr>
            </w:pPr>
            <w:r w:rsidRPr="004F3EF0">
              <w:rPr>
                <w:rFonts w:eastAsia="Times New Roman"/>
                <w:kern w:val="2"/>
                <w:szCs w:val="20"/>
              </w:rPr>
              <w:t>4.4.1 p</w:t>
            </w:r>
            <w:r w:rsidRPr="004F3EF0">
              <w:rPr>
                <w:rFonts w:eastAsia="Times New Roman"/>
                <w:szCs w:val="20"/>
              </w:rPr>
              <w:t xml:space="preserve">rekių priėmimo–perdavimo aktas (lietuvių kalba); </w:t>
            </w:r>
          </w:p>
          <w:p w14:paraId="34FFEAA8" w14:textId="77777777" w:rsidR="004F3EF0" w:rsidRPr="004F3EF0" w:rsidRDefault="004F3EF0" w:rsidP="004F3EF0">
            <w:pPr>
              <w:spacing w:after="0" w:line="259" w:lineRule="auto"/>
              <w:jc w:val="both"/>
              <w:rPr>
                <w:rFonts w:eastAsia="Times New Roman"/>
                <w:color w:val="000000"/>
                <w:szCs w:val="20"/>
              </w:rPr>
            </w:pPr>
            <w:r w:rsidRPr="004F3EF0">
              <w:rPr>
                <w:rFonts w:eastAsia="Times New Roman"/>
                <w:szCs w:val="20"/>
              </w:rPr>
              <w:t>4.4.2 t</w:t>
            </w:r>
            <w:r w:rsidRPr="004F3EF0">
              <w:rPr>
                <w:rFonts w:eastAsia="Times New Roman"/>
                <w:color w:val="000000"/>
                <w:szCs w:val="20"/>
              </w:rPr>
              <w:t>ransporto priemonės registracijos liudijimas ir privalomasis transporto valdytojų civilinės atsakomybės draudimo liudijimas (</w:t>
            </w:r>
            <w:r w:rsidRPr="004F3EF0">
              <w:rPr>
                <w:rFonts w:eastAsia="Times New Roman"/>
                <w:i/>
                <w:iCs/>
                <w:color w:val="000000"/>
                <w:szCs w:val="20"/>
              </w:rPr>
              <w:t>galiojantis ne mažiau 3 darbo dienas</w:t>
            </w:r>
            <w:r w:rsidRPr="004F3EF0">
              <w:rPr>
                <w:rFonts w:eastAsia="Times New Roman"/>
                <w:color w:val="000000"/>
                <w:szCs w:val="20"/>
              </w:rPr>
              <w:t xml:space="preserve"> </w:t>
            </w:r>
            <w:r w:rsidRPr="004F3EF0">
              <w:rPr>
                <w:rFonts w:eastAsia="Times New Roman"/>
                <w:i/>
                <w:iCs/>
                <w:szCs w:val="20"/>
              </w:rPr>
              <w:t>nuo prekės priėmimo–perdavimo dienos</w:t>
            </w:r>
            <w:r w:rsidRPr="004F3EF0">
              <w:rPr>
                <w:rFonts w:eastAsia="Times New Roman"/>
                <w:color w:val="000000"/>
                <w:szCs w:val="20"/>
              </w:rPr>
              <w:t xml:space="preserve">); </w:t>
            </w:r>
          </w:p>
          <w:p w14:paraId="58D9EE0C" w14:textId="77777777" w:rsidR="004F3EF0" w:rsidRPr="004F3EF0" w:rsidRDefault="004F3EF0" w:rsidP="004F3EF0">
            <w:pPr>
              <w:spacing w:after="0" w:line="259" w:lineRule="auto"/>
              <w:jc w:val="both"/>
              <w:rPr>
                <w:rFonts w:eastAsia="Times New Roman"/>
                <w:color w:val="000000"/>
                <w:szCs w:val="20"/>
              </w:rPr>
            </w:pPr>
            <w:r w:rsidRPr="004F3EF0">
              <w:rPr>
                <w:rFonts w:eastAsia="Times New Roman"/>
                <w:color w:val="000000"/>
                <w:szCs w:val="20"/>
              </w:rPr>
              <w:t>4.4.3 patvirtinimai dėl garantijų (eksploatacijos, antikorozinės ir baterijų);</w:t>
            </w:r>
          </w:p>
          <w:p w14:paraId="3B8E29FC" w14:textId="77777777" w:rsidR="004F3EF0" w:rsidRPr="004F3EF0" w:rsidRDefault="004F3EF0" w:rsidP="004F3EF0">
            <w:pPr>
              <w:spacing w:after="0" w:line="259" w:lineRule="auto"/>
              <w:jc w:val="both"/>
              <w:rPr>
                <w:rFonts w:eastAsia="Times New Roman"/>
                <w:color w:val="000000"/>
                <w:szCs w:val="20"/>
              </w:rPr>
            </w:pPr>
            <w:r w:rsidRPr="004F3EF0">
              <w:rPr>
                <w:rFonts w:eastAsia="Times New Roman"/>
                <w:color w:val="000000"/>
                <w:szCs w:val="20"/>
              </w:rPr>
              <w:lastRenderedPageBreak/>
              <w:t>4.4.4 atitiktį aplinkosauginiams reikalavimams įrodantys dokumentai;</w:t>
            </w:r>
          </w:p>
          <w:p w14:paraId="57ED8A67" w14:textId="77777777" w:rsidR="004F3EF0" w:rsidRPr="004F3EF0" w:rsidRDefault="004F3EF0" w:rsidP="004F3EF0">
            <w:pPr>
              <w:spacing w:after="0" w:line="259" w:lineRule="auto"/>
              <w:jc w:val="both"/>
              <w:rPr>
                <w:rFonts w:eastAsia="Times New Roman"/>
                <w:color w:val="000000"/>
                <w:szCs w:val="20"/>
              </w:rPr>
            </w:pPr>
            <w:r w:rsidRPr="004F3EF0">
              <w:rPr>
                <w:rFonts w:eastAsia="Times New Roman"/>
                <w:color w:val="000000"/>
                <w:szCs w:val="20"/>
              </w:rPr>
              <w:t>4.4.5. atitiktį techninės specifikacijos 1 lentelės 2 punkte nustatytus reikalavimams patvirtinantys dokumentai.</w:t>
            </w:r>
          </w:p>
          <w:p w14:paraId="4EE373CC" w14:textId="77777777" w:rsidR="004F3EF0" w:rsidRPr="004F3EF0" w:rsidRDefault="004F3EF0" w:rsidP="004F3EF0">
            <w:pPr>
              <w:spacing w:after="0" w:line="259" w:lineRule="auto"/>
              <w:jc w:val="both"/>
              <w:rPr>
                <w:rFonts w:eastAsia="Times New Roman"/>
                <w:kern w:val="2"/>
                <w:szCs w:val="20"/>
              </w:rPr>
            </w:pPr>
          </w:p>
          <w:p w14:paraId="03CB9B02" w14:textId="02D658BA" w:rsidR="004F3EF0" w:rsidRPr="004F3EF0" w:rsidRDefault="004F3EF0" w:rsidP="004F3EF0">
            <w:pPr>
              <w:spacing w:after="0" w:line="240" w:lineRule="auto"/>
              <w:rPr>
                <w:rFonts w:eastAsia="Times New Roman"/>
                <w:kern w:val="2"/>
              </w:rPr>
            </w:pPr>
            <w:r w:rsidRPr="004F3EF0">
              <w:rPr>
                <w:rFonts w:eastAsia="Times New Roman"/>
                <w:kern w:val="2"/>
                <w:szCs w:val="20"/>
              </w:rPr>
              <w:t>Tiekėjui nepateikus nurodytų dokumentų, laikoma, kad Prekės neatitinka Sutartyje nustatytų reikalavimų.</w:t>
            </w:r>
          </w:p>
        </w:tc>
      </w:tr>
      <w:tr w:rsidR="004F3EF0" w:rsidRPr="004F3EF0" w14:paraId="47B5B34D" w14:textId="77777777" w:rsidTr="00F353AA">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lastRenderedPageBreak/>
              <w:t>5. SUTARTIES KAINA IR ATSISKAITYMO TVARKA</w:t>
            </w:r>
          </w:p>
        </w:tc>
      </w:tr>
      <w:tr w:rsidR="004F3EF0" w:rsidRPr="004F3EF0" w14:paraId="68C7919B"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77777777"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P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93EAB5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43F294D" w14:textId="77777777" w:rsidR="004F3EF0" w:rsidRPr="004F3EF0" w:rsidRDefault="004F3EF0" w:rsidP="004F3EF0">
            <w:pPr>
              <w:spacing w:after="0" w:line="240" w:lineRule="auto"/>
              <w:rPr>
                <w:rFonts w:eastAsia="Times New Roman"/>
                <w:kern w:val="2"/>
              </w:rPr>
            </w:pPr>
          </w:p>
          <w:p w14:paraId="162057E0" w14:textId="77777777" w:rsidR="004F3EF0" w:rsidRPr="004F3EF0" w:rsidRDefault="004F3EF0" w:rsidP="004F3EF0">
            <w:pPr>
              <w:spacing w:after="0" w:line="240" w:lineRule="auto"/>
              <w:rPr>
                <w:rFonts w:eastAsia="Times New Roman"/>
                <w:color w:val="4472C4"/>
                <w:kern w:val="2"/>
              </w:rPr>
            </w:pPr>
          </w:p>
        </w:tc>
      </w:tr>
      <w:tr w:rsidR="004F3EF0" w:rsidRPr="004F3EF0" w14:paraId="4E16A40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lastRenderedPageBreak/>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lastRenderedPageBreak/>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2C031C5" w14:textId="77777777" w:rsidR="004F3EF0" w:rsidRPr="004F3EF0" w:rsidRDefault="004F3EF0" w:rsidP="004F3EF0">
            <w:pPr>
              <w:tabs>
                <w:tab w:val="left" w:pos="1440"/>
              </w:tabs>
              <w:spacing w:after="0" w:line="240" w:lineRule="auto"/>
              <w:jc w:val="both"/>
              <w:rPr>
                <w:rFonts w:eastAsia="Times New Roman"/>
                <w:szCs w:val="20"/>
              </w:rPr>
            </w:pPr>
            <w:r w:rsidRPr="004F3EF0">
              <w:rPr>
                <w:rFonts w:eastAsia="Times New Roman"/>
                <w:szCs w:val="20"/>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324221B1"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 xml:space="preserve">Apmokėjimo sąlygos </w:t>
            </w:r>
            <w:r w:rsidRPr="004F3EF0">
              <w:rPr>
                <w:rFonts w:eastAsia="Times New Roman"/>
                <w:kern w:val="2"/>
                <w:shd w:val="clear" w:color="auto" w:fill="FFFFFF"/>
              </w:rPr>
              <w:t>įvykdžius visus sutartinius įsipareigojimus, sumokama visa Sutarties kaina.</w:t>
            </w:r>
          </w:p>
        </w:tc>
      </w:tr>
      <w:tr w:rsidR="004F3EF0" w:rsidRPr="004F3EF0" w14:paraId="22CC11AB"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F353AA">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5E8409"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Elektromobiliui suteikta (</w:t>
            </w:r>
            <w:r w:rsidRPr="004F3EF0">
              <w:rPr>
                <w:rFonts w:eastAsia="Times New Roman"/>
                <w:i/>
                <w:iCs/>
                <w:color w:val="000000"/>
                <w:szCs w:val="20"/>
                <w:highlight w:val="yellow"/>
              </w:rPr>
              <w:t>įrašyti</w:t>
            </w:r>
            <w:r w:rsidRPr="004F3EF0">
              <w:rPr>
                <w:rFonts w:eastAsia="Times New Roman"/>
                <w:color w:val="000000"/>
                <w:szCs w:val="20"/>
              </w:rPr>
              <w:t>) mėnesių ir / arba 100 000</w:t>
            </w:r>
            <w:r w:rsidRPr="004F3EF0">
              <w:rPr>
                <w:rFonts w:eastAsia="Times New Roman"/>
                <w:i/>
                <w:iCs/>
                <w:color w:val="000000"/>
                <w:szCs w:val="20"/>
              </w:rPr>
              <w:t xml:space="preserve"> </w:t>
            </w:r>
            <w:r w:rsidRPr="004F3EF0">
              <w:rPr>
                <w:rFonts w:eastAsia="Times New Roman"/>
                <w:color w:val="000000"/>
                <w:szCs w:val="20"/>
              </w:rPr>
              <w:t xml:space="preserve">(vienas </w:t>
            </w:r>
            <w:r w:rsidRPr="004F3EF0">
              <w:rPr>
                <w:rFonts w:eastAsia="Times New Roman"/>
                <w:i/>
                <w:iCs/>
                <w:color w:val="000000"/>
                <w:szCs w:val="20"/>
              </w:rPr>
              <w:t>šimtas tūkstančių</w:t>
            </w:r>
            <w:r w:rsidRPr="004F3EF0">
              <w:rPr>
                <w:rFonts w:eastAsia="Times New Roman"/>
                <w:color w:val="000000"/>
                <w:szCs w:val="20"/>
              </w:rPr>
              <w:t>) km ridos garantija, priklausomai nuo to, kas sueina anksčiau (</w:t>
            </w:r>
            <w:r w:rsidRPr="004F3EF0">
              <w:rPr>
                <w:rFonts w:eastAsia="Times New Roman"/>
                <w:i/>
                <w:iCs/>
                <w:szCs w:val="20"/>
              </w:rPr>
              <w:t>išskyrus gamintojo numatytas išimtis).</w:t>
            </w:r>
          </w:p>
          <w:p w14:paraId="5EFC31D2"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p>
          <w:p w14:paraId="0C103C5B"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 xml:space="preserve">Antikorozinė (kiauryminio prarūdijimo) kėbulo garantija </w:t>
            </w:r>
            <w:r w:rsidRPr="004F3EF0">
              <w:rPr>
                <w:rFonts w:eastAsia="Times New Roman"/>
                <w:color w:val="000000"/>
                <w:szCs w:val="20"/>
                <w:highlight w:val="yellow"/>
              </w:rPr>
              <w:t>(</w:t>
            </w:r>
            <w:r w:rsidRPr="004F3EF0">
              <w:rPr>
                <w:rFonts w:eastAsia="Times New Roman"/>
                <w:i/>
                <w:iCs/>
                <w:color w:val="000000"/>
                <w:szCs w:val="20"/>
                <w:highlight w:val="yellow"/>
              </w:rPr>
              <w:t>įrašyti</w:t>
            </w:r>
            <w:r w:rsidRPr="004F3EF0">
              <w:rPr>
                <w:rFonts w:eastAsia="Times New Roman"/>
                <w:color w:val="000000"/>
                <w:szCs w:val="20"/>
                <w:highlight w:val="yellow"/>
              </w:rPr>
              <w:t>)</w:t>
            </w:r>
            <w:r w:rsidRPr="004F3EF0">
              <w:rPr>
                <w:rFonts w:eastAsia="Times New Roman"/>
                <w:color w:val="000000"/>
                <w:szCs w:val="20"/>
              </w:rPr>
              <w:t xml:space="preserve"> mėn. (</w:t>
            </w:r>
            <w:r w:rsidRPr="004F3EF0">
              <w:rPr>
                <w:rFonts w:eastAsia="Times New Roman"/>
                <w:i/>
                <w:iCs/>
                <w:szCs w:val="20"/>
              </w:rPr>
              <w:t>išskyrus gamintojo numatytas išimtis).</w:t>
            </w:r>
          </w:p>
          <w:p w14:paraId="65E81439"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p>
          <w:p w14:paraId="135CAC25"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r w:rsidRPr="004F3EF0">
              <w:rPr>
                <w:rFonts w:eastAsia="Times New Roman"/>
                <w:color w:val="000000"/>
                <w:szCs w:val="20"/>
              </w:rPr>
              <w:t>Akumuliatoriaus baterijos garantija – (</w:t>
            </w:r>
            <w:r w:rsidRPr="004F3EF0">
              <w:rPr>
                <w:rFonts w:eastAsia="Times New Roman"/>
                <w:i/>
                <w:iCs/>
                <w:color w:val="000000"/>
                <w:szCs w:val="20"/>
                <w:highlight w:val="yellow"/>
              </w:rPr>
              <w:t>įrašyti</w:t>
            </w:r>
            <w:r w:rsidRPr="004F3EF0">
              <w:rPr>
                <w:rFonts w:eastAsia="Times New Roman"/>
                <w:color w:val="000000"/>
                <w:szCs w:val="20"/>
              </w:rPr>
              <w:t xml:space="preserve">) metai ir / arba </w:t>
            </w:r>
            <w:r w:rsidRPr="004F3EF0">
              <w:rPr>
                <w:rFonts w:eastAsia="Times New Roman"/>
                <w:color w:val="000000"/>
                <w:szCs w:val="20"/>
                <w:highlight w:val="yellow"/>
              </w:rPr>
              <w:t>(įrašyti</w:t>
            </w:r>
            <w:r w:rsidRPr="004F3EF0">
              <w:rPr>
                <w:rFonts w:eastAsia="Times New Roman"/>
                <w:color w:val="000000"/>
                <w:szCs w:val="20"/>
              </w:rPr>
              <w:t>) km ridos garantija, priklausomai nuo to, kas įvyko anksčiau (</w:t>
            </w:r>
            <w:r w:rsidRPr="004F3EF0">
              <w:rPr>
                <w:rFonts w:eastAsia="Times New Roman"/>
                <w:i/>
                <w:iCs/>
                <w:szCs w:val="20"/>
              </w:rPr>
              <w:t>išskyrus gamintojo numatytas išimtis).</w:t>
            </w:r>
          </w:p>
          <w:p w14:paraId="6544CE52" w14:textId="77777777" w:rsidR="004F3EF0" w:rsidRPr="004F3EF0" w:rsidRDefault="004F3EF0" w:rsidP="004F3EF0">
            <w:pPr>
              <w:autoSpaceDE w:val="0"/>
              <w:autoSpaceDN w:val="0"/>
              <w:adjustRightInd w:val="0"/>
              <w:spacing w:after="0" w:line="240" w:lineRule="auto"/>
              <w:jc w:val="both"/>
              <w:rPr>
                <w:rFonts w:eastAsia="Times New Roman"/>
                <w:color w:val="000000"/>
                <w:szCs w:val="20"/>
              </w:rPr>
            </w:pPr>
          </w:p>
          <w:p w14:paraId="1BAC198D" w14:textId="77777777" w:rsidR="004F3EF0" w:rsidRPr="004F3EF0" w:rsidRDefault="004F3EF0" w:rsidP="004F3EF0">
            <w:pPr>
              <w:spacing w:after="0" w:line="240" w:lineRule="auto"/>
              <w:rPr>
                <w:rFonts w:eastAsia="Times New Roman"/>
                <w:kern w:val="2"/>
              </w:rPr>
            </w:pPr>
            <w:r w:rsidRPr="004F3EF0">
              <w:rPr>
                <w:rFonts w:eastAsia="Times New Roman"/>
                <w:kern w:val="2"/>
                <w:szCs w:val="20"/>
              </w:rPr>
              <w:t>Garantinis terminas skaičiuojamas nuo Prekių perdavimo–priėmimo akto ar Sąskaitos (kai Prekių perdavimo–priėmimo aktas nėra pasirašomas) pasirašymo dienos. Pardavėjas garantuoja Prekių kokybę ir paslėptų trūkumų nebuvimą.</w:t>
            </w:r>
          </w:p>
        </w:tc>
      </w:tr>
      <w:tr w:rsidR="004F3EF0" w:rsidRPr="004F3EF0" w14:paraId="35AAAE5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B1FFAF" w14:textId="4DD94718" w:rsidR="004F3EF0" w:rsidRPr="004F3EF0" w:rsidRDefault="004F3EF0" w:rsidP="004F3EF0">
            <w:pPr>
              <w:spacing w:after="0" w:line="240" w:lineRule="auto"/>
              <w:rPr>
                <w:rFonts w:eastAsia="Times New Roman"/>
                <w:kern w:val="2"/>
              </w:rPr>
            </w:pPr>
            <w:r w:rsidRPr="004F3EF0">
              <w:rPr>
                <w:rFonts w:eastAsia="Times New Roman"/>
                <w:kern w:val="2"/>
              </w:rPr>
              <w:t>Prekių trūkumų nustatymo bei šalinimo tvarka nustatyta Bendrųjų sąlygų 7 skyriuje.</w:t>
            </w:r>
          </w:p>
        </w:tc>
      </w:tr>
      <w:tr w:rsidR="004F3EF0" w:rsidRPr="004F3EF0" w14:paraId="338ADD2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2E31C5D9" w14:textId="77777777" w:rsidR="004F3EF0" w:rsidRPr="004F3EF0" w:rsidRDefault="004F3EF0" w:rsidP="004F3EF0">
            <w:pPr>
              <w:spacing w:after="0" w:line="240" w:lineRule="auto"/>
              <w:rPr>
                <w:rFonts w:eastAsia="Times New Roman"/>
                <w:kern w:val="2"/>
              </w:rPr>
            </w:pPr>
          </w:p>
          <w:p w14:paraId="467FE542" w14:textId="77777777" w:rsidR="004F3EF0" w:rsidRPr="004F3EF0" w:rsidRDefault="004F3EF0" w:rsidP="004F3EF0">
            <w:pPr>
              <w:spacing w:after="0" w:line="240" w:lineRule="auto"/>
              <w:rPr>
                <w:rFonts w:eastAsia="Times New Roman"/>
                <w:kern w:val="2"/>
              </w:rPr>
            </w:pPr>
          </w:p>
        </w:tc>
      </w:tr>
      <w:tr w:rsidR="004F3EF0" w:rsidRPr="004F3EF0" w14:paraId="7A3FBDC6" w14:textId="77777777" w:rsidTr="00F353AA">
        <w:trPr>
          <w:trHeight w:val="300"/>
        </w:trPr>
        <w:tc>
          <w:tcPr>
            <w:tcW w:w="9535" w:type="dxa"/>
            <w:gridSpan w:val="5"/>
          </w:tcPr>
          <w:p w14:paraId="7152381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4F3EF0" w:rsidRPr="004F3EF0" w14:paraId="7AF762F5"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vykdymui subtiekėjai ir (ar) specialistai nepasitelkiami.</w:t>
            </w:r>
          </w:p>
          <w:p w14:paraId="2F6E2469" w14:textId="77777777" w:rsidR="004F3EF0" w:rsidRPr="004F3EF0" w:rsidRDefault="004F3EF0" w:rsidP="004F3EF0">
            <w:pPr>
              <w:spacing w:after="0" w:line="240" w:lineRule="auto"/>
              <w:rPr>
                <w:rFonts w:eastAsia="Times New Roman"/>
                <w:kern w:val="2"/>
              </w:rPr>
            </w:pPr>
          </w:p>
          <w:p w14:paraId="2F77A02B" w14:textId="77777777" w:rsidR="004F3EF0" w:rsidRPr="004F3EF0" w:rsidRDefault="004F3EF0" w:rsidP="004F3EF0">
            <w:pPr>
              <w:spacing w:after="0" w:line="240" w:lineRule="auto"/>
              <w:rPr>
                <w:rFonts w:eastAsia="Times New Roman"/>
                <w:color w:val="FF0000"/>
                <w:kern w:val="2"/>
              </w:rPr>
            </w:pPr>
            <w:r w:rsidRPr="004F3EF0">
              <w:rPr>
                <w:rFonts w:eastAsia="Times New Roman"/>
                <w:color w:val="FF0000"/>
                <w:kern w:val="2"/>
              </w:rPr>
              <w:t>arba</w:t>
            </w:r>
          </w:p>
          <w:p w14:paraId="1B486B2A" w14:textId="77777777" w:rsidR="004F3EF0" w:rsidRPr="004F3EF0" w:rsidRDefault="004F3EF0" w:rsidP="004F3EF0">
            <w:pPr>
              <w:spacing w:after="0" w:line="240" w:lineRule="auto"/>
              <w:rPr>
                <w:rFonts w:eastAsia="Times New Roman"/>
                <w:kern w:val="2"/>
              </w:rPr>
            </w:pPr>
          </w:p>
          <w:p w14:paraId="4443E00E" w14:textId="77777777" w:rsidR="004F3EF0" w:rsidRPr="004F3EF0" w:rsidRDefault="004F3EF0" w:rsidP="004F3EF0">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4F3EF0" w:rsidRPr="004F3EF0" w14:paraId="28ED268F" w14:textId="77777777" w:rsidTr="00F353AA">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4F3EF0" w:rsidRPr="004F3EF0" w14:paraId="34C453D3"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F353AA">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E9ABF0"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tc>
      </w:tr>
      <w:tr w:rsidR="004F3EF0" w:rsidRPr="004F3EF0" w14:paraId="3166B637"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4587"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 xml:space="preserve">9.7. Tiekėjui taikomos netesybos dėl pirkimo dokumentuose nustatytų Kokybinių </w:t>
            </w:r>
            <w:r w:rsidRPr="004F3EF0">
              <w:rPr>
                <w:rFonts w:eastAsia="Times New Roman"/>
                <w:b/>
                <w:bCs/>
                <w:kern w:val="2"/>
                <w:szCs w:val="20"/>
              </w:rPr>
              <w:lastRenderedPageBreak/>
              <w:t xml:space="preserve">kriterijų </w:t>
            </w:r>
            <w:proofErr w:type="spellStart"/>
            <w:r w:rsidRPr="004F3EF0">
              <w:rPr>
                <w:rFonts w:eastAsia="Times New Roman"/>
                <w:b/>
                <w:bCs/>
                <w:kern w:val="2"/>
                <w:szCs w:val="20"/>
              </w:rPr>
              <w:t>nepasiekimo</w:t>
            </w:r>
            <w:proofErr w:type="spellEnd"/>
            <w:r w:rsidRPr="004F3EF0">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lastRenderedPageBreak/>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F353AA">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F353AA">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4BB390D3" w:rsidR="004F3EF0" w:rsidRPr="00FB1B0B"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F353AA">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0613311E" w14:textId="71E42250" w:rsidR="004F3EF0" w:rsidRPr="000C54B7" w:rsidRDefault="000C54B7" w:rsidP="004F3EF0">
            <w:pPr>
              <w:spacing w:after="0" w:line="240" w:lineRule="auto"/>
              <w:rPr>
                <w:rFonts w:eastAsia="Times New Roman"/>
                <w:kern w:val="2"/>
              </w:rPr>
            </w:pPr>
            <w:r>
              <w:rPr>
                <w:rFonts w:eastAsia="Times New Roman"/>
                <w:kern w:val="2"/>
              </w:rPr>
              <w:t>10.</w:t>
            </w:r>
            <w:r w:rsidR="004F3EF0" w:rsidRPr="000C54B7">
              <w:rPr>
                <w:rFonts w:eastAsia="Times New Roman"/>
                <w:kern w:val="2"/>
              </w:rPr>
              <w:t>2.</w:t>
            </w:r>
            <w:r>
              <w:rPr>
                <w:rFonts w:eastAsia="Times New Roman"/>
                <w:kern w:val="2"/>
              </w:rPr>
              <w:t>1</w:t>
            </w:r>
            <w:r w:rsidR="004F3EF0" w:rsidRPr="000C54B7">
              <w:rPr>
                <w:rFonts w:eastAsia="Times New Roman"/>
                <w:kern w:val="2"/>
              </w:rPr>
              <w:t xml:space="preserve"> </w:t>
            </w:r>
            <w:r w:rsidR="00D50B86">
              <w:rPr>
                <w:rFonts w:eastAsia="Times New Roman"/>
                <w:kern w:val="2"/>
              </w:rPr>
              <w:t xml:space="preserve">dideliu arba nuolatiniu </w:t>
            </w:r>
            <w:r w:rsidR="004F3EF0" w:rsidRPr="000C54B7">
              <w:rPr>
                <w:rFonts w:eastAsia="Times New Roman"/>
                <w:kern w:val="2"/>
              </w:rPr>
              <w:t xml:space="preserve">esminės Sutarties sąlygos vykdymo trūkumu laikomas Tiekėjo uždelsimas, trunkantis daugiau </w:t>
            </w:r>
            <w:r w:rsidRPr="000C54B7">
              <w:rPr>
                <w:rFonts w:eastAsia="Times New Roman"/>
                <w:kern w:val="2"/>
              </w:rPr>
              <w:t>nei 1</w:t>
            </w:r>
            <w:r w:rsidR="004F3EF0" w:rsidRPr="000C54B7">
              <w:rPr>
                <w:rFonts w:eastAsia="Times New Roman"/>
                <w:kern w:val="2"/>
              </w:rPr>
              <w:t xml:space="preserve"> </w:t>
            </w:r>
            <w:r w:rsidRPr="000C54B7">
              <w:rPr>
                <w:rFonts w:eastAsia="Times New Roman"/>
                <w:kern w:val="2"/>
              </w:rPr>
              <w:t>mėn.</w:t>
            </w:r>
            <w:r w:rsidR="004F3EF0" w:rsidRPr="000C54B7">
              <w:rPr>
                <w:rFonts w:eastAsia="Times New Roman"/>
                <w:kern w:val="2"/>
              </w:rPr>
              <w:t>, tiekti Prekes</w:t>
            </w:r>
            <w:r w:rsidR="00D50B86">
              <w:rPr>
                <w:rFonts w:eastAsia="Times New Roman"/>
                <w:kern w:val="2"/>
              </w:rPr>
              <w:t>.</w:t>
            </w:r>
          </w:p>
        </w:tc>
      </w:tr>
      <w:tr w:rsidR="004F3EF0" w:rsidRPr="004F3EF0" w14:paraId="2E589487" w14:textId="77777777" w:rsidTr="00F353AA">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F353A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215FA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10.1.1. Ši Sutartis laikoma sudaryta ir įsigalioja nuo Sutarties pasirašymo dienos (antrosios Šalies pasirašymo dieną).</w:t>
            </w:r>
          </w:p>
          <w:p w14:paraId="0E5EFF8E"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10.1.2. Sutartis galioja iki visiško prievolių įvykdymo, bet jos terminas negali būti ilgesnis </w:t>
            </w:r>
            <w:r w:rsidRPr="004F3EF0">
              <w:rPr>
                <w:rFonts w:eastAsia="Times New Roman"/>
                <w:b/>
                <w:bCs/>
                <w:kern w:val="2"/>
              </w:rPr>
              <w:t xml:space="preserve">kaip 7 mėnesiai. </w:t>
            </w:r>
            <w:r w:rsidRPr="004F3EF0">
              <w:rPr>
                <w:rFonts w:eastAsia="Times New Roman"/>
                <w:kern w:val="2"/>
              </w:rPr>
              <w:t>T</w:t>
            </w:r>
            <w:r w:rsidRPr="004F3EF0">
              <w:rPr>
                <w:rFonts w:eastAsia="Times New Roman"/>
              </w:rPr>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F353AA">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F353AA">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F353AA">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2CB4745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12.2.1. jeigu Tiekėjas nevykdo prisiimtų įsipareigojimų už Sutartyje nustatytą Sutarties kainą;</w:t>
            </w:r>
          </w:p>
          <w:p w14:paraId="21E09E6D" w14:textId="77777777" w:rsidR="004F3EF0" w:rsidRPr="004F3EF0" w:rsidRDefault="004F3EF0" w:rsidP="004F3EF0">
            <w:pPr>
              <w:spacing w:after="0" w:line="259" w:lineRule="auto"/>
              <w:jc w:val="both"/>
              <w:rPr>
                <w:rFonts w:eastAsia="Arial"/>
                <w:kern w:val="2"/>
                <w:szCs w:val="20"/>
                <w:lang w:val="lt"/>
              </w:rPr>
            </w:pPr>
            <w:r w:rsidRPr="004F3EF0">
              <w:rPr>
                <w:rFonts w:eastAsia="Arial"/>
                <w:kern w:val="2"/>
                <w:szCs w:val="20"/>
                <w:lang w:val="lt"/>
              </w:rPr>
              <w:t>12.2.2. jeigu Tiekėjas nesilaiko Sutartyje nustatytų Prekių tiekimo termino ir vėluoja pristatyti Prekes daugiau nei 1 mėn. Sutartyje nustatytas Prekių pristatymo terminas 6 mėn. nuo sutarties įsigaliojimo datos;</w:t>
            </w:r>
          </w:p>
          <w:p w14:paraId="412A8D7F" w14:textId="77777777" w:rsidR="004F3EF0" w:rsidRPr="004F3EF0" w:rsidRDefault="004F3EF0" w:rsidP="004F3EF0">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t>12.2.3. Tiekėjas pažeidžia Prekių pristatymo terminus ir dėl Prekių pristatymo vėlavimo Prekės tampa nebereikalingos;</w:t>
            </w:r>
          </w:p>
          <w:p w14:paraId="75FFB966" w14:textId="0CD92F40" w:rsidR="004F3EF0" w:rsidRPr="00DF4869" w:rsidRDefault="004F3EF0" w:rsidP="00DF4869">
            <w:pPr>
              <w:tabs>
                <w:tab w:val="left" w:pos="567"/>
                <w:tab w:val="left" w:pos="851"/>
                <w:tab w:val="left" w:pos="992"/>
                <w:tab w:val="left" w:pos="1134"/>
              </w:tabs>
              <w:spacing w:after="0" w:line="259" w:lineRule="auto"/>
              <w:jc w:val="both"/>
              <w:rPr>
                <w:rFonts w:eastAsia="Arial"/>
                <w:kern w:val="2"/>
                <w:szCs w:val="20"/>
                <w:lang w:val="lt"/>
              </w:rPr>
            </w:pPr>
            <w:r w:rsidRPr="004F3EF0">
              <w:rPr>
                <w:rFonts w:eastAsia="Arial"/>
                <w:kern w:val="2"/>
                <w:szCs w:val="20"/>
                <w:lang w:val="lt"/>
              </w:rPr>
              <w:lastRenderedPageBreak/>
              <w:t>12.2.4. Tiekėjas pristato Prekes, kurios neatitinka Sutartyje, pirkimo dokumentuose ir (ar) Įstatymuose nustatytų reikalavimų Prekėms;</w:t>
            </w:r>
          </w:p>
        </w:tc>
      </w:tr>
      <w:tr w:rsidR="004F3EF0" w:rsidRPr="004F3EF0" w14:paraId="7F54996C" w14:textId="77777777" w:rsidTr="00F353AA">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lastRenderedPageBreak/>
              <w:t xml:space="preserve">13. APLINKOSAUGINIAI IR SOCIALINIAI KRITERIJAI </w:t>
            </w:r>
          </w:p>
        </w:tc>
      </w:tr>
      <w:tr w:rsidR="004F3EF0" w:rsidRPr="004F3EF0" w14:paraId="55F5D80C" w14:textId="77777777" w:rsidTr="00F353AA">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6DA6B4C2" w14:textId="58B6EB7C" w:rsidR="00250244" w:rsidRPr="00250244" w:rsidRDefault="004F3EF0" w:rsidP="00250244">
            <w:pPr>
              <w:spacing w:after="0" w:line="240" w:lineRule="auto"/>
              <w:jc w:val="both"/>
              <w:rPr>
                <w:rFonts w:eastAsia="Times New Roman"/>
                <w:b/>
                <w:bCs/>
                <w:kern w:val="2"/>
              </w:rPr>
            </w:pPr>
            <w:r w:rsidRPr="004F3EF0">
              <w:rPr>
                <w:rFonts w:eastAsia="Times New Roman"/>
                <w:szCs w:val="20"/>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Tvarkos aprašo 2 priedo </w:t>
            </w:r>
            <w:r w:rsidRPr="004F3EF0">
              <w:rPr>
                <w:rFonts w:eastAsia="Times New Roman"/>
                <w:szCs w:val="20"/>
                <w:lang w:eastAsia="lt-LT"/>
              </w:rPr>
              <w:t xml:space="preserve">Tvarkos aprašo 2 priedo „Minimalūs aplinkos apsaugos kriterijai“ 10.1.1 </w:t>
            </w:r>
            <w:r w:rsidRPr="004F3EF0">
              <w:rPr>
                <w:rFonts w:eastAsia="Times New Roman"/>
                <w:szCs w:val="20"/>
                <w:vertAlign w:val="superscript"/>
                <w:lang w:eastAsia="lt-LT"/>
              </w:rPr>
              <w:footnoteReference w:id="1"/>
            </w:r>
            <w:r w:rsidRPr="004F3EF0">
              <w:rPr>
                <w:rFonts w:eastAsia="Times New Roman"/>
                <w:szCs w:val="20"/>
                <w:lang w:eastAsia="lt-LT"/>
              </w:rPr>
              <w:t>papunkčiu ir perkama netarši transporto priemonė</w:t>
            </w:r>
            <w:r w:rsidRPr="004F3EF0">
              <w:rPr>
                <w:rFonts w:eastAsia="Times New Roman"/>
                <w:szCs w:val="20"/>
                <w:vertAlign w:val="superscript"/>
                <w:lang w:eastAsia="lt-LT"/>
              </w:rPr>
              <w:footnoteReference w:id="2"/>
            </w:r>
            <w:r w:rsidRPr="004F3EF0">
              <w:rPr>
                <w:rFonts w:eastAsia="Times New Roman"/>
                <w:szCs w:val="20"/>
                <w:lang w:eastAsia="lt-LT"/>
              </w:rPr>
              <w:t xml:space="preserve">. </w:t>
            </w:r>
            <w:r w:rsidR="00250244" w:rsidRPr="00250244">
              <w:rPr>
                <w:rFonts w:eastAsia="Times New Roman"/>
                <w:lang w:eastAsia="lt-LT"/>
              </w:rPr>
              <w:t xml:space="preserve">Sutarties vykdymo metu </w:t>
            </w:r>
            <w:r w:rsidR="00250244">
              <w:rPr>
                <w:rFonts w:eastAsia="Times New Roman"/>
                <w:lang w:eastAsia="lt-LT"/>
              </w:rPr>
              <w:t xml:space="preserve">tiekėjas </w:t>
            </w:r>
            <w:r w:rsidR="00250244" w:rsidRPr="00250244">
              <w:rPr>
                <w:rFonts w:eastAsia="Times New Roman"/>
                <w:lang w:eastAsia="lt-LT"/>
              </w:rPr>
              <w:t xml:space="preserve">turės </w:t>
            </w:r>
            <w:r w:rsidR="00250244">
              <w:rPr>
                <w:rFonts w:eastAsia="Times New Roman"/>
                <w:lang w:eastAsia="lt-LT"/>
              </w:rPr>
              <w:t>pateikti</w:t>
            </w:r>
            <w:r w:rsidR="00250244" w:rsidRPr="00250244">
              <w:rPr>
                <w:rFonts w:eastAsia="Times New Roman"/>
                <w:lang w:eastAsia="lt-LT"/>
              </w:rPr>
              <w:t xml:space="preserve"> prekės gamintojo </w:t>
            </w:r>
            <w:r w:rsidR="00250244" w:rsidRPr="00250244">
              <w:t>technini</w:t>
            </w:r>
            <w:r w:rsidR="003747D2">
              <w:t>us</w:t>
            </w:r>
            <w:r w:rsidR="00250244" w:rsidRPr="00250244">
              <w:t xml:space="preserve"> dokument</w:t>
            </w:r>
            <w:r w:rsidR="003747D2">
              <w:t xml:space="preserve">us </w:t>
            </w:r>
            <w:r w:rsidR="00250244" w:rsidRPr="00250244">
              <w:t xml:space="preserve">(transporto priemonės tipo patvirtinimo dokumentai) arba </w:t>
            </w:r>
          </w:p>
          <w:p w14:paraId="2F717628" w14:textId="411CE1E1" w:rsidR="00250244" w:rsidRPr="00250244" w:rsidRDefault="00250244" w:rsidP="00250244">
            <w:pPr>
              <w:pStyle w:val="Default"/>
              <w:numPr>
                <w:ilvl w:val="0"/>
                <w:numId w:val="38"/>
              </w:numPr>
              <w:jc w:val="both"/>
              <w:rPr>
                <w:rFonts w:ascii="Times New Roman" w:hAnsi="Times New Roman" w:cs="Times New Roman"/>
              </w:rPr>
            </w:pPr>
            <w:r w:rsidRPr="00250244">
              <w:rPr>
                <w:rFonts w:ascii="Times New Roman" w:hAnsi="Times New Roman" w:cs="Times New Roman"/>
              </w:rPr>
              <w:t>kit</w:t>
            </w:r>
            <w:r w:rsidR="003747D2">
              <w:rPr>
                <w:rFonts w:ascii="Times New Roman" w:hAnsi="Times New Roman" w:cs="Times New Roman"/>
              </w:rPr>
              <w:t xml:space="preserve">us </w:t>
            </w:r>
            <w:r w:rsidRPr="00250244">
              <w:rPr>
                <w:rFonts w:ascii="Times New Roman" w:hAnsi="Times New Roman" w:cs="Times New Roman"/>
              </w:rPr>
              <w:t>lygiaverči</w:t>
            </w:r>
            <w:r w:rsidR="003747D2">
              <w:rPr>
                <w:rFonts w:ascii="Times New Roman" w:hAnsi="Times New Roman" w:cs="Times New Roman"/>
              </w:rPr>
              <w:t>us</w:t>
            </w:r>
            <w:r w:rsidRPr="00250244">
              <w:rPr>
                <w:rFonts w:ascii="Times New Roman" w:hAnsi="Times New Roman" w:cs="Times New Roman"/>
              </w:rPr>
              <w:t xml:space="preserve"> įrodym</w:t>
            </w:r>
            <w:r w:rsidR="003747D2">
              <w:rPr>
                <w:rFonts w:ascii="Times New Roman" w:hAnsi="Times New Roman" w:cs="Times New Roman"/>
              </w:rPr>
              <w:t>us</w:t>
            </w:r>
            <w:r w:rsidRPr="00250244">
              <w:rPr>
                <w:rFonts w:ascii="Times New Roman" w:hAnsi="Times New Roman" w:cs="Times New Roman"/>
              </w:rPr>
              <w:t xml:space="preserve">. </w:t>
            </w:r>
          </w:p>
          <w:p w14:paraId="5EED7030" w14:textId="0B2E78FF" w:rsidR="004F3EF0" w:rsidRPr="004F3EF0" w:rsidRDefault="004F3EF0" w:rsidP="004F3EF0">
            <w:pPr>
              <w:spacing w:after="0" w:line="240" w:lineRule="auto"/>
              <w:rPr>
                <w:rFonts w:eastAsia="Times New Roman"/>
                <w:b/>
                <w:bCs/>
                <w:kern w:val="2"/>
              </w:rPr>
            </w:pPr>
          </w:p>
        </w:tc>
      </w:tr>
      <w:tr w:rsidR="004F3EF0" w:rsidRPr="004F3EF0" w14:paraId="51EED25B" w14:textId="77777777" w:rsidTr="00F353AA">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F353AA">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F353AA">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F353AA">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F353AA">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F353AA">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F353AA">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F353AA">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F353AA">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F353AA">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2668" w14:textId="77777777" w:rsidR="00D54492" w:rsidRDefault="00D54492" w:rsidP="00D54492">
      <w:pPr>
        <w:spacing w:after="0" w:line="240" w:lineRule="auto"/>
      </w:pPr>
      <w:r>
        <w:separator/>
      </w:r>
    </w:p>
  </w:endnote>
  <w:endnote w:type="continuationSeparator" w:id="0">
    <w:p w14:paraId="2A5E9BE0" w14:textId="77777777" w:rsidR="00D54492" w:rsidRDefault="00D54492"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D977" w14:textId="77777777" w:rsidR="00D54492" w:rsidRDefault="00D54492" w:rsidP="00D54492">
      <w:pPr>
        <w:spacing w:after="0" w:line="240" w:lineRule="auto"/>
      </w:pPr>
      <w:r>
        <w:separator/>
      </w:r>
    </w:p>
  </w:footnote>
  <w:footnote w:type="continuationSeparator" w:id="0">
    <w:p w14:paraId="2D55EA5E" w14:textId="77777777" w:rsidR="00D54492" w:rsidRDefault="00D54492" w:rsidP="00D54492">
      <w:pPr>
        <w:spacing w:after="0" w:line="240" w:lineRule="auto"/>
      </w:pPr>
      <w:r>
        <w:continuationSeparator/>
      </w:r>
    </w:p>
  </w:footnote>
  <w:footnote w:id="1">
    <w:p w14:paraId="0E2DC2AE" w14:textId="77777777" w:rsidR="004F3EF0" w:rsidRDefault="004F3EF0" w:rsidP="004F3EF0">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0C924D94" w14:textId="77777777" w:rsidR="004F3EF0" w:rsidRPr="004F3EF0" w:rsidRDefault="004F3EF0" w:rsidP="004F3EF0">
      <w:pPr>
        <w:pStyle w:val="Puslapioinaostekstas"/>
        <w:jc w:val="both"/>
        <w:rPr>
          <w:rFonts w:ascii="Calibri" w:hAnsi="Calibri"/>
        </w:rPr>
      </w:pPr>
      <w:r>
        <w:rPr>
          <w:rStyle w:val="Puslapioinaosnuoroda"/>
          <w:sz w:val="18"/>
          <w:szCs w:val="18"/>
        </w:rPr>
        <w:footnoteRef/>
      </w:r>
      <w:r>
        <w:rPr>
          <w:sz w:val="18"/>
          <w:szCs w:val="18"/>
        </w:rPr>
        <w:t xml:space="preserve"> </w:t>
      </w:r>
      <w:r>
        <w:rPr>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8236243">
    <w:abstractNumId w:val="33"/>
  </w:num>
  <w:num w:numId="2" w16cid:durableId="1304236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5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658">
    <w:abstractNumId w:val="18"/>
  </w:num>
  <w:num w:numId="5" w16cid:durableId="1584217778">
    <w:abstractNumId w:val="16"/>
  </w:num>
  <w:num w:numId="6" w16cid:durableId="233854726">
    <w:abstractNumId w:val="2"/>
  </w:num>
  <w:num w:numId="7" w16cid:durableId="1549102080">
    <w:abstractNumId w:val="8"/>
  </w:num>
  <w:num w:numId="8" w16cid:durableId="637027123">
    <w:abstractNumId w:val="6"/>
  </w:num>
  <w:num w:numId="9" w16cid:durableId="1400516988">
    <w:abstractNumId w:val="35"/>
  </w:num>
  <w:num w:numId="10" w16cid:durableId="677584603">
    <w:abstractNumId w:val="29"/>
  </w:num>
  <w:num w:numId="11" w16cid:durableId="355354793">
    <w:abstractNumId w:val="0"/>
  </w:num>
  <w:num w:numId="12" w16cid:durableId="1344086359">
    <w:abstractNumId w:val="3"/>
  </w:num>
  <w:num w:numId="13" w16cid:durableId="1558321991">
    <w:abstractNumId w:val="10"/>
  </w:num>
  <w:num w:numId="14" w16cid:durableId="1977101538">
    <w:abstractNumId w:val="30"/>
  </w:num>
  <w:num w:numId="15" w16cid:durableId="1594119637">
    <w:abstractNumId w:val="17"/>
  </w:num>
  <w:num w:numId="16" w16cid:durableId="600724172">
    <w:abstractNumId w:val="25"/>
  </w:num>
  <w:num w:numId="17" w16cid:durableId="743769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576875">
    <w:abstractNumId w:val="5"/>
  </w:num>
  <w:num w:numId="19" w16cid:durableId="1773474149">
    <w:abstractNumId w:val="19"/>
  </w:num>
  <w:num w:numId="20" w16cid:durableId="1116607901">
    <w:abstractNumId w:val="15"/>
  </w:num>
  <w:num w:numId="21" w16cid:durableId="2107770031">
    <w:abstractNumId w:val="31"/>
  </w:num>
  <w:num w:numId="22" w16cid:durableId="538516925">
    <w:abstractNumId w:val="7"/>
  </w:num>
  <w:num w:numId="23" w16cid:durableId="1283996182">
    <w:abstractNumId w:val="20"/>
  </w:num>
  <w:num w:numId="24" w16cid:durableId="273103119">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79253">
    <w:abstractNumId w:val="34"/>
  </w:num>
  <w:num w:numId="26" w16cid:durableId="9130478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576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29050">
    <w:abstractNumId w:val="23"/>
  </w:num>
  <w:num w:numId="29" w16cid:durableId="331301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36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980312">
    <w:abstractNumId w:val="9"/>
  </w:num>
  <w:num w:numId="33" w16cid:durableId="1614708353">
    <w:abstractNumId w:val="21"/>
  </w:num>
  <w:num w:numId="34" w16cid:durableId="2095668205">
    <w:abstractNumId w:val="4"/>
  </w:num>
  <w:num w:numId="35" w16cid:durableId="1752192256">
    <w:abstractNumId w:val="22"/>
  </w:num>
  <w:num w:numId="36" w16cid:durableId="291908026">
    <w:abstractNumId w:val="26"/>
  </w:num>
  <w:num w:numId="37" w16cid:durableId="159674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402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2"/>
    <w:rsid w:val="00097617"/>
    <w:rsid w:val="000C54B7"/>
    <w:rsid w:val="00136A74"/>
    <w:rsid w:val="00156664"/>
    <w:rsid w:val="00165EB4"/>
    <w:rsid w:val="001922BC"/>
    <w:rsid w:val="001D52DF"/>
    <w:rsid w:val="00250244"/>
    <w:rsid w:val="002F64FB"/>
    <w:rsid w:val="00311512"/>
    <w:rsid w:val="003747D2"/>
    <w:rsid w:val="00466E15"/>
    <w:rsid w:val="004F3EF0"/>
    <w:rsid w:val="005236B2"/>
    <w:rsid w:val="00527327"/>
    <w:rsid w:val="005403D6"/>
    <w:rsid w:val="00586093"/>
    <w:rsid w:val="005C3BB5"/>
    <w:rsid w:val="006277E1"/>
    <w:rsid w:val="006D1EB7"/>
    <w:rsid w:val="00727CC2"/>
    <w:rsid w:val="007B66CC"/>
    <w:rsid w:val="007E6741"/>
    <w:rsid w:val="008204BB"/>
    <w:rsid w:val="008856C9"/>
    <w:rsid w:val="00983FA0"/>
    <w:rsid w:val="009B1995"/>
    <w:rsid w:val="009F4758"/>
    <w:rsid w:val="00A93726"/>
    <w:rsid w:val="00AB6496"/>
    <w:rsid w:val="00B54C14"/>
    <w:rsid w:val="00B56244"/>
    <w:rsid w:val="00B9047A"/>
    <w:rsid w:val="00BC021F"/>
    <w:rsid w:val="00BC6F2E"/>
    <w:rsid w:val="00C052F3"/>
    <w:rsid w:val="00CA2B60"/>
    <w:rsid w:val="00CC61AE"/>
    <w:rsid w:val="00CE4508"/>
    <w:rsid w:val="00CF1923"/>
    <w:rsid w:val="00D24809"/>
    <w:rsid w:val="00D50B86"/>
    <w:rsid w:val="00D54492"/>
    <w:rsid w:val="00D95FB9"/>
    <w:rsid w:val="00DF4869"/>
    <w:rsid w:val="00DF73C2"/>
    <w:rsid w:val="00E12651"/>
    <w:rsid w:val="00ED12A6"/>
    <w:rsid w:val="00F07011"/>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2F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61659</Words>
  <Characters>35147</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2</cp:revision>
  <cp:lastPrinted>2025-08-06T10:36:00Z</cp:lastPrinted>
  <dcterms:created xsi:type="dcterms:W3CDTF">2025-08-06T10:38:00Z</dcterms:created>
  <dcterms:modified xsi:type="dcterms:W3CDTF">2025-08-06T10:38:00Z</dcterms:modified>
</cp:coreProperties>
</file>