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4B54943F" w:rsidR="00A6552C" w:rsidRPr="004F7708" w:rsidRDefault="008B4962"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Direktorės</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4ABC16A3" w:rsidR="00A6552C" w:rsidRPr="004F7708" w:rsidRDefault="008B4962"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0AEFA393"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E5273B">
              <w:rPr>
                <w:rFonts w:ascii="Calibri Light" w:hAnsi="Calibri Light" w:cs="Calibri Light"/>
                <w:iCs/>
                <w:color w:val="000000" w:themeColor="text1"/>
                <w:sz w:val="24"/>
                <w:szCs w:val="24"/>
              </w:rPr>
              <w:t>5-0</w:t>
            </w:r>
            <w:r w:rsidR="008B4962">
              <w:rPr>
                <w:rFonts w:ascii="Calibri Light" w:hAnsi="Calibri Light" w:cs="Calibri Light"/>
                <w:iCs/>
                <w:color w:val="000000" w:themeColor="text1"/>
                <w:sz w:val="24"/>
                <w:szCs w:val="24"/>
              </w:rPr>
              <w:t xml:space="preserve">8- </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CE211E">
              <w:rPr>
                <w:rFonts w:ascii="Calibri Light" w:hAnsi="Calibri Light" w:cs="Calibri Light"/>
                <w:iCs/>
                <w:color w:val="000000" w:themeColor="text1"/>
                <w:sz w:val="24"/>
                <w:szCs w:val="24"/>
              </w:rPr>
              <w:t>25-</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8B4962" w:rsidRDefault="008758DC" w:rsidP="008B4962">
      <w:pPr>
        <w:jc w:val="center"/>
        <w:rPr>
          <w:rFonts w:ascii="Calibri Light" w:hAnsi="Calibri Light" w:cs="Calibri Light"/>
          <w:b/>
          <w:sz w:val="24"/>
          <w:szCs w:val="24"/>
        </w:rPr>
      </w:pPr>
      <w:r w:rsidRPr="008B4962">
        <w:rPr>
          <w:rFonts w:ascii="Calibri Light" w:hAnsi="Calibri Light" w:cs="Calibri Light"/>
          <w:b/>
          <w:sz w:val="24"/>
          <w:szCs w:val="24"/>
        </w:rPr>
        <w:t>MAŽOS VERTĖS</w:t>
      </w:r>
    </w:p>
    <w:p w14:paraId="2662ED62" w14:textId="0B7947CA" w:rsidR="008B4962" w:rsidRPr="008B4962" w:rsidRDefault="008B4962" w:rsidP="008B4962">
      <w:pPr>
        <w:tabs>
          <w:tab w:val="left" w:pos="8137"/>
        </w:tabs>
        <w:spacing w:before="60" w:after="60"/>
        <w:jc w:val="center"/>
        <w:rPr>
          <w:rFonts w:ascii="Calibri Light" w:hAnsi="Calibri Light" w:cs="Calibri Light"/>
          <w:b/>
          <w:sz w:val="24"/>
          <w:szCs w:val="24"/>
        </w:rPr>
      </w:pPr>
      <w:bookmarkStart w:id="2" w:name="_Hlk204068363"/>
      <w:r w:rsidRPr="008B4962">
        <w:rPr>
          <w:rFonts w:ascii="Calibri Light" w:hAnsi="Calibri Light" w:cs="Calibri Light"/>
          <w:b/>
          <w:sz w:val="24"/>
          <w:szCs w:val="24"/>
        </w:rPr>
        <w:t>ĮMOKŲ SURINKIMO PASLAUG</w:t>
      </w:r>
      <w:r>
        <w:rPr>
          <w:rFonts w:ascii="Calibri Light" w:hAnsi="Calibri Light" w:cs="Calibri Light"/>
          <w:b/>
          <w:sz w:val="24"/>
          <w:szCs w:val="24"/>
        </w:rPr>
        <w:t>OS</w:t>
      </w:r>
      <w:r w:rsidRPr="008B4962">
        <w:rPr>
          <w:rFonts w:ascii="Calibri Light" w:hAnsi="Calibri Light" w:cs="Calibri Light"/>
          <w:b/>
          <w:sz w:val="24"/>
          <w:szCs w:val="24"/>
        </w:rPr>
        <w:t xml:space="preserve"> PER SĮ „VILNIAUS MIESTO BŪSTAS“ INTERNETINĘ KLIENTŲ SAVITARNOS SISTEMĄ PIRKIMO</w:t>
      </w:r>
      <w:bookmarkEnd w:id="2"/>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3" w:name="_Hlk501013163"/>
      <w:r w:rsidRPr="004F7708">
        <w:rPr>
          <w:rFonts w:ascii="Calibri Light" w:hAnsi="Calibri Light" w:cs="Calibri Light"/>
          <w:color w:val="000000"/>
          <w:sz w:val="24"/>
          <w:szCs w:val="24"/>
        </w:rPr>
        <w:t>124568293</w:t>
      </w:r>
      <w:bookmarkEnd w:id="3"/>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6EA8A90D"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w:t>
      </w:r>
      <w:r w:rsidR="004A4AA8">
        <w:rPr>
          <w:rFonts w:ascii="Calibri Light" w:hAnsi="Calibri Light" w:cs="Calibri Light"/>
          <w:sz w:val="24"/>
          <w:szCs w:val="24"/>
        </w:rPr>
        <w:t>5</w:t>
      </w:r>
      <w:r w:rsidR="0010359D">
        <w:rPr>
          <w:rFonts w:ascii="Calibri Light" w:hAnsi="Calibri Light" w:cs="Calibri Light"/>
          <w:sz w:val="24"/>
          <w:szCs w:val="24"/>
        </w:rPr>
        <w:t xml:space="preserve"> m. sausio 2 d. įsakymu Nr. 1.23-2</w:t>
      </w:r>
      <w:r w:rsidR="004A4AA8">
        <w:rPr>
          <w:rFonts w:ascii="Calibri Light" w:hAnsi="Calibri Light" w:cs="Calibri Light"/>
          <w:sz w:val="24"/>
          <w:szCs w:val="24"/>
        </w:rPr>
        <w:t>5</w:t>
      </w:r>
      <w:r w:rsidR="0010359D">
        <w:rPr>
          <w:rFonts w:ascii="Calibri Light" w:hAnsi="Calibri Light" w:cs="Calibri Light"/>
          <w:sz w:val="24"/>
          <w:szCs w:val="24"/>
        </w:rPr>
        <w:t>/</w:t>
      </w:r>
      <w:r w:rsidR="004A4AA8">
        <w:rPr>
          <w:rFonts w:ascii="Calibri Light" w:hAnsi="Calibri Light" w:cs="Calibri Light"/>
          <w:sz w:val="24"/>
          <w:szCs w:val="24"/>
        </w:rPr>
        <w:t>2</w:t>
      </w:r>
      <w:r w:rsidR="0010359D">
        <w:rPr>
          <w:rFonts w:ascii="Calibri Light" w:hAnsi="Calibri Light" w:cs="Calibri Light"/>
          <w:sz w:val="24"/>
          <w:szCs w:val="24"/>
        </w:rPr>
        <w:t>,</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411F3EFA"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055CB1" w:rsidRPr="00C2236C">
          <w:rPr>
            <w:rStyle w:val="Hyperlink"/>
            <w:rFonts w:ascii="Calibri Light" w:hAnsi="Calibri Light" w:cs="Calibri Light"/>
            <w:lang w:eastAsia="lt-LT"/>
          </w:rPr>
          <w:t>https://viesiejipirkimai.lt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lastRenderedPageBreak/>
        <w:t>kita CVP IS elektroninėmis priemonėmis pateikta informacija.</w:t>
      </w:r>
    </w:p>
    <w:p w14:paraId="5C9BA776" w14:textId="3369FAA3"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8B4962">
        <w:rPr>
          <w:rFonts w:ascii="Calibri Light" w:hAnsi="Calibri Light" w:cs="Calibri Light"/>
          <w:b/>
          <w:i/>
          <w:color w:val="000000"/>
          <w:sz w:val="24"/>
          <w:szCs w:val="24"/>
        </w:rPr>
        <w:t xml:space="preserve">IT vadovas Andrej Sereda, </w:t>
      </w:r>
      <w:r w:rsidR="00055CB1" w:rsidRPr="004F7708">
        <w:rPr>
          <w:rFonts w:ascii="Calibri Light" w:hAnsi="Calibri Light" w:cs="Calibri Light"/>
          <w:b/>
          <w:i/>
          <w:color w:val="000000"/>
          <w:sz w:val="24"/>
          <w:szCs w:val="24"/>
        </w:rPr>
        <w:t>tel.:</w:t>
      </w:r>
      <w:r w:rsidR="00055CB1">
        <w:rPr>
          <w:rFonts w:ascii="Calibri Light" w:hAnsi="Calibri Light" w:cs="Calibri Light"/>
          <w:b/>
          <w:i/>
          <w:color w:val="000000"/>
          <w:sz w:val="24"/>
          <w:szCs w:val="24"/>
        </w:rPr>
        <w:t xml:space="preserve"> </w:t>
      </w:r>
      <w:r w:rsidR="002D6CF8" w:rsidRPr="002D6CF8">
        <w:rPr>
          <w:rFonts w:ascii="Calibri Light" w:hAnsi="Calibri Light" w:cs="Calibri Light"/>
          <w:b/>
          <w:bCs/>
          <w:i/>
          <w:iCs/>
          <w:color w:val="242424"/>
          <w:sz w:val="24"/>
          <w:szCs w:val="24"/>
          <w:shd w:val="clear" w:color="auto" w:fill="FFFFFF"/>
        </w:rPr>
        <w:t>(+370)</w:t>
      </w:r>
      <w:r w:rsidR="00806DB7">
        <w:rPr>
          <w:rFonts w:ascii="Calibri Light" w:hAnsi="Calibri Light" w:cs="Calibri Light"/>
          <w:b/>
          <w:bCs/>
          <w:i/>
          <w:iCs/>
          <w:color w:val="242424"/>
          <w:sz w:val="24"/>
          <w:szCs w:val="24"/>
          <w:shd w:val="clear" w:color="auto" w:fill="FFFFFF"/>
        </w:rPr>
        <w:t xml:space="preserve"> </w:t>
      </w:r>
      <w:r w:rsidR="00806DB7" w:rsidRPr="00806DB7">
        <w:rPr>
          <w:rFonts w:ascii="Calibri Light" w:hAnsi="Calibri Light" w:cs="Calibri Light"/>
          <w:b/>
          <w:bCs/>
          <w:i/>
          <w:iCs/>
          <w:color w:val="242424"/>
          <w:sz w:val="24"/>
          <w:szCs w:val="24"/>
          <w:shd w:val="clear" w:color="auto" w:fill="FFFFFF"/>
        </w:rPr>
        <w:t>6</w:t>
      </w:r>
      <w:r w:rsidR="008B4962">
        <w:rPr>
          <w:rFonts w:ascii="Calibri Light" w:hAnsi="Calibri Light" w:cs="Calibri Light"/>
          <w:b/>
          <w:bCs/>
          <w:i/>
          <w:iCs/>
          <w:color w:val="242424"/>
          <w:sz w:val="24"/>
          <w:szCs w:val="24"/>
          <w:shd w:val="clear" w:color="auto" w:fill="FFFFFF"/>
        </w:rPr>
        <w:t>1753867,</w:t>
      </w:r>
      <w:r w:rsidR="002D6CF8" w:rsidRPr="002D6CF8">
        <w:rPr>
          <w:rFonts w:ascii="Calibri Light" w:hAnsi="Calibri Light" w:cs="Calibri Light"/>
          <w:b/>
          <w:bCs/>
          <w:i/>
          <w:iCs/>
          <w:color w:val="242424"/>
          <w:sz w:val="24"/>
          <w:szCs w:val="24"/>
          <w:shd w:val="clear" w:color="auto" w:fill="FFFFFF"/>
        </w:rPr>
        <w:t xml:space="preserve"> </w:t>
      </w:r>
      <w:r w:rsidR="002D6CF8">
        <w:rPr>
          <w:rFonts w:ascii="Segoe UI" w:hAnsi="Segoe UI" w:cs="Segoe UI"/>
          <w:color w:val="2424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w:t>
      </w:r>
      <w:r w:rsidR="00E5273B">
        <w:rPr>
          <w:rFonts w:ascii="Calibri Light" w:hAnsi="Calibri Light" w:cs="Calibri Light"/>
          <w:b/>
          <w:i/>
          <w:color w:val="000000"/>
          <w:sz w:val="24"/>
          <w:szCs w:val="24"/>
        </w:rPr>
        <w:t>mandos lyderė Sigutė Gaidytė-Budreikienė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w:t>
      </w:r>
      <w:r w:rsidR="00E5273B">
        <w:rPr>
          <w:rFonts w:ascii="Calibri Light" w:hAnsi="Calibri Light" w:cs="Calibri Light"/>
          <w:b/>
          <w:i/>
          <w:color w:val="000000"/>
          <w:sz w:val="24"/>
          <w:szCs w:val="24"/>
        </w:rPr>
        <w:t>16 39985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6A5EBEA4" w14:textId="77777777" w:rsidR="008B4962" w:rsidRPr="008B4962" w:rsidRDefault="00BC179C" w:rsidP="008B4962">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8B4962">
        <w:rPr>
          <w:rFonts w:ascii="Calibri Light" w:hAnsi="Calibri Light" w:cs="Calibri Light"/>
          <w:sz w:val="24"/>
          <w:szCs w:val="24"/>
        </w:rPr>
        <w:t>Pirkimas</w:t>
      </w:r>
      <w:r w:rsidR="00FC5B67" w:rsidRPr="008B4962">
        <w:rPr>
          <w:rFonts w:ascii="Calibri Light" w:hAnsi="Calibri Light" w:cs="Calibri Light"/>
          <w:sz w:val="24"/>
          <w:szCs w:val="24"/>
        </w:rPr>
        <w:t xml:space="preserve"> </w:t>
      </w:r>
      <w:r w:rsidR="0019726C" w:rsidRPr="008B4962">
        <w:rPr>
          <w:rFonts w:ascii="Calibri Light" w:hAnsi="Calibri Light" w:cs="Calibri Light"/>
          <w:sz w:val="24"/>
          <w:szCs w:val="24"/>
        </w:rPr>
        <w:t>ne</w:t>
      </w:r>
      <w:r w:rsidR="00A0310D" w:rsidRPr="008B4962">
        <w:rPr>
          <w:rFonts w:ascii="Calibri Light" w:hAnsi="Calibri Light" w:cs="Calibri Light"/>
          <w:sz w:val="24"/>
          <w:szCs w:val="24"/>
        </w:rPr>
        <w:t>skaidomas</w:t>
      </w:r>
      <w:r w:rsidR="00FC5B67" w:rsidRPr="008B4962">
        <w:rPr>
          <w:rFonts w:ascii="Calibri Light" w:hAnsi="Calibri Light" w:cs="Calibri Light"/>
          <w:sz w:val="24"/>
          <w:szCs w:val="24"/>
        </w:rPr>
        <w:t xml:space="preserve"> į dalis</w:t>
      </w:r>
      <w:r w:rsidRPr="008B4962">
        <w:rPr>
          <w:rFonts w:ascii="Calibri Light" w:hAnsi="Calibri Light" w:cs="Calibri Light"/>
          <w:sz w:val="24"/>
          <w:szCs w:val="24"/>
        </w:rPr>
        <w:t>.</w:t>
      </w:r>
      <w:r w:rsidR="00E4069A" w:rsidRPr="008B4962">
        <w:rPr>
          <w:rFonts w:ascii="Calibri Light" w:hAnsi="Calibri Light" w:cs="Calibri Light"/>
          <w:sz w:val="24"/>
          <w:szCs w:val="24"/>
        </w:rPr>
        <w:t xml:space="preserve"> Tiekėjas </w:t>
      </w:r>
      <w:r w:rsidR="0019726C" w:rsidRPr="008B4962">
        <w:rPr>
          <w:rFonts w:ascii="Calibri Light" w:hAnsi="Calibri Light" w:cs="Calibri Light"/>
          <w:sz w:val="24"/>
          <w:szCs w:val="24"/>
        </w:rPr>
        <w:t xml:space="preserve">turi </w:t>
      </w:r>
      <w:r w:rsidR="00E4069A" w:rsidRPr="008B4962">
        <w:rPr>
          <w:rFonts w:ascii="Calibri Light" w:hAnsi="Calibri Light" w:cs="Calibri Light"/>
          <w:sz w:val="24"/>
          <w:szCs w:val="24"/>
        </w:rPr>
        <w:t xml:space="preserve">pateikti </w:t>
      </w:r>
      <w:r w:rsidR="0019726C" w:rsidRPr="008B4962">
        <w:rPr>
          <w:rFonts w:ascii="Calibri Light" w:hAnsi="Calibri Light" w:cs="Calibri Light"/>
          <w:sz w:val="24"/>
          <w:szCs w:val="24"/>
        </w:rPr>
        <w:t xml:space="preserve">vieną </w:t>
      </w:r>
      <w:r w:rsidR="00E4069A" w:rsidRPr="008B4962">
        <w:rPr>
          <w:rFonts w:ascii="Calibri Light" w:hAnsi="Calibri Light" w:cs="Calibri Light"/>
          <w:sz w:val="24"/>
          <w:szCs w:val="24"/>
        </w:rPr>
        <w:t>pasiūlymą</w:t>
      </w:r>
      <w:r w:rsidR="0019726C" w:rsidRPr="008B4962">
        <w:rPr>
          <w:rFonts w:ascii="Calibri Light" w:hAnsi="Calibri Light" w:cs="Calibri Light"/>
          <w:sz w:val="24"/>
          <w:szCs w:val="24"/>
        </w:rPr>
        <w:t>.</w:t>
      </w:r>
      <w:r w:rsidR="008B4962" w:rsidRPr="008B4962">
        <w:rPr>
          <w:rFonts w:ascii="Calibri Light" w:hAnsi="Calibri Light" w:cs="Calibri Light"/>
          <w:sz w:val="24"/>
          <w:szCs w:val="24"/>
        </w:rPr>
        <w:t xml:space="preserve"> </w:t>
      </w:r>
    </w:p>
    <w:p w14:paraId="2069D117" w14:textId="2EC4357A" w:rsidR="008B4962" w:rsidRPr="008B4962" w:rsidRDefault="008758DC" w:rsidP="008B4962">
      <w:pPr>
        <w:pStyle w:val="ListParagraph"/>
        <w:numPr>
          <w:ilvl w:val="0"/>
          <w:numId w:val="9"/>
        </w:numPr>
        <w:tabs>
          <w:tab w:val="left" w:pos="3360"/>
          <w:tab w:val="left" w:pos="4080"/>
        </w:tabs>
        <w:ind w:left="709" w:hanging="709"/>
        <w:jc w:val="both"/>
        <w:rPr>
          <w:rFonts w:ascii="Calibri Light" w:hAnsi="Calibri Light" w:cs="Calibri Light"/>
          <w:sz w:val="24"/>
          <w:szCs w:val="24"/>
        </w:rPr>
      </w:pPr>
      <w:r w:rsidRPr="008B4962">
        <w:rPr>
          <w:rFonts w:ascii="Calibri Light" w:hAnsi="Calibri Light" w:cs="Calibri Light"/>
          <w:color w:val="000000"/>
          <w:sz w:val="24"/>
          <w:szCs w:val="24"/>
        </w:rPr>
        <w:t>Perkančioji organizacija numato pirkti</w:t>
      </w:r>
      <w:r w:rsidR="00DC4340" w:rsidRPr="008B4962">
        <w:rPr>
          <w:rFonts w:ascii="Calibri Light" w:hAnsi="Calibri Light" w:cs="Calibri Light"/>
          <w:color w:val="000000"/>
          <w:sz w:val="24"/>
          <w:szCs w:val="24"/>
        </w:rPr>
        <w:t xml:space="preserve"> </w:t>
      </w:r>
      <w:r w:rsidR="008B4962" w:rsidRPr="008B4962">
        <w:rPr>
          <w:rFonts w:ascii="Calibri Light" w:hAnsi="Calibri Light" w:cs="Calibri Light"/>
          <w:b/>
          <w:bCs/>
          <w:sz w:val="24"/>
          <w:szCs w:val="24"/>
        </w:rPr>
        <w:t>įmokų surinkimo paslaug</w:t>
      </w:r>
      <w:r w:rsidR="008B4962">
        <w:rPr>
          <w:rFonts w:ascii="Calibri Light" w:hAnsi="Calibri Light" w:cs="Calibri Light"/>
          <w:b/>
          <w:bCs/>
          <w:sz w:val="24"/>
          <w:szCs w:val="24"/>
        </w:rPr>
        <w:t>ą</w:t>
      </w:r>
      <w:r w:rsidR="008B4962" w:rsidRPr="008B4962">
        <w:rPr>
          <w:rFonts w:ascii="Calibri Light" w:hAnsi="Calibri Light" w:cs="Calibri Light"/>
          <w:b/>
          <w:bCs/>
          <w:sz w:val="24"/>
          <w:szCs w:val="24"/>
        </w:rPr>
        <w:t xml:space="preserve"> per SĮ „Vilniaus miesto būstas“ internetinę klientų savitarnos sistemą.</w:t>
      </w:r>
      <w:r w:rsidR="008B4962" w:rsidRPr="008B4962">
        <w:rPr>
          <w:rFonts w:ascii="Calibri Light" w:hAnsi="Calibri Light" w:cs="Calibri Light"/>
          <w:sz w:val="24"/>
          <w:szCs w:val="24"/>
        </w:rPr>
        <w:t xml:space="preserve"> </w:t>
      </w:r>
    </w:p>
    <w:p w14:paraId="6515E46E" w14:textId="4B1B611F" w:rsidR="00077872" w:rsidRPr="004F7708" w:rsidRDefault="008B4962" w:rsidP="008B4962">
      <w:pPr>
        <w:pStyle w:val="ListParagraph"/>
        <w:numPr>
          <w:ilvl w:val="1"/>
          <w:numId w:val="10"/>
        </w:numPr>
        <w:ind w:left="709" w:hanging="709"/>
        <w:jc w:val="both"/>
        <w:rPr>
          <w:rFonts w:ascii="Calibri Light" w:hAnsi="Calibri Light" w:cs="Calibri Light"/>
          <w:sz w:val="24"/>
          <w:szCs w:val="24"/>
        </w:rPr>
      </w:pPr>
      <w:r>
        <w:rPr>
          <w:rFonts w:ascii="Calibri Light" w:hAnsi="Calibri Light" w:cs="Calibri Light"/>
          <w:sz w:val="24"/>
          <w:szCs w:val="24"/>
        </w:rPr>
        <w:t>Paslaugų</w:t>
      </w:r>
      <w:r w:rsidR="008758DC" w:rsidRPr="008B4962">
        <w:rPr>
          <w:rFonts w:ascii="Calibri Light" w:hAnsi="Calibri Light" w:cs="Calibri Light"/>
          <w:sz w:val="24"/>
          <w:szCs w:val="24"/>
        </w:rPr>
        <w:t xml:space="preserve"> kiekis (apimtis) ir savybės nurodytos techninė</w:t>
      </w:r>
      <w:r w:rsidR="00FB2236" w:rsidRPr="008B4962">
        <w:rPr>
          <w:rFonts w:ascii="Calibri Light" w:hAnsi="Calibri Light" w:cs="Calibri Light"/>
          <w:sz w:val="24"/>
          <w:szCs w:val="24"/>
        </w:rPr>
        <w:t>je</w:t>
      </w:r>
      <w:r w:rsidR="003609E8" w:rsidRPr="008B4962">
        <w:rPr>
          <w:rFonts w:ascii="Calibri Light" w:hAnsi="Calibri Light" w:cs="Calibri Light"/>
          <w:sz w:val="24"/>
          <w:szCs w:val="24"/>
        </w:rPr>
        <w:t xml:space="preserve"> specifikacijo</w:t>
      </w:r>
      <w:r w:rsidR="00FB2236" w:rsidRPr="008B4962">
        <w:rPr>
          <w:rFonts w:ascii="Calibri Light" w:hAnsi="Calibri Light" w:cs="Calibri Light"/>
          <w:sz w:val="24"/>
          <w:szCs w:val="24"/>
        </w:rPr>
        <w:t>j</w:t>
      </w:r>
      <w:r w:rsidR="008758DC" w:rsidRPr="008B4962">
        <w:rPr>
          <w:rFonts w:ascii="Calibri Light" w:hAnsi="Calibri Light" w:cs="Calibri Light"/>
          <w:sz w:val="24"/>
          <w:szCs w:val="24"/>
        </w:rPr>
        <w:t>e (1</w:t>
      </w:r>
      <w:r w:rsidR="00FD5969" w:rsidRPr="008B4962">
        <w:rPr>
          <w:rFonts w:ascii="Calibri Light" w:hAnsi="Calibri Light" w:cs="Calibri Light"/>
          <w:sz w:val="24"/>
          <w:szCs w:val="24"/>
        </w:rPr>
        <w:t xml:space="preserve"> </w:t>
      </w:r>
      <w:r w:rsidR="0019726C" w:rsidRPr="008B4962">
        <w:rPr>
          <w:rFonts w:ascii="Calibri Light" w:hAnsi="Calibri Light" w:cs="Calibri Light"/>
          <w:sz w:val="24"/>
          <w:szCs w:val="24"/>
        </w:rPr>
        <w:t>priede</w:t>
      </w:r>
      <w:r>
        <w:rPr>
          <w:rFonts w:ascii="Calibri Light" w:hAnsi="Calibri Light" w:cs="Calibri Light"/>
          <w:sz w:val="24"/>
          <w:szCs w:val="24"/>
        </w:rPr>
        <w:t>)</w:t>
      </w:r>
      <w:r w:rsidR="008758DC" w:rsidRPr="004F7708">
        <w:rPr>
          <w:rFonts w:ascii="Calibri Light" w:hAnsi="Calibri Light" w:cs="Calibri Light"/>
          <w:sz w:val="24"/>
          <w:szCs w:val="24"/>
        </w:rPr>
        <w:t xml:space="preserve">. </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653AC1C5" w14:textId="77777777" w:rsidR="002A775F" w:rsidRPr="004F7708" w:rsidRDefault="002A775F" w:rsidP="002A775F">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 TIEKĖJŲ PAŠALINIMO PAGRINDAI, REIKALAVIMAI KVALIFIKACIJAI IR</w:t>
      </w:r>
      <w:r w:rsidRPr="004F7708">
        <w:rPr>
          <w:rFonts w:ascii="Calibri Light" w:hAnsi="Calibri Light" w:cs="Calibri Light"/>
          <w:b w:val="0"/>
          <w:bCs/>
          <w:sz w:val="24"/>
          <w:szCs w:val="24"/>
          <w:lang w:val="lt-LT"/>
        </w:rPr>
        <w:t xml:space="preserve"> </w:t>
      </w:r>
      <w:r w:rsidRPr="004F7708">
        <w:rPr>
          <w:rFonts w:ascii="Calibri Light" w:hAnsi="Calibri Light" w:cs="Calibri Light"/>
          <w:sz w:val="24"/>
          <w:szCs w:val="24"/>
          <w:lang w:val="lt-LT"/>
        </w:rPr>
        <w:t>TIEKĖJŲ GRUPĖS DALYVAVIMAS PIRKIMO PROCEDŪROSE</w:t>
      </w:r>
    </w:p>
    <w:p w14:paraId="1A288B8B" w14:textId="77777777" w:rsidR="002A775F" w:rsidRPr="00CE3834" w:rsidRDefault="002A775F"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9F4BBA">
        <w:rPr>
          <w:rFonts w:ascii="Calibri Light" w:hAnsi="Calibri Light" w:cs="Calibri Light"/>
          <w:bCs/>
          <w:color w:val="000000" w:themeColor="text1"/>
          <w:sz w:val="24"/>
          <w:szCs w:val="24"/>
          <w:lang w:eastAsia="lt-LT"/>
        </w:rPr>
        <w:t>Pirkime nebus naudojamas Europos bendrasis viešojo pirkimo dokumentas (EBVPD). Perkančioji organizacija nenustato tiekėjo pašalinimo pagrindų.</w:t>
      </w:r>
    </w:p>
    <w:p w14:paraId="207E1955" w14:textId="77777777" w:rsidR="002A775F" w:rsidRPr="00472FC9" w:rsidRDefault="002A775F"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color w:val="000000" w:themeColor="text1"/>
          <w:sz w:val="24"/>
          <w:szCs w:val="24"/>
          <w:lang w:eastAsia="lt-LT"/>
        </w:rPr>
        <w:t xml:space="preserve">Perkančioji organizacija </w:t>
      </w:r>
      <w:r>
        <w:rPr>
          <w:rFonts w:ascii="Calibri Light" w:hAnsi="Calibri Light" w:cs="Calibri Light"/>
          <w:bCs/>
          <w:color w:val="000000" w:themeColor="text1"/>
          <w:sz w:val="24"/>
          <w:szCs w:val="24"/>
          <w:lang w:eastAsia="lt-LT"/>
        </w:rPr>
        <w:t>ne</w:t>
      </w:r>
      <w:r w:rsidRPr="004F7708">
        <w:rPr>
          <w:rFonts w:ascii="Calibri Light" w:hAnsi="Calibri Light" w:cs="Calibri Light"/>
          <w:bCs/>
          <w:color w:val="000000" w:themeColor="text1"/>
          <w:sz w:val="24"/>
          <w:szCs w:val="24"/>
          <w:lang w:eastAsia="lt-LT"/>
        </w:rPr>
        <w:t xml:space="preserve">nustato </w:t>
      </w:r>
      <w:r>
        <w:rPr>
          <w:rFonts w:ascii="Calibri Light" w:hAnsi="Calibri Light" w:cs="Calibri Light"/>
          <w:bCs/>
          <w:color w:val="000000" w:themeColor="text1"/>
          <w:sz w:val="24"/>
          <w:szCs w:val="24"/>
          <w:lang w:eastAsia="lt-LT"/>
        </w:rPr>
        <w:t>kvalifikacijos reikalavimus.</w:t>
      </w:r>
    </w:p>
    <w:p w14:paraId="622F78B8" w14:textId="5DF65369" w:rsidR="002A775F" w:rsidRPr="000D230C" w:rsidRDefault="000D230C"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1639EC">
        <w:rPr>
          <w:rFonts w:ascii="Calibri Light" w:hAnsi="Calibri Light" w:cs="Calibri Light"/>
          <w:sz w:val="24"/>
          <w:szCs w:val="24"/>
        </w:rPr>
        <w:t>Perkančioji organizacija šiame pirkime taiko aplinkos apsaugos kriterijus</w:t>
      </w:r>
      <w:r w:rsidRPr="001639EC">
        <w:rPr>
          <w:rStyle w:val="FootnoteReference"/>
          <w:rFonts w:ascii="Calibri Light" w:hAnsi="Calibri Light" w:cs="Calibri Light"/>
          <w:sz w:val="24"/>
          <w:szCs w:val="24"/>
        </w:rPr>
        <w:footnoteReference w:id="1"/>
      </w:r>
      <w:r w:rsidRPr="001639EC">
        <w:rPr>
          <w:rFonts w:ascii="Calibri Light" w:hAnsi="Calibri Light" w:cs="Calibri Light"/>
          <w:sz w:val="24"/>
          <w:szCs w:val="24"/>
        </w:rPr>
        <w:t xml:space="preserve">. </w:t>
      </w:r>
      <w:r w:rsidRPr="001639EC">
        <w:rPr>
          <w:rFonts w:ascii="Calibri Light" w:eastAsia="Courier New" w:hAnsi="Calibri Light" w:cs="Calibri Light"/>
          <w:bCs/>
          <w:sz w:val="24"/>
          <w:szCs w:val="24"/>
        </w:rPr>
        <w:t xml:space="preserve">Vadovaujantis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 </w:t>
      </w:r>
    </w:p>
    <w:p w14:paraId="7E183296"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Tiekėjų kvalifikacija turi būti įgyta iki pasiūlymo pateikimo termino (jeigu taikoma). </w:t>
      </w:r>
    </w:p>
    <w:p w14:paraId="0159A825" w14:textId="79ED6E2B"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eastAsia="Calibri" w:hAnsi="Calibri Light" w:cs="Calibri Light"/>
          <w:sz w:val="24"/>
          <w:szCs w:val="24"/>
        </w:rPr>
        <w:t>Jeigu t</w:t>
      </w:r>
      <w:r>
        <w:rPr>
          <w:rFonts w:ascii="Calibri Light" w:eastAsia="Calibri" w:hAnsi="Calibri Light" w:cs="Calibri Light"/>
          <w:sz w:val="24"/>
          <w:szCs w:val="24"/>
        </w:rPr>
        <w:t>ie</w:t>
      </w:r>
      <w:r w:rsidRPr="00F819F1">
        <w:rPr>
          <w:rFonts w:ascii="Calibri Light" w:eastAsia="Calibri" w:hAnsi="Calibri Light" w:cs="Calibri Light"/>
          <w:sz w:val="24"/>
          <w:szCs w:val="24"/>
        </w:rPr>
        <w:t>kėjo kvalifikacija dėl teisės verstis atitinkama veikla nebuvo tikrinama arba tikrinama ne visa apimtimi, tiekėjas perkančiajai organizacijai įsipareigoja, kad pirkimo sutartį vykdys tik tokią teisę turintys asmenys.</w:t>
      </w:r>
    </w:p>
    <w:p w14:paraId="67944C76"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Tiekėjas gali remtis kitų ūkio subjektų pajėgumais, kad atitiktų techninio ir profesinio pajėgumo reikalavimus, neatsižvelgiant  į ryšio su tais ūkio subjektais teisinį pobūdį ir laikantis Apklausos sąlygų 3.7</w:t>
      </w:r>
      <w:r w:rsidRPr="00F819F1">
        <w:rPr>
          <w:rFonts w:ascii="Calibri Light" w:hAnsi="Calibri Light" w:cs="Calibri Light"/>
          <w:b/>
          <w:bCs/>
          <w:sz w:val="24"/>
          <w:szCs w:val="24"/>
        </w:rPr>
        <w:t xml:space="preserve"> </w:t>
      </w:r>
      <w:r w:rsidRPr="00F819F1">
        <w:rPr>
          <w:rFonts w:ascii="Calibri Light" w:hAnsi="Calibri Light" w:cs="Calibri Light"/>
          <w:sz w:val="24"/>
          <w:szCs w:val="24"/>
        </w:rPr>
        <w:t>p. nustatyto reikalavimo.</w:t>
      </w:r>
      <w:r w:rsidRPr="00F819F1">
        <w:rPr>
          <w:rFonts w:ascii="Calibri Light" w:hAnsi="Calibri Light" w:cs="Calibri Light"/>
          <w:b/>
          <w:bCs/>
          <w:sz w:val="24"/>
          <w:szCs w:val="24"/>
        </w:rPr>
        <w:t xml:space="preserve"> </w:t>
      </w:r>
    </w:p>
    <w:p w14:paraId="3F462D79"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Tiekėjas gali remtis kitų ūkio subjektų pajėgumais, kad atitiktų reikalavimus dėl išsilavinimo, profesinės kvalifikacijos, profesinės patirties, turėtų specialų leidimą ir (arba) būti tam tikros organizacijos nariu (jeigu tokius reikalavimus perkančioji organizacija kelia) tik tuo atveju, jeigu tie subjektai patys suteiks paslaugas/atliks darbus, kuriems reikia jų turimų pajėgumų. </w:t>
      </w:r>
    </w:p>
    <w:p w14:paraId="024B61C3"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3.6 ir 3.7 p. nurodytomis sąlygomis tiekėjų grupė gali remtis grupės dalyvių ar kitų ūkio subjektų pajėgumais. </w:t>
      </w:r>
    </w:p>
    <w:p w14:paraId="20F23169"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Jeigu tiekėjas remiasi kito ūkio subjekto pajėgumais, jis, teikdamas pasiūlymą, turi pateikti įrodymus, kurie patvirtintų, kad tiekėjui ūkio subjekto ištekliai bus prieinami per visą sutartinių įsipareigojimų vykdymo laikotarpį. Tokiais įrodymais  gali būti ūkio subjekto įsipareigojimas (deklaracija), kad jis turi reikiamus išteklius, sutartis su tiekėju ir pan. </w:t>
      </w:r>
      <w:r w:rsidRPr="00F819F1">
        <w:rPr>
          <w:rFonts w:ascii="Calibri Light" w:hAnsi="Calibri Light" w:cs="Calibri Light"/>
          <w:b/>
          <w:bCs/>
          <w:sz w:val="24"/>
          <w:szCs w:val="24"/>
        </w:rPr>
        <w:t xml:space="preserve">Šiuos dokumentus tiekėjas pateikia kartu su pasiūlymu. </w:t>
      </w:r>
    </w:p>
    <w:p w14:paraId="065E4C23"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Tiekėjas savo pasiūlyme, užpildant Apklausos sąlygų 3 priede pateiktą formą, privalo nurodyti:</w:t>
      </w:r>
    </w:p>
    <w:p w14:paraId="6A9B8DAA" w14:textId="77777777" w:rsidR="002A775F" w:rsidRPr="00F819F1" w:rsidRDefault="002A775F" w:rsidP="002A775F">
      <w:pPr>
        <w:pStyle w:val="BodyText"/>
        <w:numPr>
          <w:ilvl w:val="2"/>
          <w:numId w:val="32"/>
        </w:numPr>
        <w:ind w:left="1560" w:hanging="851"/>
        <w:rPr>
          <w:rFonts w:ascii="Calibri Light" w:hAnsi="Calibri Light" w:cs="Calibri Light"/>
        </w:rPr>
      </w:pPr>
      <w:r w:rsidRPr="00F819F1">
        <w:rPr>
          <w:rFonts w:ascii="Calibri Light" w:hAnsi="Calibri Light" w:cs="Calibri Light"/>
        </w:rPr>
        <w:lastRenderedPageBreak/>
        <w:t>ūkio subjektus, kurių pajėgumais remiasi tiekėjas, kad atitiktų techninio ir (arba) profesinio pajėgumo reikalavimus;</w:t>
      </w:r>
    </w:p>
    <w:p w14:paraId="6C96A060" w14:textId="77777777" w:rsidR="002A775F" w:rsidRPr="00F819F1" w:rsidRDefault="002A775F" w:rsidP="002A775F">
      <w:pPr>
        <w:pStyle w:val="BodyText"/>
        <w:numPr>
          <w:ilvl w:val="2"/>
          <w:numId w:val="32"/>
        </w:numPr>
        <w:ind w:left="1560" w:hanging="851"/>
        <w:rPr>
          <w:rFonts w:ascii="Calibri Light" w:hAnsi="Calibri Light" w:cs="Calibri Light"/>
        </w:rPr>
      </w:pPr>
      <w:r w:rsidRPr="00F819F1">
        <w:rPr>
          <w:rFonts w:ascii="Calibri Light" w:hAnsi="Calibri Light" w:cs="Calibri Light"/>
        </w:rPr>
        <w:t xml:space="preserve">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sutarties tiekėjo prievoles, tačiau tiekėjas nesiremia jų pajėgumais, kad atitiktų techninio ir (arba) profesinio pajėgumo reikalavimus. </w:t>
      </w:r>
    </w:p>
    <w:p w14:paraId="599A1949" w14:textId="6E5AA010" w:rsidR="002A775F" w:rsidRPr="00F819F1" w:rsidRDefault="000D230C" w:rsidP="002A775F">
      <w:pPr>
        <w:pStyle w:val="BodyText"/>
        <w:numPr>
          <w:ilvl w:val="1"/>
          <w:numId w:val="32"/>
        </w:numPr>
        <w:ind w:left="709"/>
        <w:rPr>
          <w:rFonts w:ascii="Calibri Light" w:hAnsi="Calibri Light" w:cs="Calibri Light"/>
        </w:rPr>
      </w:pPr>
      <w:r>
        <w:rPr>
          <w:rFonts w:ascii="Calibri Light" w:hAnsi="Calibri Light" w:cs="Calibri Light"/>
        </w:rPr>
        <w:t xml:space="preserve">Jeigu tiekėjas ketina sutarties vykdymui pasitelkti specialistą – fizinį asmenį, tačiau pirkimo laimėjimo ir sutarties sudarymo atveju neketina jo įdarbinti, tokiu atveju specialistas (fizinis asmuo) pasiūlyme turi būti nurodomas kaip tiekėjo subtiekėjas ir laikomas yra kaip ūkio subjektas. </w:t>
      </w:r>
      <w:r w:rsidR="002A775F" w:rsidRPr="00F819F1">
        <w:rPr>
          <w:rFonts w:ascii="Calibri Light" w:hAnsi="Calibri Light" w:cs="Calibri Light"/>
        </w:rPr>
        <w:t xml:space="preserve">Jeigu tiekėjas ketina sutarties vykdymui pasitelkti specialistą – fizinį asmenį, kurį pirkimo laimėjimo ir sutarties sudarymo atveju ketina įdarbinti, jis turi būti nurodomas pasiūlyme kaip tiekėjo siūlomas specialistas ir tiekėjas iki pateikiant pasiūlymą turėtų sudaryti su ketinamu sutarties vykdymo metu pasitelkti specialistą susitarimą arba ketinimų protokolą, arba kitą dokumentą, kuris pagrįstų, kad toks ketinimas buvo iki tiekėju pateikiant pasiūlymą ir, kad pirkimo laimėjimo ir sutarties sudarymo atveju specialistas bus įdarbintas. </w:t>
      </w:r>
      <w:r w:rsidR="002A775F" w:rsidRPr="00F819F1">
        <w:rPr>
          <w:rFonts w:ascii="Calibri Light" w:hAnsi="Calibri Light" w:cs="Calibri Light"/>
          <w:b/>
          <w:bCs/>
        </w:rPr>
        <w:t xml:space="preserve">Šiuos dokumentus tiekėjas pateikia kartu su pasiūlymu. </w:t>
      </w:r>
    </w:p>
    <w:p w14:paraId="07C8F7DD" w14:textId="77777777" w:rsidR="002A775F" w:rsidRPr="00F819F1" w:rsidRDefault="002A775F" w:rsidP="002A775F">
      <w:pPr>
        <w:pStyle w:val="BodyText"/>
        <w:numPr>
          <w:ilvl w:val="1"/>
          <w:numId w:val="32"/>
        </w:numPr>
        <w:ind w:left="709"/>
        <w:rPr>
          <w:rFonts w:ascii="Calibri Light" w:hAnsi="Calibri Light" w:cs="Calibri Light"/>
        </w:rPr>
      </w:pPr>
      <w:r w:rsidRPr="00F819F1">
        <w:rPr>
          <w:rFonts w:ascii="Calibri Light" w:hAnsi="Calibri Light" w:cs="Calibri Light"/>
        </w:rPr>
        <w:t xml:space="preserve">Jeigu ūkio subjektas pasiūlyme nėra nurodomas, šio ūkio subjekto pajėgumais remtis negalima. Tačiau, jeigu pasiūlyme nurodytas ūkio subjektas netenkina jam keliamų reikalavimų, jis per perkančiosios organizacijos CVP IS priemonėmis nustatytą terminą gali būti pakeičiamas reikalavimus atitinkančiu ūkio subjektu. </w:t>
      </w:r>
    </w:p>
    <w:p w14:paraId="43D993CE" w14:textId="77777777" w:rsidR="002A775F" w:rsidRPr="00F819F1" w:rsidRDefault="002A775F" w:rsidP="002A775F">
      <w:pPr>
        <w:pStyle w:val="BodyText"/>
        <w:numPr>
          <w:ilvl w:val="1"/>
          <w:numId w:val="32"/>
        </w:numPr>
        <w:ind w:left="709" w:hanging="709"/>
        <w:rPr>
          <w:rFonts w:ascii="Calibri Light" w:hAnsi="Calibri Light" w:cs="Calibri Light"/>
        </w:rPr>
      </w:pPr>
      <w:r w:rsidRPr="00F819F1">
        <w:rPr>
          <w:rFonts w:ascii="Calibri Light" w:hAnsi="Calibri Light" w:cs="Calibri Light"/>
          <w:color w:val="000000"/>
          <w:lang w:eastAsia="lt-LT"/>
        </w:rPr>
        <w:t xml:space="preserve">Ūkio subjektai, kurių pajėgumais remiasi tiekėjas, </w:t>
      </w:r>
      <w:r w:rsidRPr="00F819F1">
        <w:rPr>
          <w:rFonts w:ascii="Calibri Light" w:hAnsi="Calibri Light" w:cs="Calibri Light"/>
        </w:rPr>
        <w:t xml:space="preserve">kad atitiktų techninio ir (arba) profesinio pajėgumo reikalavimus, </w:t>
      </w:r>
      <w:r w:rsidRPr="00F819F1">
        <w:rPr>
          <w:rFonts w:ascii="Calibri Light" w:hAnsi="Calibri Light" w:cs="Calibri Light"/>
          <w:color w:val="000000"/>
          <w:lang w:eastAsia="lt-LT"/>
        </w:rPr>
        <w:t xml:space="preserve">turi atitikti Apklausos sąlygų 3.2 </w:t>
      </w:r>
      <w:r w:rsidRPr="00F819F1">
        <w:rPr>
          <w:rFonts w:ascii="Calibri Light" w:hAnsi="Calibri Light" w:cs="Calibri Light"/>
          <w:color w:val="000000"/>
        </w:rPr>
        <w:t xml:space="preserve">p. nustatytus kvalifikacijos </w:t>
      </w:r>
      <w:r w:rsidRPr="00F819F1">
        <w:rPr>
          <w:rFonts w:ascii="Calibri Light" w:hAnsi="Calibri Light" w:cs="Calibri Light"/>
        </w:rPr>
        <w:t>nustatytus reikalavimus toje veiklos srityje, kurioje teiks paslaugas/atliks darbus, atsižvelgiant į jų prisiimamus įsipareigojimus pirkimo sutarčiai vykdyti.</w:t>
      </w:r>
    </w:p>
    <w:p w14:paraId="0D081A5C" w14:textId="77777777" w:rsidR="002A775F" w:rsidRDefault="002A775F" w:rsidP="002A775F">
      <w:pPr>
        <w:pStyle w:val="BodyText"/>
        <w:numPr>
          <w:ilvl w:val="1"/>
          <w:numId w:val="32"/>
        </w:numPr>
        <w:ind w:left="709" w:hanging="709"/>
        <w:rPr>
          <w:rFonts w:ascii="Calibri Light" w:hAnsi="Calibri Light" w:cs="Calibri Light"/>
        </w:rPr>
      </w:pPr>
      <w:r w:rsidRPr="00F819F1">
        <w:rPr>
          <w:rFonts w:ascii="Calibri Light" w:hAnsi="Calibri Light" w:cs="Calibri Light"/>
          <w:color w:val="000000"/>
        </w:rPr>
        <w:t>Jei pirkimo procedūrose dalyvauja tiekėjų grupė</w:t>
      </w:r>
      <w:r w:rsidRPr="004F7708">
        <w:rPr>
          <w:rFonts w:ascii="Calibri Light" w:hAnsi="Calibri Light" w:cs="Calibri Light"/>
          <w:color w:val="000000"/>
        </w:rPr>
        <w:t>,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w:t>
      </w:r>
    </w:p>
    <w:p w14:paraId="0AE7EAB5" w14:textId="77777777" w:rsidR="002A775F"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rPr>
        <w:t>Perkančioji organizacija nereikalauja, kad, tiekėjų grupės pateiktą pasiūlymą pripažinus geriausiu ir pasiūlius sudaryti pirkimo sutartį, ši  tiekėjų grupė įgytų tam tikrą teisinę formą.</w:t>
      </w:r>
    </w:p>
    <w:p w14:paraId="7E23C677" w14:textId="21F71624" w:rsidR="002A775F" w:rsidRPr="004F7708"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color w:val="000000"/>
        </w:rPr>
        <w:t>Jei pasiūlymą pateikia tiekėjų grupė, šių Apklausos sąlygų 3.</w:t>
      </w:r>
      <w:r w:rsidR="00E21A1B">
        <w:rPr>
          <w:rFonts w:ascii="Calibri Light" w:hAnsi="Calibri Light" w:cs="Calibri Light"/>
          <w:color w:val="000000"/>
        </w:rPr>
        <w:t>2</w:t>
      </w:r>
      <w:r>
        <w:rPr>
          <w:rFonts w:ascii="Calibri Light" w:hAnsi="Calibri Light" w:cs="Calibri Light"/>
          <w:color w:val="000000"/>
        </w:rPr>
        <w:t xml:space="preserve"> </w:t>
      </w:r>
      <w:r w:rsidRPr="004F7708">
        <w:rPr>
          <w:rFonts w:ascii="Calibri Light" w:hAnsi="Calibri Light" w:cs="Calibri Light"/>
          <w:color w:val="000000"/>
        </w:rPr>
        <w:t>p. nustatytus kvalifikacijos reikalavimus</w:t>
      </w:r>
      <w:r>
        <w:rPr>
          <w:rFonts w:ascii="Calibri Light" w:hAnsi="Calibri Light" w:cs="Calibri Light"/>
          <w:color w:val="000000"/>
        </w:rPr>
        <w:t xml:space="preserve"> (jeigu taikoma)</w:t>
      </w:r>
      <w:r w:rsidRPr="004F7708">
        <w:rPr>
          <w:rFonts w:ascii="Calibri Light" w:hAnsi="Calibri Light" w:cs="Calibri Light"/>
          <w:color w:val="000000"/>
        </w:rPr>
        <w:t xml:space="preserve"> turi atitikti bent vienas tiekėjų grupės narys arba visi tiekėjų grupės nariai kartu, atsižvelgiant į jų prisiimtus įsipareigojimus pirkimo sutarčiai vykdyti.  </w:t>
      </w:r>
    </w:p>
    <w:p w14:paraId="3D81C395" w14:textId="77777777" w:rsidR="002A775F" w:rsidRPr="00CE3834"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rPr>
        <w:t xml:space="preserve">Jeigu ūkio subjektas pasiūlyme nėra nurodomas, šio ūkio subjekto pajėgumais remtis negalima. Jeigu pasiūlyme nurodytas ūkio subjektas netenkina kvalifikacijos reikalavimų,  tiekėjas turės, perkančiajai organizacijai pareikalavus,  pakeisti jį reikalavimus atitinkančiu ūkio subjektu. 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p>
    <w:p w14:paraId="36390AD0" w14:textId="77777777" w:rsidR="002A775F" w:rsidRPr="004F7708" w:rsidRDefault="002A775F" w:rsidP="002A775F">
      <w:pPr>
        <w:pStyle w:val="BodyText"/>
        <w:numPr>
          <w:ilvl w:val="1"/>
          <w:numId w:val="32"/>
        </w:numPr>
        <w:ind w:left="709" w:hanging="709"/>
        <w:rPr>
          <w:rFonts w:ascii="Calibri Light" w:hAnsi="Calibri Light" w:cs="Calibri Light"/>
        </w:rPr>
      </w:pPr>
      <w:r w:rsidRPr="004F7708">
        <w:rPr>
          <w:rStyle w:val="fontstyle01"/>
          <w:rFonts w:ascii="Calibri Light" w:hAnsi="Calibri Light" w:cs="Calibri Light"/>
          <w:sz w:val="24"/>
          <w:szCs w:val="24"/>
        </w:rPr>
        <w:lastRenderedPageBreak/>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nuostatos taikymo, perkančioji organizacija atmeta pasiūlymą/ nutraukia sutartį, jeigu yra bent viena iš šių sąlygų:</w:t>
      </w:r>
    </w:p>
    <w:p w14:paraId="4560A5AE"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27C0CF11"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2AD48443"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5E2C3F3" w14:textId="77777777" w:rsidR="002A775F" w:rsidRPr="004F7708" w:rsidRDefault="002A775F" w:rsidP="002A775F">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5784114D"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 xml:space="preserve">perkančioji organizacija turi kompetentingų institucijų patvirtintos informacijos, kad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.1</w:t>
      </w:r>
      <w:r>
        <w:rPr>
          <w:rStyle w:val="fontstyle01"/>
          <w:rFonts w:ascii="Calibri Light" w:hAnsi="Calibri Light" w:cs="Calibri Light"/>
          <w:sz w:val="24"/>
          <w:szCs w:val="24"/>
        </w:rPr>
        <w:t xml:space="preserve"> </w:t>
      </w:r>
      <w:r w:rsidRPr="004F7708">
        <w:rPr>
          <w:rStyle w:val="fontstyle01"/>
          <w:rFonts w:ascii="Calibri Light" w:hAnsi="Calibri Light" w:cs="Calibri Light"/>
          <w:sz w:val="24"/>
          <w:szCs w:val="24"/>
        </w:rPr>
        <w:t xml:space="preserve">ir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w:t>
      </w:r>
      <w:r>
        <w:rPr>
          <w:rStyle w:val="fontstyle01"/>
          <w:rFonts w:ascii="Calibri Light" w:hAnsi="Calibri Light" w:cs="Calibri Light"/>
          <w:sz w:val="24"/>
          <w:szCs w:val="24"/>
        </w:rPr>
        <w:t>.</w:t>
      </w:r>
      <w:r w:rsidRPr="004F7708">
        <w:rPr>
          <w:rStyle w:val="fontstyle01"/>
          <w:rFonts w:ascii="Calibri Light" w:hAnsi="Calibri Light" w:cs="Calibri Light"/>
          <w:sz w:val="24"/>
          <w:szCs w:val="24"/>
        </w:rPr>
        <w:t xml:space="preserve"> nurodyti subjektų veikla ir jų ryšiai kelia grėsmę nacionaliniam saugumui.</w:t>
      </w:r>
    </w:p>
    <w:p w14:paraId="00989084" w14:textId="77777777" w:rsidR="002A775F" w:rsidRPr="004F7708" w:rsidRDefault="002A775F" w:rsidP="002A775F">
      <w:pPr>
        <w:pStyle w:val="ListParagraph"/>
        <w:numPr>
          <w:ilvl w:val="1"/>
          <w:numId w:val="3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tiekėjai su pasiūlymu pateikia </w:t>
      </w:r>
      <w:r w:rsidRPr="00433C26">
        <w:rPr>
          <w:rStyle w:val="fontstyle01"/>
          <w:rFonts w:ascii="Calibri Light" w:hAnsi="Calibri Light" w:cs="Calibri Light"/>
          <w:b/>
          <w:bCs/>
          <w:sz w:val="24"/>
          <w:szCs w:val="24"/>
        </w:rPr>
        <w:t>deklaraciją (4 priedas).</w:t>
      </w:r>
      <w:r w:rsidRPr="004F7708">
        <w:rPr>
          <w:rStyle w:val="fontstyle01"/>
          <w:rFonts w:ascii="Calibri Light" w:hAnsi="Calibri Light" w:cs="Calibri Light"/>
          <w:sz w:val="24"/>
          <w:szCs w:val="24"/>
        </w:rPr>
        <w:t xml:space="preserve"> Taip pat perkančioji organizacija, tikrindama pasiūlymo atitiktį šio skyriaus 3.18.1 ir 3.18.2 punktų reikalavimams, sutarties vykdymo metu gali pareikalauti šių dokumentų (jei jų nebuvo reikalauta pagal kitus Apklausos sąlygų reikalavimus ir jie nebuvo pateikti iki galimo laimėtojo nustatymo):</w:t>
      </w:r>
    </w:p>
    <w:p w14:paraId="77ECCDC0"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Pr>
          <w:rStyle w:val="fontstyle01"/>
          <w:rFonts w:ascii="Calibri Light" w:hAnsi="Calibri Light" w:cs="Calibri Light"/>
          <w:sz w:val="24"/>
          <w:szCs w:val="24"/>
        </w:rPr>
        <w:t>;</w:t>
      </w:r>
    </w:p>
    <w:p w14:paraId="529E28A0"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Pr>
          <w:rStyle w:val="fontstyle01"/>
          <w:rFonts w:ascii="Calibri Light" w:hAnsi="Calibri Light" w:cs="Calibri Light"/>
          <w:sz w:val="24"/>
          <w:szCs w:val="24"/>
        </w:rPr>
        <w:t>;</w:t>
      </w:r>
    </w:p>
    <w:p w14:paraId="18895A78"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tikrindama pasiūlymo atitiktį Apklausos sąlygų reikalavimams, įskaitant tiekėjo</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deklaruojamus patvirtinimus, turi teisę reikalauti iš tiekėjo ir kitų dokumentų ir duomenų,</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įskaitant oficialius dokumentus iš valstybės ar kitų įgaliotų institucijų, pagrindžiančių atitikimą</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Apklausos sąlygų reikalavimams ir jo deklaracijoje nurodytiems patvirtinimams.</w:t>
      </w:r>
    </w:p>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 xml:space="preserve">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w:t>
      </w:r>
      <w:r w:rsidRPr="00D41FDB">
        <w:rPr>
          <w:rFonts w:ascii="Calibri Light" w:hAnsi="Calibri Light" w:cs="Calibri Light"/>
          <w:sz w:val="24"/>
          <w:szCs w:val="24"/>
        </w:rPr>
        <w:lastRenderedPageBreak/>
        <w:t>tvirtina individualiai dirbantis vertėjas), arba Tiekėjo ar jo įgalioto asmens parašu ir antspaudu. Pasiūlymo parengimo ir pristatymo išlaidas padengia pats tiekėjas.</w:t>
      </w:r>
    </w:p>
    <w:p w14:paraId="131F38FF" w14:textId="42D653EA"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055CB1" w:rsidRPr="00C2236C">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8B421F0"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055CB1" w:rsidRPr="00C2236C">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4B171834"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 xml:space="preserve">Apskaičiuojant kainą turi būti atsižvelgta į visas perkamų </w:t>
      </w:r>
      <w:r w:rsidR="002C70FB">
        <w:rPr>
          <w:rFonts w:ascii="Calibri Light" w:hAnsi="Calibri Light" w:cs="Calibri Light"/>
          <w:sz w:val="24"/>
          <w:szCs w:val="24"/>
        </w:rPr>
        <w:t>paslaugų</w:t>
      </w:r>
      <w:r w:rsidRPr="00D41FDB">
        <w:rPr>
          <w:rFonts w:ascii="Calibri Light" w:hAnsi="Calibri Light" w:cs="Calibri Light"/>
          <w:sz w:val="24"/>
          <w:szCs w:val="24"/>
        </w:rPr>
        <w:t xml:space="preserve">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 xml:space="preserve">atsiskaitymo už </w:t>
      </w:r>
      <w:r w:rsidR="002C70FB">
        <w:rPr>
          <w:rFonts w:ascii="Calibri Light" w:hAnsi="Calibri Light"/>
          <w:sz w:val="24"/>
          <w:szCs w:val="24"/>
        </w:rPr>
        <w:t>suteiktas paslaugas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w:t>
      </w:r>
      <w:r w:rsidRPr="00D41FDB">
        <w:rPr>
          <w:rFonts w:ascii="Calibri Light" w:hAnsi="Calibri Light"/>
          <w:sz w:val="24"/>
          <w:szCs w:val="24"/>
        </w:rPr>
        <w:lastRenderedPageBreak/>
        <w:t>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5" w:name="_Toc47844932"/>
      <w:bookmarkStart w:id="6" w:name="_Toc60525486"/>
      <w:r w:rsidRPr="004F7708">
        <w:rPr>
          <w:rFonts w:ascii="Calibri Light" w:hAnsi="Calibri Light" w:cs="Calibri Light"/>
          <w:b/>
          <w:color w:val="000000"/>
          <w:sz w:val="24"/>
          <w:szCs w:val="24"/>
        </w:rPr>
        <w:t>V. PASIŪLYMŲ GALIOJIMO</w:t>
      </w:r>
      <w:bookmarkEnd w:id="5"/>
      <w:bookmarkEnd w:id="6"/>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w:t>
      </w:r>
      <w:r w:rsidRPr="00025AC8">
        <w:rPr>
          <w:rFonts w:ascii="Calibri Light" w:hAnsi="Calibri Light" w:cs="Calibri Light"/>
          <w:sz w:val="24"/>
          <w:szCs w:val="24"/>
        </w:rPr>
        <w:lastRenderedPageBreak/>
        <w:t xml:space="preserve">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lastRenderedPageBreak/>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03FED39B"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A346E9" w:rsidRPr="005B34E3">
          <w:rPr>
            <w:rStyle w:val="Hyperlink"/>
            <w:rFonts w:ascii="Calibri Light" w:hAnsi="Calibri Light" w:cs="Calibri Light"/>
            <w:sz w:val="24"/>
            <w:szCs w:val="24"/>
          </w:rPr>
          <w:t>sigute.budreikiene@vmb.lt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3139023"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055CB1" w:rsidRPr="00C2236C">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lastRenderedPageBreak/>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2A7F5484" w14:textId="7D953F40" w:rsidR="00D10440" w:rsidRPr="00841FE1" w:rsidRDefault="004A4F5D" w:rsidP="00841FE1">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lastRenderedPageBreak/>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w:t>
      </w:r>
      <w:r w:rsidRPr="0095276A">
        <w:rPr>
          <w:rFonts w:ascii="Calibri Light" w:hAnsi="Calibri Light" w:cs="Calibri Light"/>
          <w:lang w:val="lt-LT"/>
        </w:rPr>
        <w:lastRenderedPageBreak/>
        <w:t xml:space="preserve">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xml:space="preserve">. Jeigu kelių tiekėjų pasiūlymų ekonominis naudingumas yra vienodas, sudarant pasiūlymų eilę, pirmesnis įrašomas tiekėjas, kurio pasiūlymas pateiktas anksčiau. Eilė </w:t>
      </w:r>
      <w:r w:rsidRPr="004F7708">
        <w:rPr>
          <w:rFonts w:ascii="Calibri Light" w:hAnsi="Calibri Light" w:cs="Calibri Light"/>
          <w:lang w:val="lt-LT"/>
        </w:rPr>
        <w:lastRenderedPageBreak/>
        <w:t>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49C3FE79" w14:textId="77777777" w:rsidR="00841FE1" w:rsidRDefault="00841FE1" w:rsidP="00841FE1">
      <w:pPr>
        <w:pStyle w:val="Betarp1"/>
        <w:ind w:left="709"/>
        <w:jc w:val="both"/>
        <w:rPr>
          <w:rFonts w:ascii="Calibri Light" w:hAnsi="Calibri Light" w:cs="Calibri Light"/>
          <w:b/>
          <w:lang w:val="lt-LT"/>
        </w:rPr>
      </w:pPr>
    </w:p>
    <w:p w14:paraId="52DC516C" w14:textId="52A7AAF9" w:rsidR="002A775F" w:rsidRDefault="002A775F" w:rsidP="002A775F">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51DE759A" w14:textId="7F0635E1" w:rsidR="00C17A51" w:rsidRDefault="002A775F" w:rsidP="00433C26">
      <w:pPr>
        <w:pStyle w:val="Betarp1"/>
        <w:jc w:val="both"/>
        <w:rPr>
          <w:rFonts w:ascii="Calibri Light" w:hAnsi="Calibri Light" w:cs="Calibri Light"/>
          <w:bCs/>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w:t>
      </w:r>
    </w:p>
    <w:p w14:paraId="45CA0D81" w14:textId="77777777" w:rsidR="00841FE1" w:rsidRPr="004F7708" w:rsidRDefault="00841FE1" w:rsidP="00433C26">
      <w:pPr>
        <w:pStyle w:val="Betarp1"/>
        <w:jc w:val="both"/>
        <w:rPr>
          <w:rFonts w:ascii="Calibri Light" w:hAnsi="Calibri Light" w:cs="Calibri Light"/>
          <w:b/>
          <w:lang w:val="lt-LT"/>
        </w:rPr>
      </w:pPr>
    </w:p>
    <w:p w14:paraId="7F2B4927" w14:textId="77777777" w:rsidR="00433C26" w:rsidRDefault="00830C82" w:rsidP="00433C26">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w:t>
      </w:r>
      <w:r w:rsidR="002A775F">
        <w:rPr>
          <w:rFonts w:ascii="Calibri Light" w:hAnsi="Calibri Light" w:cs="Calibri Light"/>
          <w:b/>
          <w:bCs/>
          <w:sz w:val="24"/>
          <w:szCs w:val="24"/>
        </w:rPr>
        <w:t>V</w:t>
      </w:r>
      <w:r w:rsidRPr="00830C82">
        <w:rPr>
          <w:rFonts w:ascii="Calibri Light" w:hAnsi="Calibri Light" w:cs="Calibri Light"/>
          <w:b/>
          <w:bCs/>
          <w:sz w:val="24"/>
          <w:szCs w:val="24"/>
        </w:rPr>
        <w:t>. PRIEDAI:</w:t>
      </w:r>
      <w:r w:rsidR="00433C26">
        <w:rPr>
          <w:rFonts w:ascii="Calibri Light" w:hAnsi="Calibri Light" w:cs="Calibri Light"/>
          <w:b/>
          <w:bCs/>
          <w:sz w:val="24"/>
          <w:szCs w:val="24"/>
        </w:rPr>
        <w:t xml:space="preserve"> </w:t>
      </w:r>
    </w:p>
    <w:p w14:paraId="5C1FBB56"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lastRenderedPageBreak/>
        <w:t xml:space="preserve">14.1. </w:t>
      </w:r>
      <w:r w:rsidR="0095147E" w:rsidRPr="00433C26">
        <w:rPr>
          <w:rFonts w:ascii="Calibri Light" w:hAnsi="Calibri Light" w:cs="Calibri Light"/>
          <w:sz w:val="24"/>
          <w:szCs w:val="24"/>
        </w:rPr>
        <w:t>Techninė specifikacij</w:t>
      </w:r>
      <w:r w:rsidR="00841AFD" w:rsidRPr="00433C26">
        <w:rPr>
          <w:rFonts w:ascii="Calibri Light" w:hAnsi="Calibri Light" w:cs="Calibri Light"/>
          <w:sz w:val="24"/>
          <w:szCs w:val="24"/>
        </w:rPr>
        <w:t>a</w:t>
      </w:r>
      <w:r w:rsidR="00F76DAC" w:rsidRPr="00433C26">
        <w:rPr>
          <w:rFonts w:ascii="Calibri Light" w:hAnsi="Calibri Light" w:cs="Calibri Light"/>
          <w:sz w:val="24"/>
          <w:szCs w:val="24"/>
        </w:rPr>
        <w:t>;</w:t>
      </w:r>
    </w:p>
    <w:p w14:paraId="55E8276C"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t xml:space="preserve">14.2. </w:t>
      </w:r>
      <w:r w:rsidR="0095147E" w:rsidRPr="00433C26">
        <w:rPr>
          <w:rFonts w:ascii="Calibri Light" w:hAnsi="Calibri Light" w:cs="Calibri Light"/>
          <w:sz w:val="24"/>
          <w:szCs w:val="24"/>
        </w:rPr>
        <w:t>Sutarties projektas;</w:t>
      </w:r>
    </w:p>
    <w:p w14:paraId="33BC6713"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t xml:space="preserve">14.3. </w:t>
      </w:r>
      <w:r w:rsidR="002A4DD1" w:rsidRPr="00433C26">
        <w:rPr>
          <w:rFonts w:ascii="Calibri Light" w:hAnsi="Calibri Light" w:cs="Calibri Light"/>
          <w:sz w:val="24"/>
          <w:szCs w:val="24"/>
        </w:rPr>
        <w:t>Pasiūlymo forma;</w:t>
      </w:r>
    </w:p>
    <w:p w14:paraId="58CCB681" w14:textId="46BBF540" w:rsidR="00483D83" w:rsidRPr="00433C26" w:rsidRDefault="00433C26" w:rsidP="00433C26">
      <w:pPr>
        <w:tabs>
          <w:tab w:val="left" w:pos="1134"/>
        </w:tabs>
        <w:jc w:val="both"/>
        <w:rPr>
          <w:rFonts w:ascii="Calibri Light" w:hAnsi="Calibri Light" w:cs="Calibri Light"/>
          <w:b/>
          <w:bCs/>
          <w:sz w:val="24"/>
          <w:szCs w:val="24"/>
        </w:rPr>
      </w:pPr>
      <w:r w:rsidRPr="00433C26">
        <w:rPr>
          <w:rFonts w:ascii="Calibri Light" w:hAnsi="Calibri Light" w:cs="Calibri Light"/>
          <w:sz w:val="24"/>
          <w:szCs w:val="24"/>
        </w:rPr>
        <w:t>14.</w:t>
      </w:r>
      <w:r>
        <w:rPr>
          <w:rFonts w:ascii="Calibri Light" w:hAnsi="Calibri Light" w:cs="Calibri Light"/>
          <w:sz w:val="24"/>
          <w:szCs w:val="24"/>
        </w:rPr>
        <w:t xml:space="preserve">4. </w:t>
      </w:r>
      <w:r w:rsidR="00C17A51" w:rsidRPr="00433C26">
        <w:rPr>
          <w:rFonts w:ascii="Calibri Light" w:hAnsi="Calibri Light" w:cs="Calibri Light"/>
          <w:sz w:val="24"/>
          <w:szCs w:val="24"/>
        </w:rPr>
        <w:t xml:space="preserve">Tiekėjo deklaracija dėl </w:t>
      </w:r>
      <w:r w:rsidR="004D044A" w:rsidRPr="00433C26">
        <w:rPr>
          <w:rFonts w:ascii="Calibri Light" w:hAnsi="Calibri Light" w:cs="Calibri Light"/>
          <w:sz w:val="24"/>
          <w:szCs w:val="24"/>
        </w:rPr>
        <w:t xml:space="preserve">atitikimo </w:t>
      </w:r>
      <w:r w:rsidR="00C17A51" w:rsidRPr="00433C26">
        <w:rPr>
          <w:rFonts w:ascii="Calibri Light" w:hAnsi="Calibri Light" w:cs="Calibri Light"/>
          <w:sz w:val="24"/>
          <w:szCs w:val="24"/>
        </w:rPr>
        <w:t>nacionalinio saugumo</w:t>
      </w:r>
      <w:r w:rsidR="004D044A" w:rsidRPr="00433C26">
        <w:rPr>
          <w:rFonts w:ascii="Calibri Light" w:hAnsi="Calibri Light" w:cs="Calibri Light"/>
          <w:sz w:val="24"/>
          <w:szCs w:val="24"/>
        </w:rPr>
        <w:t xml:space="preserve"> reikalavimams.</w:t>
      </w:r>
      <w:bookmarkEnd w:id="1"/>
    </w:p>
    <w:sectPr w:rsidR="00483D83" w:rsidRPr="00433C26"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 w:id="1">
    <w:p w14:paraId="3BD8E657" w14:textId="77777777" w:rsidR="000D230C" w:rsidRPr="00B00670" w:rsidRDefault="000D230C" w:rsidP="000D230C">
      <w:pPr>
        <w:pStyle w:val="FootnoteText"/>
        <w:rPr>
          <w:rFonts w:ascii="Calibri Light" w:hAnsi="Calibri Light" w:cs="Calibri Light"/>
        </w:rPr>
      </w:pPr>
      <w:bookmarkStart w:id="4" w:name="_Hlk96685982"/>
      <w:r w:rsidRPr="001647AB">
        <w:rPr>
          <w:rStyle w:val="FootnoteReference"/>
          <w:rFonts w:ascii="Calibri Light" w:hAnsi="Calibri Light" w:cs="Calibri Light"/>
        </w:rPr>
        <w:footnoteRef/>
      </w:r>
      <w:r w:rsidRPr="001647AB">
        <w:rPr>
          <w:rFonts w:ascii="Calibri Light" w:hAnsi="Calibri Light" w:cs="Calibri Light"/>
        </w:rPr>
        <w:t xml:space="preserve"> </w:t>
      </w:r>
      <w:r w:rsidRPr="001647AB">
        <w:rPr>
          <w:rFonts w:ascii="Calibri Light" w:hAnsi="Calibri Light" w:cs="Calibri Light"/>
          <w:spacing w:val="2"/>
          <w:shd w:val="clear" w:color="auto" w:fill="FFFFFF"/>
        </w:rPr>
        <w:t>Aplinkos ministro 2011-06-28 įsakym</w:t>
      </w:r>
      <w:r>
        <w:rPr>
          <w:rFonts w:ascii="Calibri Light" w:hAnsi="Calibri Light" w:cs="Calibri Light"/>
          <w:spacing w:val="2"/>
          <w:shd w:val="clear" w:color="auto" w:fill="FFFFFF"/>
        </w:rPr>
        <w:t>u</w:t>
      </w:r>
      <w:r w:rsidRPr="001647AB">
        <w:rPr>
          <w:rFonts w:ascii="Calibri Light" w:hAnsi="Calibri Light" w:cs="Calibri Light"/>
          <w:spacing w:val="2"/>
          <w:shd w:val="clear" w:color="auto" w:fill="FFFFFF"/>
        </w:rPr>
        <w:t xml:space="preserve"> Nr. </w:t>
      </w:r>
      <w:r w:rsidRPr="00B00670">
        <w:rPr>
          <w:rFonts w:ascii="Calibri Light" w:hAnsi="Calibri Light" w:cs="Calibri Light"/>
          <w:spacing w:val="2"/>
          <w:shd w:val="clear" w:color="auto" w:fill="FFFFFF"/>
        </w:rPr>
        <w:t xml:space="preserve">D1-508 </w:t>
      </w:r>
      <w:bookmarkEnd w:id="4"/>
      <w:r>
        <w:rPr>
          <w:rFonts w:ascii="Calibri Light" w:hAnsi="Calibri Light" w:cs="Calibri Light"/>
          <w:spacing w:val="2"/>
          <w:shd w:val="clear" w:color="auto" w:fill="FFFFFF"/>
        </w:rPr>
        <w:t>patvirtintas A</w:t>
      </w:r>
      <w:r w:rsidRPr="00B00670">
        <w:rPr>
          <w:rFonts w:ascii="Calibri Light" w:hAnsi="Calibri Light" w:cs="Calibri Light"/>
          <w:spacing w:val="2"/>
          <w:shd w:val="clear" w:color="auto" w:fill="FFFFFF"/>
        </w:rPr>
        <w:t>plinkos apsaugos kriterijų taikym</w:t>
      </w:r>
      <w:r>
        <w:rPr>
          <w:rFonts w:ascii="Calibri Light" w:hAnsi="Calibri Light" w:cs="Calibri Light"/>
          <w:spacing w:val="2"/>
          <w:shd w:val="clear" w:color="auto" w:fill="FFFFFF"/>
        </w:rPr>
        <w:t>as</w:t>
      </w:r>
      <w:r w:rsidRPr="00B00670">
        <w:rPr>
          <w:rFonts w:ascii="Calibri Light" w:hAnsi="Calibri Light" w:cs="Calibri Light"/>
          <w:spacing w:val="2"/>
          <w:shd w:val="clear" w:color="auto" w:fill="FFFFFF"/>
        </w:rPr>
        <w:t>, vy</w:t>
      </w:r>
      <w:r>
        <w:rPr>
          <w:rFonts w:ascii="Calibri Light" w:hAnsi="Calibri Light" w:cs="Calibri Light"/>
          <w:spacing w:val="2"/>
          <w:shd w:val="clear" w:color="auto" w:fill="FFFFFF"/>
        </w:rPr>
        <w:t>kdant žaliuosiu pirkimus, tvarko aprašas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95ADD"/>
    <w:multiLevelType w:val="multilevel"/>
    <w:tmpl w:val="2C923CC4"/>
    <w:lvl w:ilvl="0">
      <w:start w:val="3"/>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0385A"/>
    <w:multiLevelType w:val="multilevel"/>
    <w:tmpl w:val="C826F170"/>
    <w:lvl w:ilvl="0">
      <w:start w:val="3"/>
      <w:numFmt w:val="decimal"/>
      <w:lvlText w:val="%1.4. "/>
      <w:lvlJc w:val="left"/>
      <w:pPr>
        <w:ind w:left="360" w:hanging="360"/>
      </w:pPr>
      <w:rPr>
        <w:rFonts w:hint="default"/>
      </w:rPr>
    </w:lvl>
    <w:lvl w:ilvl="1">
      <w:start w:val="3"/>
      <w:numFmt w:val="none"/>
      <w:lvlText w:val="3.5. "/>
      <w:lvlJc w:val="left"/>
      <w:pPr>
        <w:ind w:left="1440" w:hanging="360"/>
      </w:pPr>
      <w:rPr>
        <w:rFonts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6"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9C037E"/>
    <w:multiLevelType w:val="multilevel"/>
    <w:tmpl w:val="42E4776C"/>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906C04"/>
    <w:multiLevelType w:val="multilevel"/>
    <w:tmpl w:val="494C490C"/>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9"/>
  </w:num>
  <w:num w:numId="2" w16cid:durableId="1747410340">
    <w:abstractNumId w:val="10"/>
  </w:num>
  <w:num w:numId="3" w16cid:durableId="881792314">
    <w:abstractNumId w:val="31"/>
  </w:num>
  <w:num w:numId="4" w16cid:durableId="2078284732">
    <w:abstractNumId w:val="22"/>
  </w:num>
  <w:num w:numId="5" w16cid:durableId="714038186">
    <w:abstractNumId w:val="8"/>
  </w:num>
  <w:num w:numId="6" w16cid:durableId="775293370">
    <w:abstractNumId w:val="0"/>
  </w:num>
  <w:num w:numId="7" w16cid:durableId="1220552297">
    <w:abstractNumId w:val="21"/>
  </w:num>
  <w:num w:numId="8" w16cid:durableId="198126202">
    <w:abstractNumId w:val="25"/>
  </w:num>
  <w:num w:numId="9" w16cid:durableId="143157533">
    <w:abstractNumId w:val="23"/>
  </w:num>
  <w:num w:numId="10" w16cid:durableId="930742273">
    <w:abstractNumId w:val="16"/>
  </w:num>
  <w:num w:numId="11" w16cid:durableId="1632830433">
    <w:abstractNumId w:val="1"/>
  </w:num>
  <w:num w:numId="12" w16cid:durableId="335304945">
    <w:abstractNumId w:val="15"/>
  </w:num>
  <w:num w:numId="13" w16cid:durableId="975598343">
    <w:abstractNumId w:val="6"/>
  </w:num>
  <w:num w:numId="14" w16cid:durableId="230698051">
    <w:abstractNumId w:val="11"/>
  </w:num>
  <w:num w:numId="15" w16cid:durableId="965693809">
    <w:abstractNumId w:val="12"/>
  </w:num>
  <w:num w:numId="16" w16cid:durableId="1677340796">
    <w:abstractNumId w:val="17"/>
  </w:num>
  <w:num w:numId="17" w16cid:durableId="661009880">
    <w:abstractNumId w:val="26"/>
  </w:num>
  <w:num w:numId="18" w16cid:durableId="707069671">
    <w:abstractNumId w:val="2"/>
  </w:num>
  <w:num w:numId="19" w16cid:durableId="487720298">
    <w:abstractNumId w:val="29"/>
  </w:num>
  <w:num w:numId="20" w16cid:durableId="1826900081">
    <w:abstractNumId w:val="28"/>
  </w:num>
  <w:num w:numId="21" w16cid:durableId="1334185048">
    <w:abstractNumId w:val="14"/>
  </w:num>
  <w:num w:numId="22" w16cid:durableId="945389530">
    <w:abstractNumId w:val="7"/>
  </w:num>
  <w:num w:numId="23" w16cid:durableId="1967004135">
    <w:abstractNumId w:val="30"/>
  </w:num>
  <w:num w:numId="24" w16cid:durableId="1560750630">
    <w:abstractNumId w:val="13"/>
  </w:num>
  <w:num w:numId="25" w16cid:durableId="1329553080">
    <w:abstractNumId w:val="20"/>
  </w:num>
  <w:num w:numId="26" w16cid:durableId="1855462066">
    <w:abstractNumId w:val="3"/>
  </w:num>
  <w:num w:numId="27" w16cid:durableId="882405049">
    <w:abstractNumId w:val="32"/>
  </w:num>
  <w:num w:numId="28" w16cid:durableId="83427433">
    <w:abstractNumId w:val="27"/>
  </w:num>
  <w:num w:numId="29" w16cid:durableId="894001350">
    <w:abstractNumId w:val="5"/>
  </w:num>
  <w:num w:numId="30" w16cid:durableId="1867258092">
    <w:abstractNumId w:val="19"/>
  </w:num>
  <w:num w:numId="31" w16cid:durableId="115367211">
    <w:abstractNumId w:val="18"/>
  </w:num>
  <w:num w:numId="32" w16cid:durableId="1368334918">
    <w:abstractNumId w:val="4"/>
  </w:num>
  <w:num w:numId="33" w16cid:durableId="192394982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56AE"/>
    <w:rsid w:val="0004683A"/>
    <w:rsid w:val="00046E42"/>
    <w:rsid w:val="00046FD5"/>
    <w:rsid w:val="0004712E"/>
    <w:rsid w:val="00050129"/>
    <w:rsid w:val="00052874"/>
    <w:rsid w:val="00054288"/>
    <w:rsid w:val="00055CB1"/>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5F8"/>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230C"/>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5CC"/>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A775F"/>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0FB"/>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B22"/>
    <w:rsid w:val="002E1CEE"/>
    <w:rsid w:val="002E2291"/>
    <w:rsid w:val="002E2555"/>
    <w:rsid w:val="002E4DE0"/>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02D"/>
    <w:rsid w:val="00355184"/>
    <w:rsid w:val="00355634"/>
    <w:rsid w:val="00355A9F"/>
    <w:rsid w:val="00355D6B"/>
    <w:rsid w:val="00356628"/>
    <w:rsid w:val="00356953"/>
    <w:rsid w:val="00357F0B"/>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3C26"/>
    <w:rsid w:val="00434A1D"/>
    <w:rsid w:val="00434E2E"/>
    <w:rsid w:val="00434EEF"/>
    <w:rsid w:val="004370DB"/>
    <w:rsid w:val="0043744E"/>
    <w:rsid w:val="0043796B"/>
    <w:rsid w:val="00437AE0"/>
    <w:rsid w:val="00437CD3"/>
    <w:rsid w:val="00437DAB"/>
    <w:rsid w:val="00440D37"/>
    <w:rsid w:val="00440D6E"/>
    <w:rsid w:val="0044279A"/>
    <w:rsid w:val="0044285E"/>
    <w:rsid w:val="00443955"/>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AA8"/>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1F70"/>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5909"/>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23D9"/>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6DB7"/>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1A7A"/>
    <w:rsid w:val="00834FAE"/>
    <w:rsid w:val="00835B83"/>
    <w:rsid w:val="008369AD"/>
    <w:rsid w:val="0083714C"/>
    <w:rsid w:val="008379B5"/>
    <w:rsid w:val="00837D19"/>
    <w:rsid w:val="00840B97"/>
    <w:rsid w:val="008413E3"/>
    <w:rsid w:val="00841AFD"/>
    <w:rsid w:val="00841FE1"/>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962"/>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028"/>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2018"/>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37666"/>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2C0"/>
    <w:rsid w:val="00A314D5"/>
    <w:rsid w:val="00A316DA"/>
    <w:rsid w:val="00A330C5"/>
    <w:rsid w:val="00A337C7"/>
    <w:rsid w:val="00A346E9"/>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0B8A"/>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37FF0"/>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211E"/>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8E2"/>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5EEB"/>
    <w:rsid w:val="00E061AE"/>
    <w:rsid w:val="00E063FC"/>
    <w:rsid w:val="00E102EF"/>
    <w:rsid w:val="00E10AB9"/>
    <w:rsid w:val="00E11ED6"/>
    <w:rsid w:val="00E1346B"/>
    <w:rsid w:val="00E13F50"/>
    <w:rsid w:val="00E14172"/>
    <w:rsid w:val="00E15576"/>
    <w:rsid w:val="00E15A73"/>
    <w:rsid w:val="00E15DAA"/>
    <w:rsid w:val="00E21222"/>
    <w:rsid w:val="00E21A1B"/>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273B"/>
    <w:rsid w:val="00E532CA"/>
    <w:rsid w:val="00E536CB"/>
    <w:rsid w:val="00E53CC1"/>
    <w:rsid w:val="00E55037"/>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55D1D"/>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0A1D"/>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sigute.budrei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5391</Words>
  <Characters>39823</Characters>
  <Application>Microsoft Office Word</Application>
  <DocSecurity>0</DocSecurity>
  <Lines>331</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39</cp:revision>
  <cp:lastPrinted>2020-02-17T13:38:00Z</cp:lastPrinted>
  <dcterms:created xsi:type="dcterms:W3CDTF">2023-01-24T18:30:00Z</dcterms:created>
  <dcterms:modified xsi:type="dcterms:W3CDTF">2025-08-06T04:51:00Z</dcterms:modified>
</cp:coreProperties>
</file>