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5E1BC177" w:rsidR="0068231C" w:rsidRDefault="00AA0448">
            <w:pPr>
              <w:jc w:val="both"/>
              <w:rPr>
                <w:kern w:val="2"/>
                <w:szCs w:val="24"/>
              </w:rPr>
            </w:pPr>
            <w:r w:rsidRPr="00AA0448">
              <w:rPr>
                <w:kern w:val="2"/>
                <w:szCs w:val="24"/>
              </w:rPr>
              <w:t>„</w:t>
            </w:r>
            <w:r w:rsidR="00AF098E" w:rsidRPr="00AF098E">
              <w:rPr>
                <w:kern w:val="2"/>
                <w:szCs w:val="24"/>
              </w:rPr>
              <w:t xml:space="preserve">Vamzdeliai </w:t>
            </w:r>
            <w:proofErr w:type="spellStart"/>
            <w:r w:rsidR="00AF098E" w:rsidRPr="00AF098E">
              <w:rPr>
                <w:kern w:val="2"/>
                <w:szCs w:val="24"/>
              </w:rPr>
              <w:t>endotrachėjiniai</w:t>
            </w:r>
            <w:proofErr w:type="spellEnd"/>
            <w:r w:rsidR="00AF098E" w:rsidRPr="00AF098E">
              <w:rPr>
                <w:kern w:val="2"/>
                <w:szCs w:val="24"/>
              </w:rPr>
              <w:t xml:space="preserve"> su </w:t>
            </w:r>
            <w:proofErr w:type="spellStart"/>
            <w:r w:rsidR="00AF098E" w:rsidRPr="00AF098E">
              <w:rPr>
                <w:kern w:val="2"/>
                <w:szCs w:val="24"/>
              </w:rPr>
              <w:t>manžet</w:t>
            </w:r>
            <w:r w:rsidR="006722AC">
              <w:rPr>
                <w:kern w:val="2"/>
                <w:szCs w:val="24"/>
              </w:rPr>
              <w:t>e</w:t>
            </w:r>
            <w:proofErr w:type="spellEnd"/>
            <w:r w:rsidR="00AF098E" w:rsidRPr="00AF098E">
              <w:rPr>
                <w:kern w:val="2"/>
                <w:szCs w:val="24"/>
              </w:rPr>
              <w:t xml:space="preserve"> (11073)“</w:t>
            </w:r>
            <w:r w:rsidR="00AF098E">
              <w:rPr>
                <w:kern w:val="2"/>
                <w:szCs w:val="24"/>
              </w:rPr>
              <w:t xml:space="preserve"> </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42B2B" w14:textId="77777777" w:rsidR="004359BC" w:rsidRDefault="00E5166C" w:rsidP="00E5166C">
            <w:pPr>
              <w:jc w:val="both"/>
            </w:pPr>
            <w:r w:rsidRPr="004C6076">
              <w:rPr>
                <w:kern w:val="2"/>
                <w:szCs w:val="24"/>
              </w:rPr>
              <w:t xml:space="preserve">2.1.1. Už Sutarties vykdymą ir prekių priėmimą atsakingas: </w:t>
            </w:r>
            <w:r w:rsidRPr="004C6076">
              <w:t xml:space="preserve"> </w:t>
            </w:r>
          </w:p>
          <w:p w14:paraId="446C7841" w14:textId="6FB54361" w:rsidR="00E5166C" w:rsidRPr="004C6076" w:rsidRDefault="004359BC" w:rsidP="00E5166C">
            <w:pPr>
              <w:jc w:val="both"/>
              <w:rPr>
                <w:color w:val="4472C4"/>
                <w:kern w:val="2"/>
                <w:szCs w:val="24"/>
              </w:rPr>
            </w:pPr>
            <w:r w:rsidRPr="00F80BA0">
              <w:rPr>
                <w:kern w:val="2"/>
                <w:szCs w:val="24"/>
              </w:rPr>
              <w:t>Farmacinės veiklos skyriaus</w:t>
            </w:r>
            <w:r w:rsidRPr="004C6076">
              <w:rPr>
                <w:kern w:val="2"/>
                <w:szCs w:val="24"/>
              </w:rPr>
              <w:t xml:space="preserve"> </w:t>
            </w:r>
            <w:r w:rsidRPr="004C6076">
              <w:t xml:space="preserve"> </w:t>
            </w:r>
            <w:r w:rsidR="00E5166C" w:rsidRPr="004C6076">
              <w:rPr>
                <w:color w:val="4472C4"/>
                <w:kern w:val="2"/>
                <w:szCs w:val="24"/>
              </w:rPr>
              <w:t xml:space="preserve">(nurodyti </w:t>
            </w:r>
            <w:r w:rsidR="009C1BC4" w:rsidRPr="009C1BC4">
              <w:rPr>
                <w:color w:val="4472C4"/>
                <w:kern w:val="2"/>
                <w:szCs w:val="24"/>
              </w:rPr>
              <w:t>padalinį / skyrių</w:t>
            </w:r>
            <w:r w:rsidR="009C1BC4">
              <w:rPr>
                <w:color w:val="4472C4"/>
                <w:kern w:val="2"/>
                <w:szCs w:val="24"/>
              </w:rPr>
              <w:t xml:space="preserve">, </w:t>
            </w:r>
            <w:r w:rsidR="00E5166C" w:rsidRPr="004C6076">
              <w:rPr>
                <w:color w:val="4472C4"/>
                <w:kern w:val="2"/>
                <w:szCs w:val="24"/>
              </w:rPr>
              <w:t xml:space="preserve">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6667C24"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022BFD">
              <w:rPr>
                <w:kern w:val="2"/>
                <w:szCs w:val="24"/>
              </w:rPr>
              <w:t>v</w:t>
            </w:r>
            <w:r w:rsidR="00022BFD" w:rsidRPr="00022BFD">
              <w:rPr>
                <w:kern w:val="2"/>
                <w:szCs w:val="24"/>
              </w:rPr>
              <w:t>amzdeli</w:t>
            </w:r>
            <w:r w:rsidR="00022BFD">
              <w:rPr>
                <w:kern w:val="2"/>
                <w:szCs w:val="24"/>
              </w:rPr>
              <w:t>us</w:t>
            </w:r>
            <w:r w:rsidR="00022BFD" w:rsidRPr="00022BFD">
              <w:rPr>
                <w:kern w:val="2"/>
                <w:szCs w:val="24"/>
              </w:rPr>
              <w:t xml:space="preserve"> </w:t>
            </w:r>
            <w:proofErr w:type="spellStart"/>
            <w:r w:rsidR="00022BFD" w:rsidRPr="00022BFD">
              <w:rPr>
                <w:kern w:val="2"/>
                <w:szCs w:val="24"/>
              </w:rPr>
              <w:t>endotrachėjini</w:t>
            </w:r>
            <w:r w:rsidR="00022BFD">
              <w:rPr>
                <w:kern w:val="2"/>
                <w:szCs w:val="24"/>
              </w:rPr>
              <w:t>us</w:t>
            </w:r>
            <w:proofErr w:type="spellEnd"/>
            <w:r w:rsidR="00022BFD">
              <w:rPr>
                <w:kern w:val="2"/>
                <w:szCs w:val="24"/>
              </w:rPr>
              <w:t xml:space="preserve"> </w:t>
            </w:r>
            <w:r w:rsidR="00022BFD" w:rsidRPr="00022BFD">
              <w:rPr>
                <w:kern w:val="2"/>
                <w:szCs w:val="24"/>
              </w:rPr>
              <w:t xml:space="preserve">su </w:t>
            </w:r>
            <w:proofErr w:type="spellStart"/>
            <w:r w:rsidR="00022BFD" w:rsidRPr="00022BFD">
              <w:rPr>
                <w:kern w:val="2"/>
                <w:szCs w:val="24"/>
              </w:rPr>
              <w:t>manžet</w:t>
            </w:r>
            <w:r w:rsidR="00022BFD">
              <w:rPr>
                <w:kern w:val="2"/>
                <w:szCs w:val="24"/>
              </w:rPr>
              <w:t>e</w:t>
            </w:r>
            <w:proofErr w:type="spellEnd"/>
            <w:r w:rsidR="00AB09FF">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rekėms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0B24E2F" w:rsidR="0068231C" w:rsidRPr="004B2763" w:rsidRDefault="008B3224" w:rsidP="0033481E">
            <w:pPr>
              <w:jc w:val="both"/>
              <w:rPr>
                <w:kern w:val="2"/>
                <w:szCs w:val="24"/>
              </w:rPr>
            </w:pPr>
            <w:r w:rsidRPr="008B3224">
              <w:rPr>
                <w:kern w:val="2"/>
                <w:szCs w:val="24"/>
              </w:rPr>
              <w:t xml:space="preserve">Vamzdeliai </w:t>
            </w:r>
            <w:proofErr w:type="spellStart"/>
            <w:r w:rsidRPr="008B3224">
              <w:rPr>
                <w:kern w:val="2"/>
                <w:szCs w:val="24"/>
              </w:rPr>
              <w:t>endotrachėjiniai</w:t>
            </w:r>
            <w:proofErr w:type="spellEnd"/>
            <w:r w:rsidRPr="008B3224">
              <w:rPr>
                <w:kern w:val="2"/>
                <w:szCs w:val="24"/>
              </w:rPr>
              <w:t xml:space="preserve"> su </w:t>
            </w:r>
            <w:proofErr w:type="spellStart"/>
            <w:r w:rsidRPr="008B3224">
              <w:rPr>
                <w:kern w:val="2"/>
                <w:szCs w:val="24"/>
              </w:rPr>
              <w:t>manžet</w:t>
            </w:r>
            <w:r w:rsidR="006722AC">
              <w:rPr>
                <w:kern w:val="2"/>
                <w:szCs w:val="24"/>
              </w:rPr>
              <w:t>e</w:t>
            </w:r>
            <w:proofErr w:type="spellEnd"/>
            <w:r w:rsidRPr="008B3224">
              <w:rPr>
                <w:kern w:val="2"/>
                <w:szCs w:val="24"/>
              </w:rPr>
              <w:t xml:space="preserve"> (11073)“</w:t>
            </w:r>
            <w:r>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048A54C8"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5D4F11" w:rsidRPr="00B72C7A">
              <w:rPr>
                <w:b/>
                <w:bCs/>
                <w:kern w:val="2"/>
                <w:szCs w:val="24"/>
              </w:rPr>
              <w:t xml:space="preserve">5 </w:t>
            </w:r>
            <w:r w:rsidRPr="00B72C7A">
              <w:rPr>
                <w:b/>
                <w:bCs/>
                <w:kern w:val="2"/>
                <w:szCs w:val="24"/>
              </w:rPr>
              <w:t xml:space="preserve"> (</w:t>
            </w:r>
            <w:r w:rsidR="005D4F11" w:rsidRPr="00B72C7A">
              <w:rPr>
                <w:b/>
                <w:bCs/>
                <w:kern w:val="2"/>
                <w:szCs w:val="24"/>
              </w:rPr>
              <w:t>penkias</w:t>
            </w:r>
            <w:r w:rsidRPr="00B72C7A">
              <w:rPr>
                <w:b/>
                <w:bCs/>
                <w:kern w:val="2"/>
                <w:szCs w:val="24"/>
              </w:rPr>
              <w:t>) darbo dien</w:t>
            </w:r>
            <w:r w:rsidR="005D4F11" w:rsidRPr="00B72C7A">
              <w:rPr>
                <w:b/>
                <w:bCs/>
                <w:kern w:val="2"/>
                <w:szCs w:val="24"/>
              </w:rPr>
              <w:t>as, o skubi</w:t>
            </w:r>
            <w:r w:rsidR="007B17F2" w:rsidRPr="00B72C7A">
              <w:rPr>
                <w:b/>
                <w:bCs/>
                <w:kern w:val="2"/>
                <w:szCs w:val="24"/>
              </w:rPr>
              <w:t>ais</w:t>
            </w:r>
            <w:r w:rsidR="005D4F11" w:rsidRPr="00B72C7A">
              <w:rPr>
                <w:b/>
                <w:bCs/>
                <w:kern w:val="2"/>
                <w:szCs w:val="24"/>
              </w:rPr>
              <w:t xml:space="preserve"> atvej</w:t>
            </w:r>
            <w:r w:rsidR="007B17F2" w:rsidRPr="00B72C7A">
              <w:rPr>
                <w:b/>
                <w:bCs/>
                <w:kern w:val="2"/>
                <w:szCs w:val="24"/>
              </w:rPr>
              <w:t>ais</w:t>
            </w:r>
            <w:r w:rsidR="005D4F11" w:rsidRPr="00B72C7A">
              <w:rPr>
                <w:b/>
                <w:bCs/>
                <w:kern w:val="2"/>
                <w:szCs w:val="24"/>
              </w:rPr>
              <w:t xml:space="preserve"> – per 2 (dvi) darbo dienas</w:t>
            </w:r>
            <w:r w:rsidR="00F17210">
              <w:rPr>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D757AA">
              <w:rPr>
                <w:kern w:val="2"/>
                <w:szCs w:val="24"/>
              </w:rPr>
              <w:t>ais</w:t>
            </w:r>
            <w:r w:rsidRPr="00D4692A">
              <w:rPr>
                <w:kern w:val="2"/>
                <w:szCs w:val="24"/>
              </w:rPr>
              <w:t xml:space="preserve"> adres</w:t>
            </w:r>
            <w:r w:rsidR="00D757AA">
              <w:rPr>
                <w:kern w:val="2"/>
                <w:szCs w:val="24"/>
              </w:rPr>
              <w:t>ais</w:t>
            </w:r>
            <w:r w:rsidRPr="00D4692A">
              <w:rPr>
                <w:kern w:val="2"/>
                <w:szCs w:val="24"/>
              </w:rPr>
              <w:t>:</w:t>
            </w:r>
          </w:p>
          <w:p w14:paraId="6736DF14" w14:textId="62EA6928" w:rsidR="00461325" w:rsidRDefault="00461325" w:rsidP="00D4692A">
            <w:pPr>
              <w:jc w:val="both"/>
              <w:textAlignment w:val="baseline"/>
              <w:rPr>
                <w:kern w:val="2"/>
                <w:szCs w:val="24"/>
              </w:rPr>
            </w:pPr>
            <w:r w:rsidRPr="00461325">
              <w:rPr>
                <w:kern w:val="2"/>
                <w:szCs w:val="24"/>
              </w:rPr>
              <w:t>Santariškių g.</w:t>
            </w:r>
            <w:r>
              <w:rPr>
                <w:kern w:val="2"/>
                <w:szCs w:val="24"/>
              </w:rPr>
              <w:t xml:space="preserve"> </w:t>
            </w:r>
            <w:r w:rsidRPr="00461325">
              <w:rPr>
                <w:kern w:val="2"/>
                <w:szCs w:val="24"/>
              </w:rPr>
              <w:t>2</w:t>
            </w:r>
            <w:r>
              <w:rPr>
                <w:kern w:val="2"/>
                <w:szCs w:val="24"/>
              </w:rPr>
              <w:t xml:space="preserve">, Vilnius, </w:t>
            </w:r>
          </w:p>
          <w:p w14:paraId="27935A16" w14:textId="185FCDDD" w:rsidR="00995C47" w:rsidRDefault="00461325" w:rsidP="00D4692A">
            <w:pPr>
              <w:jc w:val="both"/>
              <w:textAlignment w:val="baseline"/>
              <w:rPr>
                <w:szCs w:val="24"/>
              </w:rPr>
            </w:pPr>
            <w:r w:rsidRPr="00461325">
              <w:rPr>
                <w:kern w:val="2"/>
                <w:szCs w:val="24"/>
              </w:rPr>
              <w:t>Santariškių g</w:t>
            </w:r>
            <w:r>
              <w:rPr>
                <w:kern w:val="2"/>
                <w:szCs w:val="24"/>
              </w:rPr>
              <w:t xml:space="preserve">. </w:t>
            </w:r>
            <w:r w:rsidRPr="00461325">
              <w:rPr>
                <w:kern w:val="2"/>
                <w:szCs w:val="24"/>
              </w:rPr>
              <w:t>7, Vilnius.</w:t>
            </w:r>
            <w:r>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4858EF36" w:rsidR="00FB060D" w:rsidRPr="00FE33D6" w:rsidRDefault="000F4D31" w:rsidP="00D01B2F">
            <w:pPr>
              <w:jc w:val="both"/>
              <w:rPr>
                <w:kern w:val="2"/>
                <w:szCs w:val="24"/>
              </w:rPr>
            </w:pPr>
            <w:r w:rsidRPr="00FE33D6">
              <w:rPr>
                <w:kern w:val="2"/>
                <w:szCs w:val="24"/>
              </w:rPr>
              <w:t xml:space="preserve">4.5.1. </w:t>
            </w:r>
            <w:r w:rsidR="004646E3" w:rsidRPr="004646E3">
              <w:rPr>
                <w:kern w:val="2"/>
                <w:szCs w:val="24"/>
              </w:rPr>
              <w:t>Prekių perdavimo</w:t>
            </w:r>
            <w:r w:rsidR="004577C7">
              <w:rPr>
                <w:kern w:val="2"/>
                <w:szCs w:val="24"/>
              </w:rPr>
              <w:t>–</w:t>
            </w:r>
            <w:r w:rsidR="004646E3" w:rsidRPr="004646E3">
              <w:rPr>
                <w:kern w:val="2"/>
                <w:szCs w:val="24"/>
              </w:rPr>
              <w:t>priėmimo aktas ar kitas Prekių pristatymą patvirtinantis dokumentas (krovinio važtaraštis, sąskaita faktūra)</w:t>
            </w:r>
            <w:r w:rsidR="002D279F">
              <w:rPr>
                <w:kern w:val="2"/>
                <w:szCs w:val="24"/>
              </w:rPr>
              <w:t>;</w:t>
            </w:r>
            <w:r w:rsidR="004646E3" w:rsidRPr="004646E3">
              <w:rPr>
                <w:kern w:val="2"/>
                <w:szCs w:val="24"/>
              </w:rPr>
              <w:t xml:space="preserve"> </w:t>
            </w:r>
          </w:p>
          <w:p w14:paraId="2C8DF5BF" w14:textId="5495B060" w:rsidR="00175784" w:rsidRPr="00290C73" w:rsidRDefault="00FB060D" w:rsidP="00175784">
            <w:pPr>
              <w:jc w:val="both"/>
              <w:rPr>
                <w:kern w:val="2"/>
                <w:szCs w:val="24"/>
              </w:rPr>
            </w:pPr>
            <w:r w:rsidRPr="00FE33D6">
              <w:rPr>
                <w:kern w:val="2"/>
                <w:szCs w:val="24"/>
              </w:rPr>
              <w:t>4.5.2.</w:t>
            </w:r>
            <w:r w:rsidR="00175784">
              <w:rPr>
                <w:kern w:val="2"/>
                <w:szCs w:val="24"/>
              </w:rPr>
              <w:t xml:space="preserve"> </w:t>
            </w:r>
            <w:r w:rsidR="00175784" w:rsidRPr="00290C73">
              <w:rPr>
                <w:kern w:val="2"/>
                <w:szCs w:val="24"/>
              </w:rPr>
              <w:t>Prekių vartotojo instrukcijos lietuvių kalba (arba/ir anglų kalba, jei tai nustatyta pirkimo sąlygose). Prekių žymėjimas ant pakuotės turi būti lietuvių kalba (jei prekės gamintojo nėra žymimos valstybine kalba – pasitelkiant lipdukus ar kt. priemones)</w:t>
            </w:r>
            <w:r w:rsidR="002D279F">
              <w:rPr>
                <w:kern w:val="2"/>
                <w:szCs w:val="24"/>
              </w:rPr>
              <w:t>;</w:t>
            </w:r>
          </w:p>
          <w:p w14:paraId="013F5D90" w14:textId="3F5D597C" w:rsidR="00CF0B97" w:rsidRDefault="00FB060D" w:rsidP="00D01B2F">
            <w:pPr>
              <w:jc w:val="both"/>
              <w:rPr>
                <w:kern w:val="2"/>
                <w:szCs w:val="24"/>
              </w:rPr>
            </w:pPr>
            <w:r w:rsidRPr="00FE33D6">
              <w:rPr>
                <w:kern w:val="2"/>
                <w:szCs w:val="24"/>
              </w:rPr>
              <w:t>4.5.</w:t>
            </w:r>
            <w:r w:rsidR="00C36740">
              <w:rPr>
                <w:kern w:val="2"/>
                <w:szCs w:val="24"/>
              </w:rPr>
              <w:t>3</w:t>
            </w:r>
            <w:r w:rsidRPr="00770110">
              <w:rPr>
                <w:kern w:val="2"/>
                <w:szCs w:val="24"/>
              </w:rPr>
              <w:t>.</w:t>
            </w:r>
            <w:r w:rsidR="000F51CA" w:rsidRPr="00770110">
              <w:rPr>
                <w:kern w:val="2"/>
                <w:szCs w:val="24"/>
              </w:rPr>
              <w:t xml:space="preserve"> </w:t>
            </w:r>
            <w:r w:rsidR="00FF1184" w:rsidRPr="00770110">
              <w:rPr>
                <w:kern w:val="2"/>
                <w:szCs w:val="24"/>
              </w:rPr>
              <w:t>Dokumentai, patvirtinantys aplinkosauginių reikalavimų,  nustatytų 13.1.1</w:t>
            </w:r>
            <w:r w:rsidR="00CF0B97" w:rsidRPr="00770110">
              <w:rPr>
                <w:kern w:val="2"/>
                <w:szCs w:val="24"/>
              </w:rPr>
              <w:t xml:space="preserve"> </w:t>
            </w:r>
            <w:r w:rsidR="00FF1184" w:rsidRPr="00770110">
              <w:rPr>
                <w:kern w:val="2"/>
                <w:szCs w:val="24"/>
              </w:rPr>
              <w:t>papunktyje,  laikymąsi</w:t>
            </w:r>
            <w:r w:rsidR="00CF0B97" w:rsidRPr="00770110">
              <w:rPr>
                <w:kern w:val="2"/>
                <w:szCs w:val="24"/>
              </w:rPr>
              <w:t>.</w:t>
            </w:r>
          </w:p>
          <w:p w14:paraId="6085B884" w14:textId="71C69275" w:rsidR="00290C73" w:rsidRPr="00FB060D" w:rsidRDefault="000F4D31" w:rsidP="00290C73">
            <w:pPr>
              <w:jc w:val="both"/>
              <w:rPr>
                <w:kern w:val="2"/>
                <w:szCs w:val="24"/>
              </w:rPr>
            </w:pPr>
            <w:r w:rsidRPr="00FE33D6">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5559E380" w14:textId="77777777" w:rsidR="0036581E" w:rsidRPr="00AA6BC1" w:rsidRDefault="0036581E" w:rsidP="0036581E">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381CA95E" w14:textId="77777777" w:rsidR="00367CEC" w:rsidRPr="00AA6BC1" w:rsidRDefault="00367CEC" w:rsidP="0036581E">
            <w:pPr>
              <w:jc w:val="both"/>
              <w:rPr>
                <w:kern w:val="2"/>
                <w:szCs w:val="24"/>
              </w:rPr>
            </w:pPr>
          </w:p>
          <w:p w14:paraId="3CD06C14" w14:textId="77777777" w:rsidR="0036581E" w:rsidRPr="00AA6BC1" w:rsidRDefault="00367CEC" w:rsidP="0036581E">
            <w:pPr>
              <w:jc w:val="both"/>
              <w:rPr>
                <w:kern w:val="2"/>
                <w:szCs w:val="24"/>
              </w:rPr>
            </w:pPr>
            <w:r w:rsidRPr="00AA6BC1">
              <w:rPr>
                <w:kern w:val="2"/>
                <w:szCs w:val="24"/>
              </w:rPr>
              <w:t xml:space="preserve">Šioje Sutartyje Pradinės Sutarties vertė yra lygi </w:t>
            </w:r>
            <w:r w:rsidRPr="00AA6BC1">
              <w:rPr>
                <w:b/>
                <w:bCs/>
                <w:kern w:val="2"/>
                <w:szCs w:val="24"/>
              </w:rPr>
              <w:t>maksimaliai pirkimui skirtai lėšų sumai be PVM</w:t>
            </w:r>
            <w:r w:rsidRPr="00AA6BC1">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p w14:paraId="7248A406" w14:textId="77777777" w:rsidR="00AA6BC1" w:rsidRPr="00AA6BC1" w:rsidRDefault="00AA6BC1" w:rsidP="0036581E">
            <w:pPr>
              <w:jc w:val="both"/>
              <w:rPr>
                <w:kern w:val="2"/>
                <w:szCs w:val="24"/>
              </w:rPr>
            </w:pPr>
          </w:p>
          <w:p w14:paraId="16A8DCDC" w14:textId="6181450F" w:rsidR="00AA6BC1" w:rsidRPr="00AA6BC1" w:rsidRDefault="00AA6BC1" w:rsidP="0036581E">
            <w:pPr>
              <w:jc w:val="both"/>
              <w:rPr>
                <w:color w:val="000000"/>
                <w:kern w:val="2"/>
                <w:szCs w:val="24"/>
              </w:rPr>
            </w:pPr>
            <w:r w:rsidRPr="00AA6BC1">
              <w:rPr>
                <w:color w:val="000000"/>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lastRenderedPageBreak/>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5.3.3.5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 xml:space="preserve">k – Pagal vartotojų kainų indeksą (06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naujausias</w:t>
            </w:r>
            <w:proofErr w:type="spellEnd"/>
            <w:r w:rsidRPr="001934F5">
              <w:rPr>
                <w:color w:val="242424"/>
              </w:rPr>
              <w:t xml:space="preserve"> – kreipimosi dėl kainos perskaičiavimo išsiuntimo kitai šaliai datą naujausias paskelbtas vartojimo prekių ir paslaugų indeksas (06 SVEIKATA).</w:t>
            </w:r>
          </w:p>
          <w:p w14:paraId="145026CE"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pradžia</w:t>
            </w:r>
            <w:proofErr w:type="spellEnd"/>
            <w:r w:rsidRPr="00CF0EDC">
              <w:rPr>
                <w:color w:val="242424"/>
                <w:vertAlign w:val="subscript"/>
              </w:rPr>
              <w:t xml:space="preserve"> </w:t>
            </w:r>
            <w:r w:rsidRPr="001934F5">
              <w:rPr>
                <w:color w:val="242424"/>
              </w:rPr>
              <w:t>– laikotarpio pradžios datos (mėnesio) vartojimo prekių ir paslaugų indeksas (06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w:t>
            </w:r>
            <w:r w:rsidRPr="001934F5">
              <w:rPr>
                <w:color w:val="242424"/>
              </w:rPr>
              <w:lastRenderedPageBreak/>
              <w:t>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06EE6221" w:rsidR="0068231C" w:rsidRDefault="001A5958" w:rsidP="00743FC2">
            <w:pPr>
              <w:jc w:val="both"/>
              <w:rPr>
                <w:kern w:val="2"/>
                <w:szCs w:val="24"/>
              </w:rPr>
            </w:pPr>
            <w:r w:rsidRPr="005E0409">
              <w:rPr>
                <w:kern w:val="2"/>
                <w:szCs w:val="24"/>
              </w:rPr>
              <w:t>Prekių galiojimo terminas turi būti  ne trumpesnis kaip 70 (septyniasdešimt) procentų priemonės galiojimo termino Prekės pristatymo metu.</w:t>
            </w:r>
            <w:r w:rsidRPr="005E0409">
              <w:rPr>
                <w:szCs w:val="24"/>
              </w:rPr>
              <w:t xml:space="preserve">  Garantinis terminas, skaičiuojamas nuo Prekių perdavimo–priėmimo akto ar Sąskaitos (kai Prekių perdavimo–priėmimo aktas nėra pasirašomas) pasirašymo dienos</w:t>
            </w:r>
            <w:r w:rsidRPr="005E0409">
              <w:rPr>
                <w:kern w:val="2"/>
                <w:szCs w:val="24"/>
              </w:rPr>
              <w:t>.</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A3A3C11" w14:textId="77777777" w:rsidR="00AC2768" w:rsidRPr="00AC2768" w:rsidRDefault="00AC2768" w:rsidP="00AC2768">
            <w:pPr>
              <w:jc w:val="both"/>
              <w:rPr>
                <w:kern w:val="2"/>
                <w:szCs w:val="24"/>
              </w:rPr>
            </w:pPr>
            <w:r w:rsidRPr="00AC2768">
              <w:rPr>
                <w:kern w:val="2"/>
                <w:szCs w:val="24"/>
              </w:rPr>
              <w:t>Tiekėjas privalo pašalinti Prekių trūkumus ne vėliau kaip per 5 (penkias) darbo dienas.</w:t>
            </w:r>
          </w:p>
          <w:p w14:paraId="1B413859" w14:textId="5594E6B1" w:rsidR="00A47B45" w:rsidRDefault="00AC2768" w:rsidP="00CC2EC0">
            <w:pPr>
              <w:jc w:val="both"/>
              <w:rPr>
                <w:kern w:val="2"/>
                <w:szCs w:val="24"/>
              </w:rPr>
            </w:pPr>
            <w:r w:rsidRPr="00AC2768">
              <w:rPr>
                <w:kern w:val="2"/>
                <w:szCs w:val="24"/>
              </w:rPr>
              <w:lastRenderedPageBreak/>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lastRenderedPageBreak/>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lastRenderedPageBreak/>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lastRenderedPageBreak/>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BE58114"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513972">
              <w:rPr>
                <w:kern w:val="2"/>
                <w:szCs w:val="24"/>
              </w:rPr>
              <w:t>38</w:t>
            </w:r>
            <w:r w:rsidR="00513972" w:rsidRPr="004C6076">
              <w:rPr>
                <w:kern w:val="2"/>
                <w:szCs w:val="24"/>
              </w:rPr>
              <w:t xml:space="preserve"> </w:t>
            </w:r>
            <w:r w:rsidRPr="004C6076">
              <w:rPr>
                <w:kern w:val="2"/>
                <w:szCs w:val="24"/>
              </w:rPr>
              <w:t>(</w:t>
            </w:r>
            <w:r w:rsidR="00513972">
              <w:rPr>
                <w:kern w:val="2"/>
                <w:szCs w:val="24"/>
              </w:rPr>
              <w:t>trisdešimt aštuoni</w:t>
            </w:r>
            <w:r w:rsidRPr="004C6076">
              <w:rPr>
                <w:kern w:val="2"/>
                <w:szCs w:val="24"/>
              </w:rPr>
              <w:t>) mėnesi</w:t>
            </w:r>
            <w:r w:rsidR="00513972">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513972">
              <w:rPr>
                <w:kern w:val="2"/>
                <w:szCs w:val="24"/>
              </w:rPr>
              <w:t>36</w:t>
            </w:r>
            <w:r w:rsidRPr="004C6076">
              <w:rPr>
                <w:kern w:val="2"/>
                <w:szCs w:val="24"/>
              </w:rPr>
              <w:t xml:space="preserve"> (</w:t>
            </w:r>
            <w:r w:rsidR="00513972">
              <w:rPr>
                <w:kern w:val="2"/>
                <w:szCs w:val="24"/>
              </w:rPr>
              <w:t>trisdešimt šeši</w:t>
            </w:r>
            <w:r w:rsidRPr="004C6076">
              <w:rPr>
                <w:kern w:val="2"/>
                <w:szCs w:val="24"/>
              </w:rPr>
              <w:t>) mėnesi</w:t>
            </w:r>
            <w:r w:rsidR="00513972">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16CE737F" w:rsidR="00686855" w:rsidRPr="001021F9"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.2.2. jeigu Tiekėjas nesilaiko Sutartyje nustatytų Prekių tiekimo terminų </w:t>
            </w:r>
            <w:r w:rsidR="00AA6BC1">
              <w:rPr>
                <w:kern w:val="2"/>
                <w:szCs w:val="24"/>
              </w:rPr>
              <w:t>4</w:t>
            </w:r>
            <w:r w:rsidR="00AA6BC1" w:rsidRPr="00C735AD">
              <w:rPr>
                <w:kern w:val="2"/>
                <w:szCs w:val="24"/>
              </w:rPr>
              <w:t xml:space="preserve"> </w:t>
            </w:r>
            <w:r w:rsidRPr="00C735AD">
              <w:rPr>
                <w:kern w:val="2"/>
                <w:szCs w:val="24"/>
              </w:rPr>
              <w:t>(</w:t>
            </w:r>
            <w:r w:rsidR="00AA6BC1">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4D07A03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AA6BC1">
              <w:rPr>
                <w:kern w:val="2"/>
                <w:szCs w:val="24"/>
              </w:rPr>
              <w:t>4</w:t>
            </w:r>
            <w:r w:rsidR="00AA6BC1" w:rsidRPr="00C735AD">
              <w:rPr>
                <w:kern w:val="2"/>
                <w:szCs w:val="24"/>
              </w:rPr>
              <w:t xml:space="preserve"> </w:t>
            </w:r>
            <w:r w:rsidRPr="00C735AD">
              <w:rPr>
                <w:kern w:val="2"/>
                <w:szCs w:val="24"/>
              </w:rPr>
              <w:t>(</w:t>
            </w:r>
            <w:r w:rsidR="00AA6BC1">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308410B0" w14:textId="4688A149" w:rsidR="00004E1D" w:rsidRDefault="00F8555E" w:rsidP="00006BDB">
            <w:pPr>
              <w:jc w:val="both"/>
              <w:rPr>
                <w:szCs w:val="24"/>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79F5">
              <w:rPr>
                <w:rFonts w:eastAsiaTheme="minorHAnsi" w:cstheme="minorBidi"/>
                <w:kern w:val="2"/>
                <w:szCs w:val="22"/>
                <w14:ligatures w14:val="standardContextual"/>
              </w:rPr>
              <w:t>Voluntary</w:t>
            </w:r>
            <w:proofErr w:type="spellEnd"/>
            <w:r w:rsidRPr="00EA79F5">
              <w:rPr>
                <w:rFonts w:eastAsiaTheme="minorHAnsi" w:cstheme="minorBidi"/>
                <w:kern w:val="2"/>
                <w:szCs w:val="22"/>
                <w14:ligatures w14:val="standardContextual"/>
              </w:rPr>
              <w:t xml:space="preserve"> Standard </w:t>
            </w:r>
            <w:proofErr w:type="spellStart"/>
            <w:r w:rsidRPr="00EA79F5">
              <w:rPr>
                <w:rFonts w:eastAsiaTheme="minorHAnsi" w:cstheme="minorBidi"/>
                <w:kern w:val="2"/>
                <w:szCs w:val="22"/>
                <w14:ligatures w14:val="standardContextual"/>
              </w:rPr>
              <w:t>for</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Repulping</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and</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Recycling</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Corrugated</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Fiberboard</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Treated</w:t>
            </w:r>
            <w:proofErr w:type="spellEnd"/>
            <w:r w:rsidRPr="00EA79F5">
              <w:rPr>
                <w:rFonts w:eastAsiaTheme="minorHAnsi" w:cstheme="minorBidi"/>
                <w:kern w:val="2"/>
                <w:szCs w:val="22"/>
                <w14:ligatures w14:val="standardContextual"/>
              </w:rPr>
              <w:t xml:space="preserve"> to </w:t>
            </w:r>
            <w:proofErr w:type="spellStart"/>
            <w:r w:rsidRPr="00EA79F5">
              <w:rPr>
                <w:rFonts w:eastAsiaTheme="minorHAnsi" w:cstheme="minorBidi"/>
                <w:kern w:val="2"/>
                <w:szCs w:val="22"/>
                <w14:ligatures w14:val="standardContextual"/>
              </w:rPr>
              <w:t>Improve</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Its</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Performance</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in</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the</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Presence</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of</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Water</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and</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Water</w:t>
            </w:r>
            <w:proofErr w:type="spellEnd"/>
            <w:r w:rsidRPr="00EA79F5">
              <w:rPr>
                <w:rFonts w:eastAsiaTheme="minorHAnsi" w:cstheme="minorBidi"/>
                <w:kern w:val="2"/>
                <w:szCs w:val="22"/>
                <w14:ligatures w14:val="standardContextual"/>
              </w:rPr>
              <w:t xml:space="preserve"> </w:t>
            </w:r>
            <w:proofErr w:type="spellStart"/>
            <w:r w:rsidRPr="00EA79F5">
              <w:rPr>
                <w:rFonts w:eastAsiaTheme="minorHAnsi" w:cstheme="minorBidi"/>
                <w:kern w:val="2"/>
                <w:szCs w:val="22"/>
                <w14:ligatures w14:val="standardContextual"/>
              </w:rPr>
              <w:t>Vapor</w:t>
            </w:r>
            <w:proofErr w:type="spellEnd"/>
            <w:r w:rsidRPr="00EA79F5">
              <w:rPr>
                <w:rFonts w:eastAsiaTheme="minorHAnsi" w:cstheme="minorBidi"/>
                <w:kern w:val="2"/>
                <w:szCs w:val="22"/>
                <w14:ligatures w14:val="standardContextual"/>
              </w:rPr>
              <w:t xml:space="preserve">, standartas </w:t>
            </w:r>
            <w:proofErr w:type="spellStart"/>
            <w:r w:rsidRPr="00EA79F5">
              <w:rPr>
                <w:rFonts w:eastAsiaTheme="minorHAnsi" w:cstheme="minorBidi"/>
                <w:kern w:val="2"/>
                <w:szCs w:val="22"/>
                <w14:ligatures w14:val="standardContextual"/>
              </w:rPr>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w:t>
            </w:r>
            <w:r>
              <w:rPr>
                <w:rFonts w:eastAsiaTheme="minorHAnsi" w:cstheme="minorBidi"/>
                <w:kern w:val="2"/>
                <w:szCs w:val="22"/>
                <w14:ligatures w14:val="standardContextual"/>
              </w:rPr>
              <w:lastRenderedPageBreak/>
              <w:t xml:space="preserve">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46B7F97A" w:rsidR="00EE6238" w:rsidRPr="00E81FED" w:rsidRDefault="003A5EBB" w:rsidP="00EE6238">
            <w:pPr>
              <w:jc w:val="both"/>
              <w:rPr>
                <w:color w:val="000000"/>
                <w:kern w:val="2"/>
                <w:szCs w:val="24"/>
                <w:shd w:val="clear" w:color="auto" w:fill="FFFFFF"/>
              </w:rPr>
            </w:pPr>
            <w:r>
              <w:rPr>
                <w:color w:val="000000"/>
                <w:kern w:val="2"/>
                <w:szCs w:val="24"/>
                <w:shd w:val="clear" w:color="auto" w:fill="FFFFFF"/>
              </w:rPr>
              <w:t xml:space="preserve">13.1.2. </w:t>
            </w:r>
            <w:r w:rsidR="00F8555E" w:rsidRPr="000F176F">
              <w:rPr>
                <w:color w:val="000000"/>
                <w:kern w:val="2"/>
                <w:szCs w:val="24"/>
                <w:shd w:val="clear" w:color="auto" w:fill="FFFFFF"/>
              </w:rPr>
              <w:t xml:space="preserve">Nustačius, kad Tiekėjas </w:t>
            </w:r>
            <w:r>
              <w:rPr>
                <w:color w:val="000000"/>
                <w:kern w:val="2"/>
                <w:szCs w:val="24"/>
                <w:shd w:val="clear" w:color="auto" w:fill="FFFFFF"/>
              </w:rPr>
              <w:t>13.1.1</w:t>
            </w:r>
            <w:r w:rsidRPr="000F176F">
              <w:rPr>
                <w:color w:val="000000"/>
                <w:kern w:val="2"/>
                <w:szCs w:val="24"/>
                <w:shd w:val="clear" w:color="auto" w:fill="FFFFFF"/>
              </w:rPr>
              <w:t xml:space="preserve"> </w:t>
            </w:r>
            <w:r w:rsidR="00F8555E" w:rsidRPr="000F176F">
              <w:rPr>
                <w:color w:val="000000"/>
                <w:kern w:val="2"/>
                <w:szCs w:val="24"/>
                <w:shd w:val="clear" w:color="auto" w:fill="FFFFFF"/>
              </w:rPr>
              <w:t>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1F97E211" w14:textId="2B3D53ED" w:rsidR="00D60561" w:rsidRPr="005C7C39" w:rsidRDefault="00D60561" w:rsidP="00671F3F">
      <w:pPr>
        <w:jc w:val="center"/>
        <w:rPr>
          <w:b/>
          <w:bCs/>
          <w:sz w:val="22"/>
          <w:szCs w:val="22"/>
        </w:rPr>
      </w:pPr>
      <w:r w:rsidRPr="005C7C39">
        <w:rPr>
          <w:b/>
          <w:bCs/>
          <w:sz w:val="22"/>
          <w:szCs w:val="22"/>
        </w:rPr>
        <w:t xml:space="preserve">„Vamzdeliai </w:t>
      </w:r>
      <w:proofErr w:type="spellStart"/>
      <w:r w:rsidRPr="005C7C39">
        <w:rPr>
          <w:b/>
          <w:bCs/>
          <w:sz w:val="22"/>
          <w:szCs w:val="22"/>
        </w:rPr>
        <w:t>endotrachėjiniai</w:t>
      </w:r>
      <w:proofErr w:type="spellEnd"/>
      <w:r w:rsidRPr="005C7C39">
        <w:rPr>
          <w:b/>
          <w:bCs/>
          <w:sz w:val="22"/>
          <w:szCs w:val="22"/>
        </w:rPr>
        <w:t xml:space="preserve"> su </w:t>
      </w:r>
      <w:proofErr w:type="spellStart"/>
      <w:r w:rsidRPr="005C7C39">
        <w:rPr>
          <w:b/>
          <w:bCs/>
          <w:sz w:val="22"/>
          <w:szCs w:val="22"/>
        </w:rPr>
        <w:t>manžet</w:t>
      </w:r>
      <w:r w:rsidR="00FC1F33" w:rsidRPr="005C7C39">
        <w:rPr>
          <w:b/>
          <w:bCs/>
          <w:sz w:val="22"/>
          <w:szCs w:val="22"/>
        </w:rPr>
        <w:t>e</w:t>
      </w:r>
      <w:proofErr w:type="spellEnd"/>
      <w:r w:rsidRPr="005C7C39">
        <w:rPr>
          <w:b/>
          <w:bCs/>
          <w:sz w:val="22"/>
          <w:szCs w:val="22"/>
        </w:rPr>
        <w:t xml:space="preserve"> (11073)“</w:t>
      </w:r>
    </w:p>
    <w:p w14:paraId="72E1BEEF" w14:textId="77777777" w:rsidR="00405299" w:rsidRPr="005C7C39" w:rsidRDefault="00405299" w:rsidP="00264463">
      <w:pPr>
        <w:rPr>
          <w:b/>
          <w:bCs/>
          <w:sz w:val="22"/>
          <w:szCs w:val="22"/>
        </w:rPr>
      </w:pPr>
    </w:p>
    <w:p w14:paraId="46D432E6" w14:textId="77777777" w:rsidR="00B6071A" w:rsidRPr="005C7C39" w:rsidRDefault="00B6071A" w:rsidP="00264463">
      <w:pPr>
        <w:rPr>
          <w:b/>
          <w:bCs/>
          <w:sz w:val="22"/>
          <w:szCs w:val="22"/>
        </w:rPr>
      </w:pPr>
    </w:p>
    <w:p w14:paraId="2D99E0BD" w14:textId="1813B35A" w:rsidR="00264463" w:rsidRPr="005C7C39" w:rsidRDefault="00264463" w:rsidP="00264463">
      <w:pPr>
        <w:rPr>
          <w:b/>
          <w:bCs/>
          <w:sz w:val="22"/>
          <w:szCs w:val="22"/>
        </w:rPr>
      </w:pPr>
      <w:r w:rsidRPr="005C7C39">
        <w:rPr>
          <w:b/>
          <w:bCs/>
          <w:sz w:val="22"/>
          <w:szCs w:val="22"/>
        </w:rPr>
        <w:t xml:space="preserve">Bendrieji reikalavimai: </w:t>
      </w:r>
    </w:p>
    <w:p w14:paraId="73587CF0"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1. Prekių kokybė, žymėjimas, informacija vartotojui turi atitikti 93/42/EEC ir/ar MDR (ES) 2017/745 direktyvų reikalavimus, CE ženklinimas, pateikti kartu su pasiūlymu tai įrodančius dokumentus.</w:t>
      </w:r>
    </w:p>
    <w:p w14:paraId="24BDFCCC"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2. Prekių charakteristikoms patvirtinti tiekėjai privalo pateikti techninių duomenų lapą ar lygiavertį gamintojo dokumentą.</w:t>
      </w:r>
    </w:p>
    <w:p w14:paraId="2797F075"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3. Visoms nurodytoms konkrečioms medžiagoms ir/ar konkretiems prekių pavadinimams taikoma „arba lygiavertis“.</w:t>
      </w:r>
    </w:p>
    <w:p w14:paraId="0AF083E3"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4. Tiekėjas, siūlantis lygiavertę prekę privalo patikimomis priemonėmis įrodyti, kad siūloma prekė yra lygiavertė ir visiškai atitinka techninėje specifikacijoje keliamus reikalavimus.</w:t>
      </w:r>
    </w:p>
    <w:p w14:paraId="4800449A"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5C7C39">
        <w:rPr>
          <w:rFonts w:eastAsiaTheme="minorHAnsi" w:cstheme="minorBidi"/>
          <w:kern w:val="2"/>
          <w:sz w:val="22"/>
          <w:szCs w:val="22"/>
          <w14:ligatures w14:val="standardContextual"/>
        </w:rPr>
        <w:t>pdf</w:t>
      </w:r>
      <w:proofErr w:type="spellEnd"/>
      <w:r w:rsidRPr="005C7C39">
        <w:rPr>
          <w:rFonts w:eastAsiaTheme="minorHAnsi" w:cstheme="minorBidi"/>
          <w:kern w:val="2"/>
          <w:sz w:val="22"/>
          <w:szCs w:val="22"/>
          <w14:ligatures w14:val="standardContextual"/>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4D549712" w14:textId="77777777" w:rsidR="006E6543"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PO turi teisę reikalauti pateikti katalogų ir techninių aprašų originalus, o tiekėjui jų nepateikus – pasiūlymą atmesti.</w:t>
      </w:r>
    </w:p>
    <w:p w14:paraId="2E5CC4BF" w14:textId="53472275" w:rsidR="005D1BED" w:rsidRPr="005C7C39" w:rsidRDefault="006E6543" w:rsidP="006E6543">
      <w:pPr>
        <w:jc w:val="both"/>
        <w:rPr>
          <w:rFonts w:eastAsiaTheme="minorHAnsi" w:cstheme="minorBidi"/>
          <w:kern w:val="2"/>
          <w:sz w:val="22"/>
          <w:szCs w:val="22"/>
          <w14:ligatures w14:val="standardContextual"/>
        </w:rPr>
      </w:pPr>
      <w:r w:rsidRPr="005C7C39">
        <w:rPr>
          <w:rFonts w:eastAsiaTheme="minorHAnsi" w:cstheme="minorBidi"/>
          <w:kern w:val="2"/>
          <w:sz w:val="22"/>
          <w:szCs w:val="22"/>
          <w14:ligatures w14:val="standardContextual"/>
        </w:rPr>
        <w:t>6. Patiektų prekių galiojimo laikas prekių pristatymo metu turi būti ne trumpesnis kaip 70 (septyniasdešimt) proc. prekės galiojimo termino.</w:t>
      </w:r>
    </w:p>
    <w:tbl>
      <w:tblPr>
        <w:tblW w:w="14645" w:type="dxa"/>
        <w:jc w:val="center"/>
        <w:tblLayout w:type="fixed"/>
        <w:tblLook w:val="04A0" w:firstRow="1" w:lastRow="0" w:firstColumn="1" w:lastColumn="0" w:noHBand="0" w:noVBand="1"/>
      </w:tblPr>
      <w:tblGrid>
        <w:gridCol w:w="988"/>
        <w:gridCol w:w="1713"/>
        <w:gridCol w:w="2628"/>
        <w:gridCol w:w="1122"/>
        <w:gridCol w:w="1237"/>
        <w:gridCol w:w="1865"/>
        <w:gridCol w:w="2208"/>
        <w:gridCol w:w="708"/>
        <w:gridCol w:w="851"/>
        <w:gridCol w:w="1089"/>
        <w:gridCol w:w="236"/>
      </w:tblGrid>
      <w:tr w:rsidR="00B551A3" w:rsidRPr="00F87570" w14:paraId="1F0A7B1C" w14:textId="77777777" w:rsidTr="000530F1">
        <w:trPr>
          <w:gridAfter w:val="1"/>
          <w:wAfter w:w="236" w:type="dxa"/>
          <w:trHeight w:val="295"/>
          <w:jc w:val="center"/>
        </w:trPr>
        <w:tc>
          <w:tcPr>
            <w:tcW w:w="988" w:type="dxa"/>
            <w:tcBorders>
              <w:top w:val="single" w:sz="4" w:space="0" w:color="auto"/>
              <w:left w:val="single" w:sz="4" w:space="0" w:color="auto"/>
              <w:bottom w:val="single" w:sz="4" w:space="0" w:color="000000"/>
              <w:right w:val="single" w:sz="4" w:space="0" w:color="auto"/>
            </w:tcBorders>
            <w:vAlign w:val="center"/>
            <w:hideMark/>
          </w:tcPr>
          <w:p w14:paraId="654FC608" w14:textId="51DEE3F9" w:rsidR="00B551A3" w:rsidRPr="00F87570" w:rsidRDefault="00BB6C6C" w:rsidP="000530F1">
            <w:pPr>
              <w:jc w:val="center"/>
              <w:rPr>
                <w:sz w:val="20"/>
                <w:lang w:eastAsia="lt-LT"/>
              </w:rPr>
            </w:pPr>
            <w:r>
              <w:rPr>
                <w:sz w:val="20"/>
                <w:lang w:eastAsia="lt-LT"/>
              </w:rPr>
              <w:t>Eil.</w:t>
            </w:r>
            <w:r w:rsidR="00B551A3" w:rsidRPr="00F87570">
              <w:rPr>
                <w:sz w:val="20"/>
                <w:lang w:eastAsia="lt-LT"/>
              </w:rPr>
              <w:t xml:space="preserve"> Nr.</w:t>
            </w:r>
          </w:p>
        </w:tc>
        <w:tc>
          <w:tcPr>
            <w:tcW w:w="1713" w:type="dxa"/>
            <w:tcBorders>
              <w:top w:val="single" w:sz="4" w:space="0" w:color="auto"/>
              <w:left w:val="single" w:sz="4" w:space="0" w:color="auto"/>
              <w:bottom w:val="single" w:sz="4" w:space="0" w:color="000000"/>
              <w:right w:val="single" w:sz="4" w:space="0" w:color="auto"/>
            </w:tcBorders>
            <w:vAlign w:val="center"/>
            <w:hideMark/>
          </w:tcPr>
          <w:p w14:paraId="406D0516" w14:textId="77777777" w:rsidR="00B551A3" w:rsidRPr="00F87570" w:rsidRDefault="00B551A3" w:rsidP="000530F1">
            <w:pPr>
              <w:jc w:val="center"/>
              <w:rPr>
                <w:sz w:val="20"/>
                <w:lang w:eastAsia="lt-LT"/>
              </w:rPr>
            </w:pPr>
            <w:r w:rsidRPr="00F87570">
              <w:rPr>
                <w:sz w:val="20"/>
                <w:lang w:eastAsia="lt-LT"/>
              </w:rPr>
              <w:t>Priemonės pavadinimas</w:t>
            </w:r>
          </w:p>
        </w:tc>
        <w:tc>
          <w:tcPr>
            <w:tcW w:w="2628" w:type="dxa"/>
            <w:tcBorders>
              <w:top w:val="single" w:sz="4" w:space="0" w:color="auto"/>
              <w:left w:val="single" w:sz="4" w:space="0" w:color="auto"/>
              <w:bottom w:val="single" w:sz="4" w:space="0" w:color="000000"/>
              <w:right w:val="single" w:sz="4" w:space="0" w:color="auto"/>
            </w:tcBorders>
            <w:vAlign w:val="center"/>
            <w:hideMark/>
          </w:tcPr>
          <w:p w14:paraId="3168F136" w14:textId="77777777" w:rsidR="00B551A3" w:rsidRDefault="00B551A3" w:rsidP="000530F1">
            <w:pPr>
              <w:jc w:val="center"/>
              <w:rPr>
                <w:sz w:val="20"/>
                <w:lang w:eastAsia="lt-LT"/>
              </w:rPr>
            </w:pPr>
          </w:p>
          <w:p w14:paraId="21FA84C1" w14:textId="77777777" w:rsidR="00B551A3" w:rsidRDefault="00B551A3" w:rsidP="000530F1">
            <w:pPr>
              <w:jc w:val="center"/>
              <w:rPr>
                <w:sz w:val="20"/>
                <w:lang w:eastAsia="lt-LT"/>
              </w:rPr>
            </w:pPr>
          </w:p>
          <w:p w14:paraId="22C39551" w14:textId="77777777" w:rsidR="00B551A3" w:rsidRPr="00F87570" w:rsidRDefault="00B551A3" w:rsidP="000530F1">
            <w:pPr>
              <w:jc w:val="center"/>
              <w:rPr>
                <w:sz w:val="20"/>
                <w:lang w:eastAsia="lt-LT"/>
              </w:rPr>
            </w:pPr>
            <w:r w:rsidRPr="00F87570">
              <w:rPr>
                <w:sz w:val="20"/>
                <w:lang w:eastAsia="lt-LT"/>
              </w:rPr>
              <w:t>Charakteristikos, reikalavimai</w:t>
            </w:r>
          </w:p>
        </w:tc>
        <w:tc>
          <w:tcPr>
            <w:tcW w:w="1122" w:type="dxa"/>
            <w:tcBorders>
              <w:top w:val="single" w:sz="4" w:space="0" w:color="auto"/>
              <w:left w:val="single" w:sz="4" w:space="0" w:color="auto"/>
              <w:bottom w:val="single" w:sz="4" w:space="0" w:color="000000"/>
              <w:right w:val="single" w:sz="4" w:space="0" w:color="auto"/>
            </w:tcBorders>
            <w:vAlign w:val="center"/>
            <w:hideMark/>
          </w:tcPr>
          <w:p w14:paraId="4443F68E" w14:textId="77777777" w:rsidR="00B551A3" w:rsidRPr="00F87570" w:rsidRDefault="00B551A3" w:rsidP="000530F1">
            <w:pPr>
              <w:jc w:val="center"/>
              <w:rPr>
                <w:sz w:val="20"/>
                <w:lang w:eastAsia="lt-LT"/>
              </w:rPr>
            </w:pPr>
            <w:r w:rsidRPr="00F87570">
              <w:rPr>
                <w:sz w:val="20"/>
                <w:lang w:eastAsia="lt-LT"/>
              </w:rPr>
              <w:t>Mato vienetas</w:t>
            </w:r>
          </w:p>
        </w:tc>
        <w:tc>
          <w:tcPr>
            <w:tcW w:w="1237" w:type="dxa"/>
            <w:tcBorders>
              <w:top w:val="single" w:sz="4" w:space="0" w:color="auto"/>
              <w:left w:val="single" w:sz="4" w:space="0" w:color="auto"/>
              <w:bottom w:val="single" w:sz="4" w:space="0" w:color="000000"/>
              <w:right w:val="single" w:sz="4" w:space="0" w:color="auto"/>
            </w:tcBorders>
            <w:vAlign w:val="center"/>
            <w:hideMark/>
          </w:tcPr>
          <w:p w14:paraId="7E566CEA" w14:textId="77777777" w:rsidR="00B551A3" w:rsidRPr="00F87570" w:rsidRDefault="00B551A3" w:rsidP="000530F1">
            <w:pPr>
              <w:jc w:val="center"/>
              <w:rPr>
                <w:sz w:val="20"/>
                <w:lang w:eastAsia="lt-LT"/>
              </w:rPr>
            </w:pPr>
            <w:r w:rsidRPr="00F87570">
              <w:rPr>
                <w:sz w:val="20"/>
                <w:lang w:eastAsia="lt-LT"/>
              </w:rPr>
              <w:t>Preliminarus kiekis (36 mėnesiams)</w:t>
            </w:r>
          </w:p>
        </w:tc>
        <w:tc>
          <w:tcPr>
            <w:tcW w:w="1865" w:type="dxa"/>
            <w:tcBorders>
              <w:top w:val="single" w:sz="4" w:space="0" w:color="auto"/>
              <w:left w:val="single" w:sz="4" w:space="0" w:color="auto"/>
              <w:bottom w:val="single" w:sz="4" w:space="0" w:color="000000"/>
              <w:right w:val="single" w:sz="4" w:space="0" w:color="auto"/>
            </w:tcBorders>
            <w:vAlign w:val="center"/>
            <w:hideMark/>
          </w:tcPr>
          <w:p w14:paraId="549D4A36" w14:textId="77777777" w:rsidR="00B551A3" w:rsidRPr="00F87570" w:rsidRDefault="00B551A3" w:rsidP="000530F1">
            <w:pPr>
              <w:jc w:val="center"/>
              <w:rPr>
                <w:sz w:val="20"/>
                <w:lang w:eastAsia="lt-LT"/>
              </w:rPr>
            </w:pPr>
            <w:r w:rsidRPr="00F87570">
              <w:rPr>
                <w:sz w:val="20"/>
                <w:lang w:eastAsia="lt-LT"/>
              </w:rPr>
              <w:t>Firminis priemonių pavadinimas, gamintojas, priemonės kodas gamintojo kataloge (jeigu gamintojas turi savo prekių katalogą)</w:t>
            </w:r>
            <w:r w:rsidRPr="00F87570">
              <w:rPr>
                <w:sz w:val="20"/>
                <w:lang w:eastAsia="lt-LT"/>
              </w:rPr>
              <w:br/>
            </w:r>
          </w:p>
        </w:tc>
        <w:tc>
          <w:tcPr>
            <w:tcW w:w="2208" w:type="dxa"/>
            <w:tcBorders>
              <w:top w:val="single" w:sz="4" w:space="0" w:color="auto"/>
              <w:left w:val="single" w:sz="4" w:space="0" w:color="auto"/>
              <w:bottom w:val="single" w:sz="4" w:space="0" w:color="000000"/>
              <w:right w:val="single" w:sz="4" w:space="0" w:color="auto"/>
            </w:tcBorders>
            <w:vAlign w:val="center"/>
            <w:hideMark/>
          </w:tcPr>
          <w:p w14:paraId="3134E78A" w14:textId="77777777" w:rsidR="00B551A3" w:rsidRPr="00F87570" w:rsidRDefault="00B551A3" w:rsidP="000530F1">
            <w:pPr>
              <w:jc w:val="center"/>
              <w:rPr>
                <w:sz w:val="20"/>
                <w:lang w:eastAsia="lt-LT"/>
              </w:rPr>
            </w:pPr>
            <w:r w:rsidRPr="00F87570">
              <w:rPr>
                <w:sz w:val="20"/>
                <w:lang w:eastAsia="lt-LT"/>
              </w:rPr>
              <w:t xml:space="preserve">Siūloma parametro reikšmė </w:t>
            </w:r>
            <w:r w:rsidRPr="00F87570">
              <w:rPr>
                <w:sz w:val="20"/>
                <w:lang w:eastAsia="lt-LT"/>
              </w:rPr>
              <w:br/>
              <w:t xml:space="preserve">(Failo, dokumento pavadinimas ir puslapio Nr., pažymintis vietą, kurioje yra siūlomus techninius parametrus patvirtinantys dokumentai, nuoroda į gamintojo interneto tinklalapį (jei toks yra), nuoroda turi būti tiksli į konkrečią prekę).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A35E84" w14:textId="77777777" w:rsidR="00B551A3" w:rsidRPr="00F87570" w:rsidRDefault="00B551A3" w:rsidP="000530F1">
            <w:pPr>
              <w:jc w:val="center"/>
              <w:rPr>
                <w:sz w:val="20"/>
                <w:lang w:eastAsia="lt-LT"/>
              </w:rPr>
            </w:pPr>
            <w:r w:rsidRPr="00F87570">
              <w:rPr>
                <w:sz w:val="20"/>
                <w:lang w:eastAsia="lt-LT"/>
              </w:rPr>
              <w:t>Vieno mato vnt. kaina, EUR be PVM</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6DCF6F" w14:textId="77777777" w:rsidR="00B551A3" w:rsidRPr="00F87570" w:rsidRDefault="00B551A3" w:rsidP="000530F1">
            <w:pPr>
              <w:jc w:val="center"/>
              <w:rPr>
                <w:color w:val="000000"/>
                <w:sz w:val="20"/>
                <w:lang w:eastAsia="lt-LT"/>
              </w:rPr>
            </w:pPr>
            <w:r w:rsidRPr="00F87570">
              <w:rPr>
                <w:color w:val="000000"/>
                <w:sz w:val="20"/>
                <w:lang w:eastAsia="lt-LT"/>
              </w:rPr>
              <w:t xml:space="preserve">PVM tarifas proc. </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ABBBB3A" w14:textId="77777777" w:rsidR="00B551A3" w:rsidRPr="00F87570" w:rsidRDefault="00B551A3" w:rsidP="000530F1">
            <w:pPr>
              <w:jc w:val="center"/>
              <w:rPr>
                <w:color w:val="000000"/>
                <w:sz w:val="20"/>
                <w:lang w:eastAsia="lt-LT"/>
              </w:rPr>
            </w:pPr>
            <w:r w:rsidRPr="00F87570">
              <w:rPr>
                <w:color w:val="000000"/>
                <w:sz w:val="20"/>
                <w:lang w:eastAsia="lt-LT"/>
              </w:rPr>
              <w:t>Bendra suma, EUR be PVM</w:t>
            </w:r>
          </w:p>
        </w:tc>
      </w:tr>
      <w:tr w:rsidR="00B551A3" w:rsidRPr="00F87570" w14:paraId="0A3C68D2" w14:textId="77777777" w:rsidTr="000530F1">
        <w:trPr>
          <w:trHeight w:val="6011"/>
          <w:jc w:val="center"/>
        </w:trPr>
        <w:tc>
          <w:tcPr>
            <w:tcW w:w="988" w:type="dxa"/>
            <w:tcBorders>
              <w:top w:val="nil"/>
              <w:left w:val="single" w:sz="4" w:space="0" w:color="auto"/>
              <w:bottom w:val="single" w:sz="4" w:space="0" w:color="auto"/>
              <w:right w:val="single" w:sz="4" w:space="0" w:color="auto"/>
            </w:tcBorders>
            <w:noWrap/>
            <w:hideMark/>
          </w:tcPr>
          <w:p w14:paraId="7021AF3F" w14:textId="77777777" w:rsidR="00B551A3" w:rsidRPr="00F87570" w:rsidRDefault="00B551A3" w:rsidP="000530F1">
            <w:pPr>
              <w:jc w:val="center"/>
              <w:rPr>
                <w:color w:val="000000"/>
                <w:sz w:val="20"/>
                <w:lang w:eastAsia="lt-LT"/>
              </w:rPr>
            </w:pPr>
            <w:r w:rsidRPr="00F87570">
              <w:rPr>
                <w:color w:val="000000"/>
                <w:sz w:val="20"/>
                <w:lang w:eastAsia="lt-LT"/>
              </w:rPr>
              <w:lastRenderedPageBreak/>
              <w:t>1</w:t>
            </w:r>
          </w:p>
        </w:tc>
        <w:tc>
          <w:tcPr>
            <w:tcW w:w="1713" w:type="dxa"/>
            <w:tcBorders>
              <w:top w:val="nil"/>
              <w:left w:val="nil"/>
              <w:bottom w:val="single" w:sz="4" w:space="0" w:color="auto"/>
              <w:right w:val="single" w:sz="4" w:space="0" w:color="auto"/>
            </w:tcBorders>
            <w:shd w:val="clear" w:color="000000" w:fill="FFFFFF"/>
            <w:hideMark/>
          </w:tcPr>
          <w:p w14:paraId="574CE811" w14:textId="77777777" w:rsidR="00B551A3" w:rsidRPr="00F87570" w:rsidRDefault="00B551A3" w:rsidP="000530F1">
            <w:pPr>
              <w:jc w:val="center"/>
              <w:rPr>
                <w:color w:val="000000"/>
                <w:sz w:val="20"/>
                <w:lang w:eastAsia="lt-LT"/>
              </w:rPr>
            </w:pPr>
            <w:proofErr w:type="spellStart"/>
            <w:r w:rsidRPr="00F87570">
              <w:rPr>
                <w:color w:val="000000"/>
                <w:sz w:val="20"/>
                <w:lang w:eastAsia="lt-LT"/>
              </w:rPr>
              <w:t>Endotrachėjiniai</w:t>
            </w:r>
            <w:proofErr w:type="spellEnd"/>
            <w:r w:rsidRPr="00F87570">
              <w:rPr>
                <w:color w:val="000000"/>
                <w:sz w:val="20"/>
                <w:lang w:eastAsia="lt-LT"/>
              </w:rPr>
              <w:t xml:space="preserve"> vamzdeliai su </w:t>
            </w:r>
            <w:proofErr w:type="spellStart"/>
            <w:r w:rsidRPr="00F87570">
              <w:rPr>
                <w:color w:val="000000"/>
                <w:sz w:val="20"/>
                <w:lang w:eastAsia="lt-LT"/>
              </w:rPr>
              <w:t>manžete</w:t>
            </w:r>
            <w:proofErr w:type="spellEnd"/>
          </w:p>
        </w:tc>
        <w:tc>
          <w:tcPr>
            <w:tcW w:w="2628" w:type="dxa"/>
            <w:tcBorders>
              <w:top w:val="nil"/>
              <w:left w:val="nil"/>
              <w:bottom w:val="single" w:sz="4" w:space="0" w:color="auto"/>
              <w:right w:val="single" w:sz="4" w:space="0" w:color="auto"/>
            </w:tcBorders>
            <w:shd w:val="clear" w:color="000000" w:fill="FFFFFF"/>
            <w:hideMark/>
          </w:tcPr>
          <w:p w14:paraId="3C6FA878" w14:textId="77777777" w:rsidR="00B551A3" w:rsidRPr="00F87570" w:rsidRDefault="00B551A3" w:rsidP="000530F1">
            <w:pPr>
              <w:rPr>
                <w:color w:val="000000"/>
                <w:sz w:val="20"/>
                <w:lang w:eastAsia="lt-LT"/>
              </w:rPr>
            </w:pPr>
            <w:proofErr w:type="spellStart"/>
            <w:r w:rsidRPr="00F87570">
              <w:rPr>
                <w:color w:val="000000"/>
                <w:sz w:val="20"/>
                <w:lang w:eastAsia="lt-LT"/>
              </w:rPr>
              <w:t>Intubacinis</w:t>
            </w:r>
            <w:proofErr w:type="spellEnd"/>
            <w:r w:rsidRPr="00F87570">
              <w:rPr>
                <w:color w:val="000000"/>
                <w:sz w:val="20"/>
                <w:lang w:eastAsia="lt-LT"/>
              </w:rPr>
              <w:t xml:space="preserve"> </w:t>
            </w:r>
            <w:proofErr w:type="spellStart"/>
            <w:r w:rsidRPr="00F87570">
              <w:rPr>
                <w:color w:val="000000"/>
                <w:sz w:val="20"/>
                <w:lang w:eastAsia="lt-LT"/>
              </w:rPr>
              <w:t>endotrachėjinis</w:t>
            </w:r>
            <w:proofErr w:type="spellEnd"/>
            <w:r w:rsidRPr="00F87570">
              <w:rPr>
                <w:color w:val="000000"/>
                <w:sz w:val="20"/>
                <w:lang w:eastAsia="lt-LT"/>
              </w:rPr>
              <w:t xml:space="preserve"> vamzdelis anestezijai. Pagamintas iš minkšto PVC, permatomas, </w:t>
            </w:r>
            <w:proofErr w:type="spellStart"/>
            <w:r w:rsidRPr="00F87570">
              <w:rPr>
                <w:color w:val="000000"/>
                <w:sz w:val="20"/>
                <w:lang w:eastAsia="lt-LT"/>
              </w:rPr>
              <w:t>termolabilus</w:t>
            </w:r>
            <w:proofErr w:type="spellEnd"/>
            <w:r w:rsidRPr="00F87570">
              <w:rPr>
                <w:color w:val="000000"/>
                <w:sz w:val="20"/>
                <w:lang w:eastAsia="lt-LT"/>
              </w:rPr>
              <w:t xml:space="preserve">, su didelio tūrio, žemo slėgio </w:t>
            </w:r>
            <w:proofErr w:type="spellStart"/>
            <w:r w:rsidRPr="00F87570">
              <w:rPr>
                <w:color w:val="000000"/>
                <w:sz w:val="20"/>
                <w:lang w:eastAsia="lt-LT"/>
              </w:rPr>
              <w:t>manžete</w:t>
            </w:r>
            <w:proofErr w:type="spellEnd"/>
            <w:r w:rsidRPr="00F87570">
              <w:rPr>
                <w:color w:val="000000"/>
                <w:sz w:val="20"/>
                <w:lang w:eastAsia="lt-LT"/>
              </w:rPr>
              <w:t xml:space="preserve">. Pripūtimo balionėlis su </w:t>
            </w:r>
            <w:proofErr w:type="spellStart"/>
            <w:r w:rsidRPr="00F87570">
              <w:rPr>
                <w:color w:val="000000"/>
                <w:sz w:val="20"/>
                <w:lang w:eastAsia="lt-LT"/>
              </w:rPr>
              <w:t>vožtuvėliu</w:t>
            </w:r>
            <w:proofErr w:type="spellEnd"/>
            <w:r w:rsidRPr="00F87570">
              <w:rPr>
                <w:color w:val="000000"/>
                <w:sz w:val="20"/>
                <w:lang w:eastAsia="lt-LT"/>
              </w:rPr>
              <w:t xml:space="preserve"> ir </w:t>
            </w:r>
            <w:proofErr w:type="spellStart"/>
            <w:r w:rsidRPr="00F87570">
              <w:rPr>
                <w:color w:val="000000"/>
                <w:sz w:val="20"/>
                <w:lang w:eastAsia="lt-LT"/>
              </w:rPr>
              <w:t>LuerLock</w:t>
            </w:r>
            <w:proofErr w:type="spellEnd"/>
            <w:r w:rsidRPr="00F87570">
              <w:rPr>
                <w:color w:val="000000"/>
                <w:sz w:val="20"/>
                <w:lang w:eastAsia="lt-LT"/>
              </w:rPr>
              <w:t xml:space="preserve"> jungimo galu. </w:t>
            </w:r>
            <w:proofErr w:type="spellStart"/>
            <w:r w:rsidRPr="00F87570">
              <w:rPr>
                <w:color w:val="000000"/>
                <w:sz w:val="20"/>
                <w:lang w:eastAsia="lt-LT"/>
              </w:rPr>
              <w:t>Atraumatinis</w:t>
            </w:r>
            <w:proofErr w:type="spellEnd"/>
            <w:r w:rsidRPr="00F87570">
              <w:rPr>
                <w:color w:val="000000"/>
                <w:sz w:val="20"/>
                <w:lang w:eastAsia="lt-LT"/>
              </w:rPr>
              <w:t>, užapvalintas galas, “Merfio akis”,  per visą vamzdelio ilgį turi rentgeno kontrastinę juostelę, vamzdelio diametras vienodas per visą ilgį, vamzdelis graduotas skaičiais. Be latekso. Ilgis, dydis (I.D ir O.D.) ir firminis pavadinimas nurodytas ant vamzdelio išorės. Dydžiai nuo I.D. 5,0 mm  iki I.D.10,0 mm: I.D.5,0 - O.D. 6,7 mm±2 mm. Dydis I.D 5,5 - OD 7.3 mm ±2 mm. Dydis I.D. 6,0 - O.D. 8,0 mm ±2 mm.  Dydis I.D. 6,5 - O.D. 8,7 mm ±2 mm.  Dydis I.D. 7,0 - O.D. 9,3 mm ±2 mm.  Dydis I.D. 7,5 - 10,0 mm ±2 mm.  Dydis I.D. 8,0 - 10,7 mm ±2 mm. Dydis I.D. 8,5 - O.D. 11,3 ±2 mm. Dydis I.D.9,0 - O.D. 12,0 mm ±2 mm. Dydis I.D. 9,5 - O.D. 12,7 mm ±2 mm. Dydis I.D.10,0 - O.D. 13,3 ±2 mm. Vienkartinis, sterilūs.</w:t>
            </w:r>
          </w:p>
        </w:tc>
        <w:tc>
          <w:tcPr>
            <w:tcW w:w="1122" w:type="dxa"/>
            <w:tcBorders>
              <w:top w:val="nil"/>
              <w:left w:val="nil"/>
              <w:bottom w:val="single" w:sz="4" w:space="0" w:color="auto"/>
              <w:right w:val="single" w:sz="4" w:space="0" w:color="auto"/>
            </w:tcBorders>
            <w:noWrap/>
            <w:hideMark/>
          </w:tcPr>
          <w:p w14:paraId="229EEAB2" w14:textId="77777777" w:rsidR="00B551A3" w:rsidRPr="00F87570" w:rsidRDefault="00B551A3" w:rsidP="000530F1">
            <w:pPr>
              <w:jc w:val="center"/>
              <w:rPr>
                <w:color w:val="000000"/>
                <w:sz w:val="20"/>
                <w:lang w:eastAsia="lt-LT"/>
              </w:rPr>
            </w:pPr>
            <w:r w:rsidRPr="00F87570">
              <w:rPr>
                <w:color w:val="000000"/>
                <w:sz w:val="20"/>
                <w:lang w:eastAsia="lt-LT"/>
              </w:rPr>
              <w:t xml:space="preserve">vnt. </w:t>
            </w:r>
          </w:p>
        </w:tc>
        <w:tc>
          <w:tcPr>
            <w:tcW w:w="1237" w:type="dxa"/>
            <w:tcBorders>
              <w:top w:val="nil"/>
              <w:left w:val="nil"/>
              <w:bottom w:val="single" w:sz="4" w:space="0" w:color="auto"/>
              <w:right w:val="single" w:sz="4" w:space="0" w:color="auto"/>
            </w:tcBorders>
            <w:noWrap/>
            <w:hideMark/>
          </w:tcPr>
          <w:p w14:paraId="459E861B" w14:textId="77777777" w:rsidR="00B551A3" w:rsidRPr="00F87570" w:rsidRDefault="00B551A3" w:rsidP="000530F1">
            <w:pPr>
              <w:jc w:val="center"/>
              <w:rPr>
                <w:color w:val="000000"/>
                <w:sz w:val="20"/>
                <w:lang w:eastAsia="lt-LT"/>
              </w:rPr>
            </w:pPr>
            <w:r w:rsidRPr="00F87570">
              <w:rPr>
                <w:color w:val="000000"/>
                <w:sz w:val="20"/>
                <w:lang w:eastAsia="lt-LT"/>
              </w:rPr>
              <w:t>22140</w:t>
            </w:r>
          </w:p>
        </w:tc>
        <w:tc>
          <w:tcPr>
            <w:tcW w:w="1865" w:type="dxa"/>
            <w:tcBorders>
              <w:top w:val="nil"/>
              <w:left w:val="nil"/>
              <w:bottom w:val="single" w:sz="4" w:space="0" w:color="auto"/>
              <w:right w:val="single" w:sz="4" w:space="0" w:color="auto"/>
            </w:tcBorders>
            <w:shd w:val="clear" w:color="000000" w:fill="FFFFFF"/>
            <w:hideMark/>
          </w:tcPr>
          <w:p w14:paraId="6D8B92AC" w14:textId="77777777" w:rsidR="00B551A3" w:rsidRPr="00F87570" w:rsidRDefault="00B551A3" w:rsidP="000530F1">
            <w:pPr>
              <w:jc w:val="center"/>
              <w:rPr>
                <w:color w:val="000000"/>
                <w:sz w:val="20"/>
                <w:lang w:eastAsia="lt-LT"/>
              </w:rPr>
            </w:pPr>
            <w:r w:rsidRPr="00F87570">
              <w:rPr>
                <w:color w:val="000000"/>
                <w:sz w:val="20"/>
                <w:lang w:eastAsia="lt-LT"/>
              </w:rPr>
              <w:t> </w:t>
            </w:r>
          </w:p>
        </w:tc>
        <w:tc>
          <w:tcPr>
            <w:tcW w:w="2208" w:type="dxa"/>
            <w:tcBorders>
              <w:top w:val="nil"/>
              <w:left w:val="nil"/>
              <w:bottom w:val="single" w:sz="4" w:space="0" w:color="auto"/>
              <w:right w:val="single" w:sz="4" w:space="0" w:color="auto"/>
            </w:tcBorders>
            <w:shd w:val="clear" w:color="000000" w:fill="FFFFFF"/>
            <w:hideMark/>
          </w:tcPr>
          <w:p w14:paraId="1E86BAA9" w14:textId="77777777" w:rsidR="00B551A3" w:rsidRPr="00F87570" w:rsidRDefault="00B551A3" w:rsidP="000530F1">
            <w:pPr>
              <w:jc w:val="center"/>
              <w:rPr>
                <w:color w:val="000000"/>
                <w:sz w:val="20"/>
                <w:lang w:eastAsia="lt-LT"/>
              </w:rPr>
            </w:pPr>
            <w:r w:rsidRPr="00F87570">
              <w:rPr>
                <w:color w:val="000000"/>
                <w:sz w:val="20"/>
                <w:lang w:eastAsia="lt-LT"/>
              </w:rPr>
              <w:t> </w:t>
            </w:r>
          </w:p>
        </w:tc>
        <w:tc>
          <w:tcPr>
            <w:tcW w:w="708" w:type="dxa"/>
            <w:tcBorders>
              <w:top w:val="nil"/>
              <w:left w:val="nil"/>
              <w:bottom w:val="single" w:sz="4" w:space="0" w:color="auto"/>
              <w:right w:val="single" w:sz="4" w:space="0" w:color="auto"/>
            </w:tcBorders>
            <w:noWrap/>
            <w:hideMark/>
          </w:tcPr>
          <w:p w14:paraId="31B3A7B5" w14:textId="77777777" w:rsidR="00B551A3" w:rsidRPr="00F87570" w:rsidRDefault="00B551A3" w:rsidP="000530F1">
            <w:pPr>
              <w:jc w:val="center"/>
              <w:rPr>
                <w:color w:val="000000"/>
                <w:sz w:val="20"/>
                <w:lang w:eastAsia="lt-LT"/>
              </w:rPr>
            </w:pPr>
            <w:r w:rsidRPr="00F87570">
              <w:rPr>
                <w:color w:val="000000"/>
                <w:sz w:val="20"/>
                <w:lang w:eastAsia="lt-LT"/>
              </w:rPr>
              <w:t> </w:t>
            </w:r>
          </w:p>
        </w:tc>
        <w:tc>
          <w:tcPr>
            <w:tcW w:w="851" w:type="dxa"/>
            <w:tcBorders>
              <w:top w:val="nil"/>
              <w:left w:val="nil"/>
              <w:bottom w:val="single" w:sz="4" w:space="0" w:color="auto"/>
              <w:right w:val="single" w:sz="4" w:space="0" w:color="auto"/>
            </w:tcBorders>
            <w:noWrap/>
            <w:hideMark/>
          </w:tcPr>
          <w:p w14:paraId="54359B13" w14:textId="77777777" w:rsidR="00B551A3" w:rsidRPr="00F87570" w:rsidRDefault="00B551A3" w:rsidP="000530F1">
            <w:pPr>
              <w:jc w:val="center"/>
              <w:rPr>
                <w:color w:val="000000"/>
                <w:sz w:val="20"/>
                <w:lang w:eastAsia="lt-LT"/>
              </w:rPr>
            </w:pPr>
            <w:r w:rsidRPr="00F87570">
              <w:rPr>
                <w:color w:val="000000"/>
                <w:sz w:val="20"/>
                <w:lang w:eastAsia="lt-LT"/>
              </w:rPr>
              <w:t> </w:t>
            </w:r>
          </w:p>
        </w:tc>
        <w:tc>
          <w:tcPr>
            <w:tcW w:w="1089" w:type="dxa"/>
            <w:tcBorders>
              <w:top w:val="nil"/>
              <w:left w:val="nil"/>
              <w:bottom w:val="single" w:sz="4" w:space="0" w:color="auto"/>
              <w:right w:val="single" w:sz="4" w:space="0" w:color="auto"/>
            </w:tcBorders>
            <w:noWrap/>
            <w:hideMark/>
          </w:tcPr>
          <w:p w14:paraId="278B1D51" w14:textId="77777777" w:rsidR="00B551A3" w:rsidRPr="00F87570" w:rsidRDefault="00B551A3" w:rsidP="000530F1">
            <w:pPr>
              <w:jc w:val="center"/>
              <w:rPr>
                <w:color w:val="000000"/>
                <w:sz w:val="20"/>
                <w:lang w:eastAsia="lt-LT"/>
              </w:rPr>
            </w:pPr>
            <w:r w:rsidRPr="00F87570">
              <w:rPr>
                <w:color w:val="000000"/>
                <w:sz w:val="20"/>
                <w:lang w:eastAsia="lt-LT"/>
              </w:rPr>
              <w:t> </w:t>
            </w:r>
          </w:p>
        </w:tc>
        <w:tc>
          <w:tcPr>
            <w:tcW w:w="236" w:type="dxa"/>
            <w:vAlign w:val="center"/>
            <w:hideMark/>
          </w:tcPr>
          <w:p w14:paraId="1EF0781B" w14:textId="77777777" w:rsidR="00B551A3" w:rsidRPr="00F87570" w:rsidRDefault="00B551A3" w:rsidP="000530F1">
            <w:pPr>
              <w:rPr>
                <w:sz w:val="20"/>
                <w:lang w:eastAsia="lt-LT"/>
              </w:rPr>
            </w:pPr>
          </w:p>
        </w:tc>
      </w:tr>
      <w:tr w:rsidR="00B551A3" w:rsidRPr="00F87570" w14:paraId="375ACCA4" w14:textId="77777777" w:rsidTr="000530F1">
        <w:trPr>
          <w:trHeight w:val="261"/>
          <w:jc w:val="center"/>
        </w:trPr>
        <w:tc>
          <w:tcPr>
            <w:tcW w:w="13320" w:type="dxa"/>
            <w:gridSpan w:val="9"/>
            <w:tcBorders>
              <w:top w:val="nil"/>
              <w:left w:val="single" w:sz="4" w:space="0" w:color="auto"/>
              <w:bottom w:val="single" w:sz="4" w:space="0" w:color="auto"/>
              <w:right w:val="single" w:sz="4" w:space="0" w:color="auto"/>
            </w:tcBorders>
            <w:noWrap/>
          </w:tcPr>
          <w:p w14:paraId="4A8DFEEE" w14:textId="77777777" w:rsidR="00B551A3" w:rsidRPr="00F87570" w:rsidRDefault="00B551A3" w:rsidP="000530F1">
            <w:pPr>
              <w:jc w:val="right"/>
              <w:rPr>
                <w:color w:val="000000"/>
                <w:sz w:val="20"/>
                <w:lang w:eastAsia="lt-LT"/>
              </w:rPr>
            </w:pPr>
            <w:r w:rsidRPr="00F87570">
              <w:rPr>
                <w:color w:val="000000"/>
                <w:sz w:val="20"/>
                <w:lang w:eastAsia="lt-LT"/>
              </w:rPr>
              <w:t>Pradinės sutarties vertė, EUR be PVM</w:t>
            </w:r>
          </w:p>
        </w:tc>
        <w:tc>
          <w:tcPr>
            <w:tcW w:w="1089" w:type="dxa"/>
            <w:tcBorders>
              <w:top w:val="nil"/>
              <w:left w:val="nil"/>
              <w:bottom w:val="single" w:sz="4" w:space="0" w:color="auto"/>
              <w:right w:val="single" w:sz="4" w:space="0" w:color="auto"/>
            </w:tcBorders>
            <w:noWrap/>
          </w:tcPr>
          <w:p w14:paraId="4479C49B" w14:textId="77777777" w:rsidR="00B551A3" w:rsidRPr="00F87570" w:rsidRDefault="00B551A3" w:rsidP="000530F1">
            <w:pPr>
              <w:jc w:val="center"/>
              <w:rPr>
                <w:color w:val="000000"/>
                <w:sz w:val="20"/>
                <w:lang w:eastAsia="lt-LT"/>
              </w:rPr>
            </w:pPr>
          </w:p>
        </w:tc>
        <w:tc>
          <w:tcPr>
            <w:tcW w:w="236" w:type="dxa"/>
            <w:vAlign w:val="center"/>
          </w:tcPr>
          <w:p w14:paraId="0E78477A" w14:textId="77777777" w:rsidR="00B551A3" w:rsidRPr="00F87570" w:rsidRDefault="00B551A3" w:rsidP="000530F1">
            <w:pPr>
              <w:rPr>
                <w:sz w:val="20"/>
                <w:lang w:eastAsia="lt-LT"/>
              </w:rPr>
            </w:pPr>
          </w:p>
        </w:tc>
      </w:tr>
      <w:tr w:rsidR="00B551A3" w:rsidRPr="00F87570" w14:paraId="3BEE4E07" w14:textId="77777777" w:rsidTr="000530F1">
        <w:trPr>
          <w:trHeight w:val="261"/>
          <w:jc w:val="center"/>
        </w:trPr>
        <w:tc>
          <w:tcPr>
            <w:tcW w:w="13320" w:type="dxa"/>
            <w:gridSpan w:val="9"/>
            <w:tcBorders>
              <w:top w:val="nil"/>
              <w:left w:val="single" w:sz="4" w:space="0" w:color="auto"/>
              <w:bottom w:val="single" w:sz="4" w:space="0" w:color="auto"/>
              <w:right w:val="single" w:sz="4" w:space="0" w:color="auto"/>
            </w:tcBorders>
            <w:noWrap/>
            <w:vAlign w:val="bottom"/>
          </w:tcPr>
          <w:p w14:paraId="316987B2" w14:textId="77777777" w:rsidR="00B551A3" w:rsidRPr="00F87570" w:rsidRDefault="00B551A3" w:rsidP="000530F1">
            <w:pPr>
              <w:jc w:val="right"/>
              <w:rPr>
                <w:color w:val="000000"/>
                <w:sz w:val="20"/>
                <w:lang w:eastAsia="lt-LT"/>
              </w:rPr>
            </w:pPr>
            <w:r w:rsidRPr="00F87570">
              <w:rPr>
                <w:color w:val="000000"/>
                <w:sz w:val="20"/>
                <w:lang w:eastAsia="lt-LT"/>
              </w:rPr>
              <w:t>PVM suma, EUR</w:t>
            </w:r>
          </w:p>
        </w:tc>
        <w:tc>
          <w:tcPr>
            <w:tcW w:w="1089" w:type="dxa"/>
            <w:tcBorders>
              <w:top w:val="nil"/>
              <w:left w:val="nil"/>
              <w:bottom w:val="single" w:sz="4" w:space="0" w:color="auto"/>
              <w:right w:val="single" w:sz="4" w:space="0" w:color="auto"/>
            </w:tcBorders>
            <w:noWrap/>
          </w:tcPr>
          <w:p w14:paraId="38878285" w14:textId="77777777" w:rsidR="00B551A3" w:rsidRPr="00F87570" w:rsidRDefault="00B551A3" w:rsidP="000530F1">
            <w:pPr>
              <w:jc w:val="center"/>
              <w:rPr>
                <w:color w:val="000000"/>
                <w:sz w:val="20"/>
                <w:lang w:eastAsia="lt-LT"/>
              </w:rPr>
            </w:pPr>
          </w:p>
        </w:tc>
        <w:tc>
          <w:tcPr>
            <w:tcW w:w="236" w:type="dxa"/>
            <w:vAlign w:val="center"/>
          </w:tcPr>
          <w:p w14:paraId="41A6ED67" w14:textId="77777777" w:rsidR="00B551A3" w:rsidRPr="00F87570" w:rsidRDefault="00B551A3" w:rsidP="000530F1">
            <w:pPr>
              <w:rPr>
                <w:sz w:val="20"/>
                <w:lang w:eastAsia="lt-LT"/>
              </w:rPr>
            </w:pPr>
          </w:p>
        </w:tc>
      </w:tr>
      <w:tr w:rsidR="00B551A3" w:rsidRPr="00F87570" w14:paraId="1317EEF4" w14:textId="77777777" w:rsidTr="000530F1">
        <w:trPr>
          <w:trHeight w:val="261"/>
          <w:jc w:val="center"/>
        </w:trPr>
        <w:tc>
          <w:tcPr>
            <w:tcW w:w="13320" w:type="dxa"/>
            <w:gridSpan w:val="9"/>
            <w:tcBorders>
              <w:top w:val="nil"/>
              <w:left w:val="single" w:sz="4" w:space="0" w:color="auto"/>
              <w:bottom w:val="single" w:sz="4" w:space="0" w:color="auto"/>
              <w:right w:val="single" w:sz="4" w:space="0" w:color="auto"/>
            </w:tcBorders>
            <w:noWrap/>
            <w:vAlign w:val="bottom"/>
          </w:tcPr>
          <w:p w14:paraId="40343291" w14:textId="77777777" w:rsidR="00B551A3" w:rsidRPr="00F87570" w:rsidRDefault="00B551A3" w:rsidP="000530F1">
            <w:pPr>
              <w:jc w:val="right"/>
              <w:rPr>
                <w:color w:val="000000"/>
                <w:sz w:val="20"/>
                <w:lang w:eastAsia="lt-LT"/>
              </w:rPr>
            </w:pPr>
            <w:r w:rsidRPr="00F87570">
              <w:rPr>
                <w:color w:val="000000"/>
                <w:sz w:val="20"/>
                <w:lang w:eastAsia="lt-LT"/>
              </w:rPr>
              <w:t>Sutarties kaina, Eur su PVM</w:t>
            </w:r>
          </w:p>
        </w:tc>
        <w:tc>
          <w:tcPr>
            <w:tcW w:w="1089" w:type="dxa"/>
            <w:tcBorders>
              <w:top w:val="nil"/>
              <w:left w:val="nil"/>
              <w:bottom w:val="single" w:sz="4" w:space="0" w:color="auto"/>
              <w:right w:val="single" w:sz="4" w:space="0" w:color="auto"/>
            </w:tcBorders>
            <w:noWrap/>
          </w:tcPr>
          <w:p w14:paraId="2D84BE37" w14:textId="77777777" w:rsidR="00B551A3" w:rsidRPr="00F87570" w:rsidRDefault="00B551A3" w:rsidP="000530F1">
            <w:pPr>
              <w:jc w:val="center"/>
              <w:rPr>
                <w:color w:val="000000"/>
                <w:sz w:val="20"/>
                <w:lang w:eastAsia="lt-LT"/>
              </w:rPr>
            </w:pPr>
          </w:p>
        </w:tc>
        <w:tc>
          <w:tcPr>
            <w:tcW w:w="236" w:type="dxa"/>
            <w:vAlign w:val="center"/>
          </w:tcPr>
          <w:p w14:paraId="58822024" w14:textId="77777777" w:rsidR="00B551A3" w:rsidRPr="00F87570" w:rsidRDefault="00B551A3" w:rsidP="000530F1">
            <w:pPr>
              <w:rPr>
                <w:sz w:val="20"/>
                <w:lang w:eastAsia="lt-LT"/>
              </w:rPr>
            </w:pPr>
          </w:p>
        </w:tc>
      </w:tr>
    </w:tbl>
    <w:p w14:paraId="48D7FFFC" w14:textId="77777777" w:rsidR="00B551A3" w:rsidRDefault="00B551A3" w:rsidP="006E6543">
      <w:pPr>
        <w:jc w:val="both"/>
        <w:rPr>
          <w:rFonts w:eastAsiaTheme="minorHAnsi" w:cstheme="minorBidi"/>
          <w:kern w:val="2"/>
          <w:sz w:val="20"/>
          <w14:ligatures w14:val="standardContextual"/>
        </w:rPr>
      </w:pPr>
    </w:p>
    <w:sectPr w:rsidR="00B551A3" w:rsidSect="007B1063">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527D" w14:textId="77777777" w:rsidR="00811267" w:rsidRDefault="00811267">
      <w:r>
        <w:separator/>
      </w:r>
    </w:p>
  </w:endnote>
  <w:endnote w:type="continuationSeparator" w:id="0">
    <w:p w14:paraId="45BBD00B" w14:textId="77777777" w:rsidR="00811267" w:rsidRDefault="0081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D66C" w14:textId="77777777" w:rsidR="00811267" w:rsidRDefault="00811267">
      <w:r>
        <w:separator/>
      </w:r>
    </w:p>
  </w:footnote>
  <w:footnote w:type="continuationSeparator" w:id="0">
    <w:p w14:paraId="5A63A2A3" w14:textId="77777777" w:rsidR="00811267" w:rsidRDefault="0081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0EFC"/>
    <w:rsid w:val="00022BFD"/>
    <w:rsid w:val="00026859"/>
    <w:rsid w:val="000448A8"/>
    <w:rsid w:val="00047FD4"/>
    <w:rsid w:val="000565AE"/>
    <w:rsid w:val="00071CD9"/>
    <w:rsid w:val="000740DD"/>
    <w:rsid w:val="0008570E"/>
    <w:rsid w:val="000916A4"/>
    <w:rsid w:val="00097354"/>
    <w:rsid w:val="000B2105"/>
    <w:rsid w:val="000C09BD"/>
    <w:rsid w:val="000C3472"/>
    <w:rsid w:val="000C3CE2"/>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75784"/>
    <w:rsid w:val="00181D70"/>
    <w:rsid w:val="001934F5"/>
    <w:rsid w:val="001A3986"/>
    <w:rsid w:val="001A5958"/>
    <w:rsid w:val="001B616F"/>
    <w:rsid w:val="001C6C51"/>
    <w:rsid w:val="001F007E"/>
    <w:rsid w:val="001F63D7"/>
    <w:rsid w:val="002011CA"/>
    <w:rsid w:val="002102F2"/>
    <w:rsid w:val="00220784"/>
    <w:rsid w:val="002208A6"/>
    <w:rsid w:val="00227380"/>
    <w:rsid w:val="00231A41"/>
    <w:rsid w:val="00234723"/>
    <w:rsid w:val="00236898"/>
    <w:rsid w:val="00236D39"/>
    <w:rsid w:val="00251DAE"/>
    <w:rsid w:val="00264463"/>
    <w:rsid w:val="00270F85"/>
    <w:rsid w:val="00274E34"/>
    <w:rsid w:val="00285BB5"/>
    <w:rsid w:val="00290C73"/>
    <w:rsid w:val="00297A80"/>
    <w:rsid w:val="002A7511"/>
    <w:rsid w:val="002B5AEE"/>
    <w:rsid w:val="002C06CD"/>
    <w:rsid w:val="002C0CDF"/>
    <w:rsid w:val="002C4751"/>
    <w:rsid w:val="002C70F8"/>
    <w:rsid w:val="002D279F"/>
    <w:rsid w:val="002D5DE2"/>
    <w:rsid w:val="002F0B5F"/>
    <w:rsid w:val="00305C2D"/>
    <w:rsid w:val="00307192"/>
    <w:rsid w:val="003101EE"/>
    <w:rsid w:val="00315A0A"/>
    <w:rsid w:val="00317A46"/>
    <w:rsid w:val="00321250"/>
    <w:rsid w:val="00327348"/>
    <w:rsid w:val="00327A7A"/>
    <w:rsid w:val="0033139D"/>
    <w:rsid w:val="00333E2A"/>
    <w:rsid w:val="0033481E"/>
    <w:rsid w:val="0034453E"/>
    <w:rsid w:val="00346A65"/>
    <w:rsid w:val="0036581E"/>
    <w:rsid w:val="00367CEC"/>
    <w:rsid w:val="003873C2"/>
    <w:rsid w:val="003900BC"/>
    <w:rsid w:val="003A1760"/>
    <w:rsid w:val="003A5338"/>
    <w:rsid w:val="003A5EBB"/>
    <w:rsid w:val="003C2ED5"/>
    <w:rsid w:val="003C43DF"/>
    <w:rsid w:val="003E3B7D"/>
    <w:rsid w:val="003F44E1"/>
    <w:rsid w:val="003F6DD0"/>
    <w:rsid w:val="00400F4E"/>
    <w:rsid w:val="00405299"/>
    <w:rsid w:val="00405C3D"/>
    <w:rsid w:val="00420711"/>
    <w:rsid w:val="0043243C"/>
    <w:rsid w:val="004359BC"/>
    <w:rsid w:val="00436D09"/>
    <w:rsid w:val="004373F3"/>
    <w:rsid w:val="004449A4"/>
    <w:rsid w:val="0044589B"/>
    <w:rsid w:val="004577C7"/>
    <w:rsid w:val="00461325"/>
    <w:rsid w:val="004646E3"/>
    <w:rsid w:val="004734FE"/>
    <w:rsid w:val="0048448F"/>
    <w:rsid w:val="0049089C"/>
    <w:rsid w:val="004965BE"/>
    <w:rsid w:val="004A24B7"/>
    <w:rsid w:val="004A325F"/>
    <w:rsid w:val="004A4238"/>
    <w:rsid w:val="004B2763"/>
    <w:rsid w:val="004B62EA"/>
    <w:rsid w:val="004C2EED"/>
    <w:rsid w:val="004C39E7"/>
    <w:rsid w:val="004D0C0C"/>
    <w:rsid w:val="004D7E30"/>
    <w:rsid w:val="004E106D"/>
    <w:rsid w:val="004E791D"/>
    <w:rsid w:val="004F1930"/>
    <w:rsid w:val="004F3524"/>
    <w:rsid w:val="00501665"/>
    <w:rsid w:val="0051120B"/>
    <w:rsid w:val="0051250A"/>
    <w:rsid w:val="00513972"/>
    <w:rsid w:val="0051711F"/>
    <w:rsid w:val="00526824"/>
    <w:rsid w:val="005348B8"/>
    <w:rsid w:val="00535F59"/>
    <w:rsid w:val="00546FDA"/>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EA8"/>
    <w:rsid w:val="00600644"/>
    <w:rsid w:val="006053D3"/>
    <w:rsid w:val="0061416F"/>
    <w:rsid w:val="006526B4"/>
    <w:rsid w:val="00653077"/>
    <w:rsid w:val="00656F37"/>
    <w:rsid w:val="00661F81"/>
    <w:rsid w:val="00671F3F"/>
    <w:rsid w:val="006722AC"/>
    <w:rsid w:val="0068054A"/>
    <w:rsid w:val="0068231C"/>
    <w:rsid w:val="00686855"/>
    <w:rsid w:val="006869CC"/>
    <w:rsid w:val="00691E41"/>
    <w:rsid w:val="006A04A1"/>
    <w:rsid w:val="006B2956"/>
    <w:rsid w:val="006B7A32"/>
    <w:rsid w:val="006C6B32"/>
    <w:rsid w:val="006D3FF9"/>
    <w:rsid w:val="006E36CD"/>
    <w:rsid w:val="006E6543"/>
    <w:rsid w:val="006F43CA"/>
    <w:rsid w:val="006F7C62"/>
    <w:rsid w:val="00711CB2"/>
    <w:rsid w:val="00712554"/>
    <w:rsid w:val="0072100A"/>
    <w:rsid w:val="0072381E"/>
    <w:rsid w:val="00734A01"/>
    <w:rsid w:val="007356F4"/>
    <w:rsid w:val="0073789A"/>
    <w:rsid w:val="00743FC2"/>
    <w:rsid w:val="00744B05"/>
    <w:rsid w:val="00757819"/>
    <w:rsid w:val="00760288"/>
    <w:rsid w:val="007619E5"/>
    <w:rsid w:val="00767B8C"/>
    <w:rsid w:val="00770110"/>
    <w:rsid w:val="007775E2"/>
    <w:rsid w:val="00785D88"/>
    <w:rsid w:val="007A07E4"/>
    <w:rsid w:val="007A6FF6"/>
    <w:rsid w:val="007A7607"/>
    <w:rsid w:val="007B1063"/>
    <w:rsid w:val="007B17F2"/>
    <w:rsid w:val="007B2588"/>
    <w:rsid w:val="007B2BDF"/>
    <w:rsid w:val="007C0899"/>
    <w:rsid w:val="007E65D2"/>
    <w:rsid w:val="007E7A0D"/>
    <w:rsid w:val="008018B2"/>
    <w:rsid w:val="00801BAF"/>
    <w:rsid w:val="00802B24"/>
    <w:rsid w:val="00811267"/>
    <w:rsid w:val="00811AEB"/>
    <w:rsid w:val="00814EBA"/>
    <w:rsid w:val="00830E4C"/>
    <w:rsid w:val="00833A89"/>
    <w:rsid w:val="008433E8"/>
    <w:rsid w:val="00854B20"/>
    <w:rsid w:val="0085691E"/>
    <w:rsid w:val="00860019"/>
    <w:rsid w:val="00862EC6"/>
    <w:rsid w:val="00863A85"/>
    <w:rsid w:val="00883902"/>
    <w:rsid w:val="00885934"/>
    <w:rsid w:val="00894850"/>
    <w:rsid w:val="008B3224"/>
    <w:rsid w:val="008E05F2"/>
    <w:rsid w:val="009026D4"/>
    <w:rsid w:val="00904A91"/>
    <w:rsid w:val="00914E03"/>
    <w:rsid w:val="00917C09"/>
    <w:rsid w:val="0092775A"/>
    <w:rsid w:val="009502C9"/>
    <w:rsid w:val="00954478"/>
    <w:rsid w:val="009676B3"/>
    <w:rsid w:val="00986956"/>
    <w:rsid w:val="00995C47"/>
    <w:rsid w:val="00995DBA"/>
    <w:rsid w:val="0099693C"/>
    <w:rsid w:val="009A0679"/>
    <w:rsid w:val="009A1571"/>
    <w:rsid w:val="009A4DF2"/>
    <w:rsid w:val="009B69F8"/>
    <w:rsid w:val="009C1BC4"/>
    <w:rsid w:val="009C251F"/>
    <w:rsid w:val="009D6B69"/>
    <w:rsid w:val="009E057F"/>
    <w:rsid w:val="009E2424"/>
    <w:rsid w:val="009E630A"/>
    <w:rsid w:val="009F435E"/>
    <w:rsid w:val="00A038FD"/>
    <w:rsid w:val="00A06710"/>
    <w:rsid w:val="00A30BBD"/>
    <w:rsid w:val="00A37845"/>
    <w:rsid w:val="00A4692A"/>
    <w:rsid w:val="00A47B45"/>
    <w:rsid w:val="00A51215"/>
    <w:rsid w:val="00A5275D"/>
    <w:rsid w:val="00A612C3"/>
    <w:rsid w:val="00A62478"/>
    <w:rsid w:val="00A62E3B"/>
    <w:rsid w:val="00A7016C"/>
    <w:rsid w:val="00AA0448"/>
    <w:rsid w:val="00AA6242"/>
    <w:rsid w:val="00AA6BC1"/>
    <w:rsid w:val="00AB09FF"/>
    <w:rsid w:val="00AB283E"/>
    <w:rsid w:val="00AB336B"/>
    <w:rsid w:val="00AC148C"/>
    <w:rsid w:val="00AC2768"/>
    <w:rsid w:val="00AC299B"/>
    <w:rsid w:val="00AD6743"/>
    <w:rsid w:val="00AE51D0"/>
    <w:rsid w:val="00AF098E"/>
    <w:rsid w:val="00AF5920"/>
    <w:rsid w:val="00B01FF7"/>
    <w:rsid w:val="00B050D8"/>
    <w:rsid w:val="00B1053A"/>
    <w:rsid w:val="00B15840"/>
    <w:rsid w:val="00B224DD"/>
    <w:rsid w:val="00B246EF"/>
    <w:rsid w:val="00B33821"/>
    <w:rsid w:val="00B50598"/>
    <w:rsid w:val="00B551A3"/>
    <w:rsid w:val="00B6071A"/>
    <w:rsid w:val="00B6078C"/>
    <w:rsid w:val="00B72C7A"/>
    <w:rsid w:val="00BB6C6C"/>
    <w:rsid w:val="00BC0FDE"/>
    <w:rsid w:val="00BC6020"/>
    <w:rsid w:val="00BC7AA9"/>
    <w:rsid w:val="00BD18CC"/>
    <w:rsid w:val="00BE03EB"/>
    <w:rsid w:val="00BE5726"/>
    <w:rsid w:val="00BE6E5C"/>
    <w:rsid w:val="00C00D22"/>
    <w:rsid w:val="00C06FD6"/>
    <w:rsid w:val="00C10354"/>
    <w:rsid w:val="00C11983"/>
    <w:rsid w:val="00C157A6"/>
    <w:rsid w:val="00C36740"/>
    <w:rsid w:val="00C4039B"/>
    <w:rsid w:val="00C6056B"/>
    <w:rsid w:val="00C9266C"/>
    <w:rsid w:val="00C926F1"/>
    <w:rsid w:val="00C948D4"/>
    <w:rsid w:val="00CA18DA"/>
    <w:rsid w:val="00CA461D"/>
    <w:rsid w:val="00CA5563"/>
    <w:rsid w:val="00CC2EC0"/>
    <w:rsid w:val="00CD6A68"/>
    <w:rsid w:val="00CD7D26"/>
    <w:rsid w:val="00CE7870"/>
    <w:rsid w:val="00CF0B97"/>
    <w:rsid w:val="00CF0EDC"/>
    <w:rsid w:val="00CF3A71"/>
    <w:rsid w:val="00CF4783"/>
    <w:rsid w:val="00D00C25"/>
    <w:rsid w:val="00D01B2F"/>
    <w:rsid w:val="00D03A55"/>
    <w:rsid w:val="00D13DC8"/>
    <w:rsid w:val="00D16091"/>
    <w:rsid w:val="00D1728F"/>
    <w:rsid w:val="00D3141D"/>
    <w:rsid w:val="00D411D3"/>
    <w:rsid w:val="00D427AD"/>
    <w:rsid w:val="00D4692A"/>
    <w:rsid w:val="00D5321E"/>
    <w:rsid w:val="00D60561"/>
    <w:rsid w:val="00D61404"/>
    <w:rsid w:val="00D7398B"/>
    <w:rsid w:val="00D757AA"/>
    <w:rsid w:val="00D76007"/>
    <w:rsid w:val="00D9400C"/>
    <w:rsid w:val="00DA161F"/>
    <w:rsid w:val="00DA22EE"/>
    <w:rsid w:val="00DC0448"/>
    <w:rsid w:val="00DF145B"/>
    <w:rsid w:val="00DF38C7"/>
    <w:rsid w:val="00E00AA6"/>
    <w:rsid w:val="00E041A4"/>
    <w:rsid w:val="00E20061"/>
    <w:rsid w:val="00E25FE0"/>
    <w:rsid w:val="00E260B4"/>
    <w:rsid w:val="00E26E6E"/>
    <w:rsid w:val="00E32A9A"/>
    <w:rsid w:val="00E37D76"/>
    <w:rsid w:val="00E41B0E"/>
    <w:rsid w:val="00E439BD"/>
    <w:rsid w:val="00E50B07"/>
    <w:rsid w:val="00E5166C"/>
    <w:rsid w:val="00E64401"/>
    <w:rsid w:val="00E64AEC"/>
    <w:rsid w:val="00E67282"/>
    <w:rsid w:val="00E81FED"/>
    <w:rsid w:val="00E823C5"/>
    <w:rsid w:val="00E964C9"/>
    <w:rsid w:val="00E9715F"/>
    <w:rsid w:val="00EA03D5"/>
    <w:rsid w:val="00EA1151"/>
    <w:rsid w:val="00EA79E0"/>
    <w:rsid w:val="00EA79F5"/>
    <w:rsid w:val="00EB1D27"/>
    <w:rsid w:val="00EC0AE1"/>
    <w:rsid w:val="00EC23F5"/>
    <w:rsid w:val="00EC4F7B"/>
    <w:rsid w:val="00ED6956"/>
    <w:rsid w:val="00EE0B27"/>
    <w:rsid w:val="00EE3FC8"/>
    <w:rsid w:val="00EE55EE"/>
    <w:rsid w:val="00EE6238"/>
    <w:rsid w:val="00EE65BC"/>
    <w:rsid w:val="00EF0392"/>
    <w:rsid w:val="00EF3DE0"/>
    <w:rsid w:val="00F0786C"/>
    <w:rsid w:val="00F1574B"/>
    <w:rsid w:val="00F17210"/>
    <w:rsid w:val="00F22B56"/>
    <w:rsid w:val="00F542DF"/>
    <w:rsid w:val="00F6256B"/>
    <w:rsid w:val="00F628FE"/>
    <w:rsid w:val="00F677F6"/>
    <w:rsid w:val="00F8555E"/>
    <w:rsid w:val="00F87570"/>
    <w:rsid w:val="00F9157D"/>
    <w:rsid w:val="00FA14C6"/>
    <w:rsid w:val="00FA52DA"/>
    <w:rsid w:val="00FB060D"/>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17377</Words>
  <Characters>9906</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cp:revision>
  <dcterms:created xsi:type="dcterms:W3CDTF">2025-08-06T17:17:00Z</dcterms:created>
  <dcterms:modified xsi:type="dcterms:W3CDTF">2025-08-07T04:17:00Z</dcterms:modified>
</cp:coreProperties>
</file>